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B99ED" w14:textId="77777777" w:rsidR="00D076D5" w:rsidRDefault="00D076D5" w:rsidP="00CC2DCE">
      <w:pPr>
        <w:pStyle w:val="Title"/>
        <w:spacing w:before="4480"/>
        <w:ind w:left="907" w:right="663"/>
      </w:pPr>
      <w:bookmarkStart w:id="0" w:name="_GoBack"/>
      <w:bookmarkEnd w:id="0"/>
      <w:r>
        <w:t>N</w:t>
      </w:r>
      <w:r w:rsidR="00133643">
        <w:t>M</w:t>
      </w:r>
      <w:r>
        <w:t>I</w:t>
      </w:r>
      <w:r w:rsidR="00133643">
        <w:t xml:space="preserve"> M </w:t>
      </w:r>
      <w:r w:rsidR="00C953E4">
        <w:t>6-1</w:t>
      </w:r>
    </w:p>
    <w:p w14:paraId="37CCCCA6" w14:textId="7F3AD607" w:rsidR="00975726" w:rsidRDefault="00045FB0" w:rsidP="00CC2DCE">
      <w:pPr>
        <w:pStyle w:val="Title"/>
        <w:spacing w:before="4480"/>
        <w:ind w:left="907" w:right="663"/>
      </w:pPr>
      <w:r>
        <w:t>Active-</w:t>
      </w:r>
      <w:r w:rsidR="001973A6">
        <w:t>e</w:t>
      </w:r>
      <w:r>
        <w:t xml:space="preserve">nergy </w:t>
      </w:r>
      <w:r w:rsidR="001973A6">
        <w:t>e</w:t>
      </w:r>
      <w:r w:rsidR="00C953E4">
        <w:t xml:space="preserve">lectricity </w:t>
      </w:r>
      <w:r w:rsidR="001973A6">
        <w:t>m</w:t>
      </w:r>
      <w:r w:rsidR="00C953E4">
        <w:t>eters</w:t>
      </w:r>
      <w:r w:rsidR="002940E2">
        <w:t xml:space="preserve"> (a.c.)</w:t>
      </w:r>
    </w:p>
    <w:p w14:paraId="46D3D4F2" w14:textId="1C0B8017" w:rsidR="008F0501" w:rsidRPr="00EB0248" w:rsidRDefault="00C953E4" w:rsidP="00EB0248">
      <w:pPr>
        <w:ind w:left="907"/>
        <w:rPr>
          <w:color w:val="939598"/>
          <w:sz w:val="52"/>
          <w:szCs w:val="52"/>
        </w:rPr>
      </w:pPr>
      <w:r w:rsidRPr="00EB0248">
        <w:rPr>
          <w:color w:val="939598"/>
          <w:sz w:val="52"/>
          <w:szCs w:val="52"/>
        </w:rPr>
        <w:t xml:space="preserve">Part 1: Metrological and </w:t>
      </w:r>
      <w:r w:rsidR="001973A6">
        <w:rPr>
          <w:color w:val="939598"/>
          <w:sz w:val="52"/>
          <w:szCs w:val="52"/>
        </w:rPr>
        <w:t>t</w:t>
      </w:r>
      <w:r w:rsidRPr="00EB0248">
        <w:rPr>
          <w:color w:val="939598"/>
          <w:sz w:val="52"/>
          <w:szCs w:val="52"/>
        </w:rPr>
        <w:t xml:space="preserve">echnical </w:t>
      </w:r>
      <w:r w:rsidR="001973A6">
        <w:rPr>
          <w:color w:val="939598"/>
          <w:sz w:val="52"/>
          <w:szCs w:val="52"/>
        </w:rPr>
        <w:t>r</w:t>
      </w:r>
      <w:r w:rsidRPr="00EB0248">
        <w:rPr>
          <w:color w:val="939598"/>
          <w:sz w:val="52"/>
          <w:szCs w:val="52"/>
        </w:rPr>
        <w:t>equirements</w:t>
      </w:r>
    </w:p>
    <w:p w14:paraId="479D1D2F" w14:textId="77777777" w:rsidR="008F0501" w:rsidRDefault="008F0501" w:rsidP="008F0501"/>
    <w:p w14:paraId="430606D3" w14:textId="77777777" w:rsidR="00EB0248" w:rsidRDefault="00EB0248" w:rsidP="008F0501"/>
    <w:p w14:paraId="5940A79D" w14:textId="77777777" w:rsidR="00EB0248" w:rsidRPr="008F0501" w:rsidRDefault="00EB0248" w:rsidP="008F0501"/>
    <w:p w14:paraId="717562AC" w14:textId="7890B3F8" w:rsidR="00163B54" w:rsidRDefault="001973A6" w:rsidP="001A25AE">
      <w:pPr>
        <w:pStyle w:val="Subtitle"/>
        <w:ind w:left="910" w:right="662"/>
      </w:pPr>
      <w:r w:rsidRPr="001973A6">
        <w:t>June</w:t>
      </w:r>
      <w:r w:rsidR="00A52444" w:rsidRPr="001973A6">
        <w:t xml:space="preserve"> </w:t>
      </w:r>
      <w:r w:rsidR="00C7775C" w:rsidRPr="001973A6">
        <w:t>20</w:t>
      </w:r>
      <w:r w:rsidR="002D1FCF" w:rsidRPr="001973A6">
        <w:t>2</w:t>
      </w:r>
      <w:r w:rsidRPr="001973A6">
        <w:t>2</w:t>
      </w:r>
    </w:p>
    <w:p w14:paraId="3F574F14" w14:textId="77777777" w:rsidR="00602C92" w:rsidRDefault="00320D75" w:rsidP="001A25AE">
      <w:pPr>
        <w:ind w:left="910" w:right="662"/>
        <w:rPr>
          <w:rStyle w:val="Hyperlink"/>
        </w:rPr>
      </w:pPr>
      <w:hyperlink r:id="rId8" w:history="1">
        <w:r w:rsidR="00D076D5" w:rsidRPr="00F36997">
          <w:rPr>
            <w:rStyle w:val="Hyperlink"/>
          </w:rPr>
          <w:t>www.measurement.gov.au</w:t>
        </w:r>
      </w:hyperlink>
      <w:r w:rsidR="00D076D5">
        <w:t xml:space="preserve"> </w:t>
      </w:r>
    </w:p>
    <w:p w14:paraId="13819001" w14:textId="77777777" w:rsidR="001A2DC6" w:rsidRDefault="001A2DC6" w:rsidP="001A25AE">
      <w:pPr>
        <w:ind w:left="993" w:right="804"/>
        <w:rPr>
          <w:rStyle w:val="Hyperlink"/>
        </w:rPr>
      </w:pPr>
    </w:p>
    <w:p w14:paraId="6C7E32C1" w14:textId="77777777" w:rsidR="001A2DC6" w:rsidRDefault="001A2DC6" w:rsidP="00163B54">
      <w:pPr>
        <w:rPr>
          <w:rStyle w:val="Hyperlink"/>
        </w:rPr>
        <w:sectPr w:rsidR="001A2DC6" w:rsidSect="004178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06DFF63" w14:textId="02FA3BAD" w:rsidR="00D076D5" w:rsidRPr="002554D2" w:rsidRDefault="00D076D5" w:rsidP="00D076D5">
      <w:pPr>
        <w:spacing w:after="240"/>
        <w:rPr>
          <w:rFonts w:cs="Arial"/>
        </w:rPr>
      </w:pPr>
      <w:bookmarkStart w:id="1" w:name="_Toc419991345"/>
      <w:r w:rsidRPr="002554D2">
        <w:rPr>
          <w:rFonts w:cs="Arial"/>
        </w:rPr>
        <w:lastRenderedPageBreak/>
        <w:t xml:space="preserve">© Commonwealth of Australia </w:t>
      </w:r>
      <w:r w:rsidR="002554D2">
        <w:rPr>
          <w:rFonts w:cs="Arial"/>
        </w:rPr>
        <w:t>2000</w:t>
      </w:r>
    </w:p>
    <w:p w14:paraId="01EC2D5A" w14:textId="77777777" w:rsidR="002554D2" w:rsidRPr="002554D2" w:rsidRDefault="002554D2" w:rsidP="002554D2">
      <w:pPr>
        <w:tabs>
          <w:tab w:val="left" w:pos="2340"/>
          <w:tab w:val="left" w:pos="2700"/>
        </w:tabs>
        <w:spacing w:after="0"/>
        <w:rPr>
          <w:rFonts w:eastAsia="Times" w:cs="Arial"/>
          <w:b/>
        </w:rPr>
      </w:pPr>
      <w:r w:rsidRPr="002554D2">
        <w:rPr>
          <w:rFonts w:eastAsia="Times" w:cs="Arial"/>
          <w:b/>
        </w:rPr>
        <w:t xml:space="preserve">NMI M </w:t>
      </w:r>
      <w:r>
        <w:rPr>
          <w:rFonts w:eastAsia="Times" w:cs="Arial"/>
          <w:b/>
        </w:rPr>
        <w:t>6-1</w:t>
      </w:r>
    </w:p>
    <w:p w14:paraId="1E052CCD" w14:textId="022470E5" w:rsidR="00D076D5" w:rsidRDefault="00D076D5"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sidR="002554D2">
        <w:rPr>
          <w:rFonts w:eastAsia="Times" w:cs="Arial"/>
          <w:color w:val="000000" w:themeColor="text1"/>
          <w:szCs w:val="20"/>
        </w:rPr>
        <w:tab/>
        <w:t>—</w:t>
      </w:r>
      <w:r w:rsidR="002554D2">
        <w:rPr>
          <w:rFonts w:eastAsia="Times" w:cs="Arial"/>
          <w:color w:val="000000" w:themeColor="text1"/>
          <w:szCs w:val="20"/>
        </w:rPr>
        <w:tab/>
        <w:t>April 2000 (NSC M 6)</w:t>
      </w:r>
    </w:p>
    <w:p w14:paraId="3A820273" w14:textId="307BEBB3" w:rsidR="002554D2" w:rsidRDefault="002554D2"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Pr>
          <w:rFonts w:eastAsia="Times" w:cs="Arial"/>
          <w:color w:val="000000" w:themeColor="text1"/>
          <w:szCs w:val="20"/>
        </w:rPr>
        <w:t>, first revision</w:t>
      </w:r>
      <w:r>
        <w:rPr>
          <w:rFonts w:eastAsia="Times" w:cs="Arial"/>
          <w:color w:val="000000" w:themeColor="text1"/>
          <w:szCs w:val="20"/>
        </w:rPr>
        <w:tab/>
        <w:t>—</w:t>
      </w:r>
      <w:r>
        <w:rPr>
          <w:rFonts w:eastAsia="Times" w:cs="Arial"/>
          <w:color w:val="000000" w:themeColor="text1"/>
          <w:szCs w:val="20"/>
        </w:rPr>
        <w:tab/>
        <w:t>October 2001</w:t>
      </w:r>
    </w:p>
    <w:p w14:paraId="28A4C13B" w14:textId="78D817FA" w:rsidR="002554D2" w:rsidRDefault="002554D2"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Pr>
          <w:rFonts w:eastAsia="Times" w:cs="Arial"/>
          <w:color w:val="000000" w:themeColor="text1"/>
          <w:szCs w:val="20"/>
        </w:rPr>
        <w:t>, second revision</w:t>
      </w:r>
      <w:r>
        <w:rPr>
          <w:rFonts w:eastAsia="Times" w:cs="Arial"/>
          <w:color w:val="000000" w:themeColor="text1"/>
          <w:szCs w:val="20"/>
        </w:rPr>
        <w:tab/>
        <w:t>—</w:t>
      </w:r>
      <w:r>
        <w:rPr>
          <w:rFonts w:eastAsia="Times" w:cs="Arial"/>
          <w:color w:val="000000" w:themeColor="text1"/>
          <w:szCs w:val="20"/>
        </w:rPr>
        <w:tab/>
        <w:t>July 2004 (renamed NMI M 6)</w:t>
      </w:r>
    </w:p>
    <w:p w14:paraId="5395CAE6" w14:textId="34CB2FE0"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ab/>
        <w:t>—</w:t>
      </w:r>
      <w:r>
        <w:rPr>
          <w:rFonts w:eastAsia="Times" w:cs="Arial"/>
          <w:color w:val="000000" w:themeColor="text1"/>
          <w:szCs w:val="20"/>
        </w:rPr>
        <w:tab/>
        <w:t>February 2010 (to take effect from 1 July 2010)</w:t>
      </w:r>
    </w:p>
    <w:p w14:paraId="60CA86CB" w14:textId="1C33F24D"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first revision</w:t>
      </w:r>
      <w:r>
        <w:rPr>
          <w:rFonts w:eastAsia="Times" w:cs="Arial"/>
          <w:color w:val="000000" w:themeColor="text1"/>
          <w:szCs w:val="20"/>
        </w:rPr>
        <w:tab/>
        <w:t>—</w:t>
      </w:r>
      <w:r>
        <w:rPr>
          <w:rFonts w:eastAsia="Times" w:cs="Arial"/>
          <w:color w:val="000000" w:themeColor="text1"/>
          <w:szCs w:val="20"/>
        </w:rPr>
        <w:tab/>
        <w:t>June 2010</w:t>
      </w:r>
    </w:p>
    <w:p w14:paraId="1A16A550" w14:textId="2ED478E1"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second revision</w:t>
      </w:r>
      <w:r>
        <w:rPr>
          <w:rFonts w:eastAsia="Times" w:cs="Arial"/>
          <w:color w:val="000000" w:themeColor="text1"/>
          <w:szCs w:val="20"/>
        </w:rPr>
        <w:tab/>
        <w:t>—</w:t>
      </w:r>
      <w:r>
        <w:rPr>
          <w:rFonts w:eastAsia="Times" w:cs="Arial"/>
          <w:color w:val="000000" w:themeColor="text1"/>
          <w:szCs w:val="20"/>
        </w:rPr>
        <w:tab/>
        <w:t>September 2010 (renamed NMI M 6-1)</w:t>
      </w:r>
    </w:p>
    <w:p w14:paraId="71D0A4FB" w14:textId="64D909F3"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third revision</w:t>
      </w:r>
      <w:r>
        <w:rPr>
          <w:rFonts w:eastAsia="Times" w:cs="Arial"/>
          <w:color w:val="000000" w:themeColor="text1"/>
          <w:szCs w:val="20"/>
        </w:rPr>
        <w:tab/>
        <w:t>—</w:t>
      </w:r>
      <w:r>
        <w:rPr>
          <w:rFonts w:eastAsia="Times" w:cs="Arial"/>
          <w:color w:val="000000" w:themeColor="text1"/>
          <w:szCs w:val="20"/>
        </w:rPr>
        <w:tab/>
        <w:t>September 2011</w:t>
      </w:r>
    </w:p>
    <w:p w14:paraId="01E947C6" w14:textId="6110EB70"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fourth revision</w:t>
      </w:r>
      <w:r>
        <w:rPr>
          <w:rFonts w:eastAsia="Times" w:cs="Arial"/>
          <w:color w:val="000000" w:themeColor="text1"/>
          <w:szCs w:val="20"/>
        </w:rPr>
        <w:tab/>
        <w:t>—</w:t>
      </w:r>
      <w:r>
        <w:rPr>
          <w:rFonts w:eastAsia="Times" w:cs="Arial"/>
          <w:color w:val="000000" w:themeColor="text1"/>
          <w:szCs w:val="20"/>
        </w:rPr>
        <w:tab/>
        <w:t>July 2012</w:t>
      </w:r>
    </w:p>
    <w:p w14:paraId="7F9BB66D" w14:textId="28D412C3" w:rsidR="00115251" w:rsidRPr="001973A6" w:rsidRDefault="00115251" w:rsidP="00115251">
      <w:pPr>
        <w:tabs>
          <w:tab w:val="left" w:pos="3119"/>
          <w:tab w:val="left" w:pos="3544"/>
        </w:tabs>
        <w:spacing w:after="0"/>
        <w:rPr>
          <w:rFonts w:eastAsia="Times" w:cs="Arial"/>
          <w:color w:val="000000" w:themeColor="text1"/>
          <w:szCs w:val="20"/>
        </w:rPr>
      </w:pPr>
      <w:r>
        <w:rPr>
          <w:rFonts w:eastAsia="Times" w:cs="Arial"/>
          <w:color w:val="000000" w:themeColor="text1"/>
          <w:szCs w:val="20"/>
        </w:rPr>
        <w:t>Third edition</w:t>
      </w:r>
      <w:r>
        <w:rPr>
          <w:rFonts w:eastAsia="Times" w:cs="Arial"/>
          <w:color w:val="000000" w:themeColor="text1"/>
          <w:szCs w:val="20"/>
        </w:rPr>
        <w:tab/>
      </w:r>
      <w:r w:rsidRPr="001973A6">
        <w:rPr>
          <w:rFonts w:eastAsia="Times" w:cs="Arial"/>
          <w:color w:val="000000" w:themeColor="text1"/>
          <w:szCs w:val="20"/>
        </w:rPr>
        <w:t>—</w:t>
      </w:r>
      <w:r w:rsidRPr="001973A6">
        <w:rPr>
          <w:rFonts w:eastAsia="Times" w:cs="Arial"/>
          <w:color w:val="000000" w:themeColor="text1"/>
          <w:szCs w:val="20"/>
        </w:rPr>
        <w:tab/>
      </w:r>
      <w:r w:rsidR="002D1FCF" w:rsidRPr="001973A6">
        <w:rPr>
          <w:rFonts w:eastAsia="Times" w:cs="Arial"/>
          <w:color w:val="000000" w:themeColor="text1"/>
          <w:szCs w:val="20"/>
        </w:rPr>
        <w:t>July</w:t>
      </w:r>
      <w:r w:rsidRPr="001973A6">
        <w:rPr>
          <w:rFonts w:eastAsia="Times" w:cs="Arial"/>
          <w:color w:val="000000" w:themeColor="text1"/>
          <w:szCs w:val="20"/>
        </w:rPr>
        <w:t xml:space="preserve"> 20</w:t>
      </w:r>
      <w:r w:rsidR="002D1FCF" w:rsidRPr="001973A6">
        <w:rPr>
          <w:rFonts w:eastAsia="Times" w:cs="Arial"/>
          <w:color w:val="000000" w:themeColor="text1"/>
          <w:szCs w:val="20"/>
        </w:rPr>
        <w:t>20</w:t>
      </w:r>
    </w:p>
    <w:p w14:paraId="19DA4563" w14:textId="5B20C005" w:rsidR="00CC545B" w:rsidRDefault="00CC545B" w:rsidP="00CC545B">
      <w:pPr>
        <w:tabs>
          <w:tab w:val="left" w:pos="3119"/>
          <w:tab w:val="left" w:pos="3544"/>
        </w:tabs>
        <w:spacing w:after="0"/>
        <w:rPr>
          <w:rFonts w:eastAsia="Times" w:cs="Arial"/>
          <w:color w:val="000000" w:themeColor="text1"/>
          <w:szCs w:val="20"/>
        </w:rPr>
      </w:pPr>
      <w:r w:rsidRPr="001973A6">
        <w:rPr>
          <w:rFonts w:eastAsia="Times" w:cs="Arial"/>
          <w:color w:val="000000" w:themeColor="text1"/>
          <w:szCs w:val="20"/>
        </w:rPr>
        <w:t>Fourth edition</w:t>
      </w:r>
      <w:r w:rsidRPr="001973A6">
        <w:rPr>
          <w:rFonts w:eastAsia="Times" w:cs="Arial"/>
          <w:color w:val="000000" w:themeColor="text1"/>
          <w:szCs w:val="20"/>
        </w:rPr>
        <w:tab/>
        <w:t>—</w:t>
      </w:r>
      <w:r w:rsidRPr="001973A6">
        <w:rPr>
          <w:rFonts w:eastAsia="Times" w:cs="Arial"/>
          <w:color w:val="000000" w:themeColor="text1"/>
          <w:szCs w:val="20"/>
        </w:rPr>
        <w:tab/>
      </w:r>
      <w:r w:rsidR="001973A6" w:rsidRPr="001973A6">
        <w:rPr>
          <w:rFonts w:eastAsia="Times" w:cs="Arial"/>
          <w:color w:val="000000" w:themeColor="text1"/>
          <w:szCs w:val="20"/>
        </w:rPr>
        <w:t>June 2022</w:t>
      </w:r>
    </w:p>
    <w:p w14:paraId="2B302DE3" w14:textId="77777777" w:rsidR="002554D2" w:rsidRPr="002554D2" w:rsidRDefault="002554D2" w:rsidP="002554D2">
      <w:pPr>
        <w:tabs>
          <w:tab w:val="left" w:pos="2700"/>
          <w:tab w:val="left" w:pos="3119"/>
        </w:tabs>
        <w:spacing w:after="0"/>
        <w:rPr>
          <w:rFonts w:eastAsia="Times" w:cs="Arial"/>
          <w:color w:val="000000" w:themeColor="text1"/>
          <w:szCs w:val="20"/>
        </w:rPr>
      </w:pPr>
    </w:p>
    <w:p w14:paraId="26D9FF1E" w14:textId="77777777" w:rsidR="00D076D5" w:rsidRPr="002554D2" w:rsidRDefault="00D076D5" w:rsidP="00D076D5">
      <w:pPr>
        <w:spacing w:after="0"/>
        <w:rPr>
          <w:rFonts w:cs="Arial"/>
        </w:rPr>
      </w:pPr>
      <w:r w:rsidRPr="002554D2">
        <w:rPr>
          <w:rFonts w:cs="Arial"/>
        </w:rPr>
        <w:t>National Measurement Institute</w:t>
      </w:r>
    </w:p>
    <w:p w14:paraId="141CF7FE" w14:textId="77777777" w:rsidR="00D076D5" w:rsidRPr="002554D2" w:rsidRDefault="00D076D5" w:rsidP="00D076D5">
      <w:pPr>
        <w:spacing w:after="0"/>
        <w:rPr>
          <w:rFonts w:cs="Arial"/>
        </w:rPr>
      </w:pPr>
      <w:r w:rsidRPr="002554D2">
        <w:rPr>
          <w:rFonts w:cs="Arial"/>
        </w:rPr>
        <w:t>Bradfield Road, Lindfield, NSW 2070</w:t>
      </w:r>
    </w:p>
    <w:p w14:paraId="366299CD" w14:textId="77777777" w:rsidR="00D076D5" w:rsidRPr="002554D2" w:rsidRDefault="00D076D5" w:rsidP="00D076D5">
      <w:pPr>
        <w:spacing w:before="240" w:after="0"/>
        <w:rPr>
          <w:rFonts w:cs="Arial"/>
        </w:rPr>
      </w:pPr>
      <w:r w:rsidRPr="002554D2">
        <w:rPr>
          <w:rFonts w:cs="Arial"/>
        </w:rPr>
        <w:t>T:</w:t>
      </w:r>
      <w:r w:rsidRPr="002554D2">
        <w:rPr>
          <w:rFonts w:cs="Arial"/>
        </w:rPr>
        <w:tab/>
      </w:r>
      <w:r w:rsidR="001C35CE" w:rsidRPr="002554D2">
        <w:rPr>
          <w:rFonts w:cs="Arial"/>
        </w:rPr>
        <w:t>+</w:t>
      </w:r>
      <w:r w:rsidRPr="002554D2">
        <w:rPr>
          <w:rFonts w:cs="Arial"/>
        </w:rPr>
        <w:t>61 2 8467 3600</w:t>
      </w:r>
    </w:p>
    <w:p w14:paraId="7FB30EBB" w14:textId="77777777" w:rsidR="00D076D5" w:rsidRPr="002554D2" w:rsidRDefault="00D076D5" w:rsidP="00D076D5">
      <w:pPr>
        <w:spacing w:after="0"/>
        <w:rPr>
          <w:rFonts w:cs="Arial"/>
        </w:rPr>
      </w:pPr>
      <w:r w:rsidRPr="002554D2">
        <w:rPr>
          <w:rFonts w:cs="Arial"/>
        </w:rPr>
        <w:t>F:</w:t>
      </w:r>
      <w:r w:rsidRPr="002554D2">
        <w:rPr>
          <w:rFonts w:cs="Arial"/>
        </w:rPr>
        <w:tab/>
      </w:r>
      <w:r w:rsidR="001C35CE" w:rsidRPr="002554D2">
        <w:rPr>
          <w:rFonts w:cs="Arial"/>
        </w:rPr>
        <w:t>+</w:t>
      </w:r>
      <w:r w:rsidRPr="002554D2">
        <w:rPr>
          <w:rFonts w:cs="Arial"/>
        </w:rPr>
        <w:t>61 2 8467 3610</w:t>
      </w:r>
    </w:p>
    <w:p w14:paraId="13492428" w14:textId="77777777" w:rsidR="00D076D5" w:rsidRPr="002554D2" w:rsidRDefault="00D076D5" w:rsidP="00D076D5">
      <w:pPr>
        <w:spacing w:after="360"/>
        <w:rPr>
          <w:rFonts w:cs="Arial"/>
        </w:rPr>
      </w:pPr>
      <w:r w:rsidRPr="002554D2">
        <w:rPr>
          <w:rFonts w:cs="Arial"/>
        </w:rPr>
        <w:t>W:</w:t>
      </w:r>
      <w:r w:rsidRPr="002554D2">
        <w:rPr>
          <w:rFonts w:cs="Arial"/>
        </w:rPr>
        <w:tab/>
        <w:t>www.measurement.gov.au</w:t>
      </w:r>
    </w:p>
    <w:p w14:paraId="77FCCEB2" w14:textId="7A506CA9" w:rsidR="00D076D5" w:rsidRPr="00060611" w:rsidRDefault="00135276" w:rsidP="00C7775C">
      <w:pPr>
        <w:pStyle w:val="Heading1-NoNumber"/>
        <w:spacing w:before="360"/>
      </w:pPr>
      <w:bookmarkStart w:id="2" w:name="_Toc379896808"/>
      <w:bookmarkStart w:id="3" w:name="_Toc501004031"/>
      <w:bookmarkStart w:id="4" w:name="_Toc85486011"/>
      <w:r w:rsidRPr="00060611">
        <w:t>Amendments</w:t>
      </w:r>
      <w:bookmarkEnd w:id="2"/>
      <w:bookmarkEnd w:id="3"/>
      <w:bookmarkEnd w:id="4"/>
    </w:p>
    <w:tbl>
      <w:tblPr>
        <w:tblStyle w:val="LightList-Accent1"/>
        <w:tblpPr w:leftFromText="181" w:rightFromText="181" w:bottomFromText="425" w:vertAnchor="text" w:tblpY="1"/>
        <w:tblOverlap w:val="never"/>
        <w:tblW w:w="0" w:type="auto"/>
        <w:tblCellMar>
          <w:top w:w="28" w:type="dxa"/>
          <w:bottom w:w="28" w:type="dxa"/>
        </w:tblCellMar>
        <w:tblLook w:val="04A0" w:firstRow="1" w:lastRow="0" w:firstColumn="1" w:lastColumn="0" w:noHBand="0" w:noVBand="1"/>
      </w:tblPr>
      <w:tblGrid>
        <w:gridCol w:w="539"/>
        <w:gridCol w:w="695"/>
        <w:gridCol w:w="1050"/>
        <w:gridCol w:w="7442"/>
      </w:tblGrid>
      <w:tr w:rsidR="00060611" w:rsidRPr="00060611" w14:paraId="0E199EF8" w14:textId="77777777" w:rsidTr="0082727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927D66" w14:textId="77777777" w:rsidR="00060611" w:rsidRPr="00060611" w:rsidRDefault="00060611" w:rsidP="00A52444">
            <w:pPr>
              <w:spacing w:after="0"/>
            </w:pPr>
            <w:r w:rsidRPr="00060611">
              <w:t>No.</w:t>
            </w:r>
          </w:p>
        </w:tc>
        <w:tc>
          <w:tcPr>
            <w:tcW w:w="0" w:type="auto"/>
            <w:vAlign w:val="center"/>
          </w:tcPr>
          <w:p w14:paraId="730EC0E6" w14:textId="77777777" w:rsidR="00060611" w:rsidRPr="00060611" w:rsidRDefault="00060611" w:rsidP="005F66DA">
            <w:pPr>
              <w:spacing w:after="0"/>
              <w:cnfStyle w:val="100000000000" w:firstRow="1" w:lastRow="0" w:firstColumn="0" w:lastColumn="0" w:oddVBand="0" w:evenVBand="0" w:oddHBand="0" w:evenHBand="0" w:firstRowFirstColumn="0" w:firstRowLastColumn="0" w:lastRowFirstColumn="0" w:lastRowLastColumn="0"/>
            </w:pPr>
            <w:r w:rsidRPr="00060611">
              <w:t>Page</w:t>
            </w:r>
          </w:p>
        </w:tc>
        <w:tc>
          <w:tcPr>
            <w:tcW w:w="1050" w:type="dxa"/>
            <w:vAlign w:val="center"/>
          </w:tcPr>
          <w:p w14:paraId="180B2EEB" w14:textId="77777777" w:rsidR="00060611" w:rsidRPr="00060611" w:rsidRDefault="00060611" w:rsidP="00A52444">
            <w:pPr>
              <w:spacing w:after="0"/>
              <w:cnfStyle w:val="100000000000" w:firstRow="1" w:lastRow="0" w:firstColumn="0" w:lastColumn="0" w:oddVBand="0" w:evenVBand="0" w:oddHBand="0" w:evenHBand="0" w:firstRowFirstColumn="0" w:firstRowLastColumn="0" w:lastRowFirstColumn="0" w:lastRowLastColumn="0"/>
            </w:pPr>
            <w:r w:rsidRPr="00060611">
              <w:t>Location</w:t>
            </w:r>
          </w:p>
        </w:tc>
        <w:tc>
          <w:tcPr>
            <w:tcW w:w="7442" w:type="dxa"/>
            <w:vAlign w:val="center"/>
          </w:tcPr>
          <w:p w14:paraId="0013AE7D" w14:textId="77777777" w:rsidR="00060611" w:rsidRPr="00060611" w:rsidRDefault="00060611" w:rsidP="00A52444">
            <w:pPr>
              <w:spacing w:after="0"/>
              <w:cnfStyle w:val="100000000000" w:firstRow="1" w:lastRow="0" w:firstColumn="0" w:lastColumn="0" w:oddVBand="0" w:evenVBand="0" w:oddHBand="0" w:evenHBand="0" w:firstRowFirstColumn="0" w:firstRowLastColumn="0" w:lastRowFirstColumn="0" w:lastRowLastColumn="0"/>
            </w:pPr>
            <w:r w:rsidRPr="00060611">
              <w:t>Details of change</w:t>
            </w:r>
          </w:p>
        </w:tc>
      </w:tr>
      <w:tr w:rsidR="00060611" w:rsidRPr="00060611" w14:paraId="3B60268A"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76AA3D" w14:textId="72B361BC" w:rsidR="00060611" w:rsidRPr="00060611" w:rsidRDefault="00060611" w:rsidP="001F37AD">
            <w:pPr>
              <w:spacing w:after="0"/>
              <w:rPr>
                <w:b w:val="0"/>
              </w:rPr>
            </w:pPr>
            <w:r w:rsidRPr="00060611">
              <w:rPr>
                <w:b w:val="0"/>
              </w:rPr>
              <w:t>1</w:t>
            </w:r>
          </w:p>
        </w:tc>
        <w:tc>
          <w:tcPr>
            <w:tcW w:w="0" w:type="auto"/>
          </w:tcPr>
          <w:p w14:paraId="2280334C" w14:textId="02C6F1AE" w:rsidR="00060611" w:rsidRPr="00060611" w:rsidRDefault="0065571B" w:rsidP="008F0501">
            <w:pPr>
              <w:spacing w:after="0"/>
              <w:jc w:val="center"/>
              <w:cnfStyle w:val="000000100000" w:firstRow="0" w:lastRow="0" w:firstColumn="0" w:lastColumn="0" w:oddVBand="0" w:evenVBand="0" w:oddHBand="1" w:evenHBand="0" w:firstRowFirstColumn="0" w:firstRowLastColumn="0" w:lastRowFirstColumn="0" w:lastRowLastColumn="0"/>
            </w:pPr>
            <w:r>
              <w:t>N/A</w:t>
            </w:r>
          </w:p>
        </w:tc>
        <w:tc>
          <w:tcPr>
            <w:tcW w:w="1050" w:type="dxa"/>
          </w:tcPr>
          <w:p w14:paraId="2B3CC174" w14:textId="1821380C" w:rsidR="00060611" w:rsidRPr="00060611" w:rsidRDefault="00B840BE" w:rsidP="008F0501">
            <w:pPr>
              <w:spacing w:after="0"/>
              <w:cnfStyle w:val="000000100000" w:firstRow="0" w:lastRow="0" w:firstColumn="0" w:lastColumn="0" w:oddVBand="0" w:evenVBand="0" w:oddHBand="1" w:evenHBand="0" w:firstRowFirstColumn="0" w:firstRowLastColumn="0" w:lastRowFirstColumn="0" w:lastRowLastColumn="0"/>
            </w:pPr>
            <w:r>
              <w:t>General</w:t>
            </w:r>
          </w:p>
        </w:tc>
        <w:tc>
          <w:tcPr>
            <w:tcW w:w="7442" w:type="dxa"/>
          </w:tcPr>
          <w:p w14:paraId="54D6469F" w14:textId="42708DA9" w:rsidR="00060611" w:rsidRPr="00060611" w:rsidRDefault="008D0FC1" w:rsidP="008D0FC1">
            <w:pPr>
              <w:spacing w:after="0"/>
              <w:cnfStyle w:val="000000100000" w:firstRow="0" w:lastRow="0" w:firstColumn="0" w:lastColumn="0" w:oddVBand="0" w:evenVBand="0" w:oddHBand="1" w:evenHBand="0" w:firstRowFirstColumn="0" w:firstRowLastColumn="0" w:lastRowFirstColumn="0" w:lastRowLastColumn="0"/>
            </w:pPr>
            <w:r>
              <w:t xml:space="preserve">Moved </w:t>
            </w:r>
            <w:r w:rsidR="00B840BE">
              <w:t xml:space="preserve">second pathway </w:t>
            </w:r>
            <w:r>
              <w:t xml:space="preserve">from </w:t>
            </w:r>
            <w:r w:rsidR="00B840BE">
              <w:t xml:space="preserve">this </w:t>
            </w:r>
            <w:r>
              <w:t>document to new NMI M 13</w:t>
            </w:r>
            <w:r w:rsidR="00A72837">
              <w:t>-1</w:t>
            </w:r>
            <w:r>
              <w:t>.</w:t>
            </w:r>
          </w:p>
        </w:tc>
      </w:tr>
      <w:tr w:rsidR="00B840BE" w:rsidRPr="00060611" w14:paraId="2A897E2C"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3BEB5B43" w14:textId="5CC7CB20" w:rsidR="00B840BE" w:rsidRPr="00060611" w:rsidRDefault="008D0FC1" w:rsidP="00B840BE">
            <w:pPr>
              <w:spacing w:after="0"/>
            </w:pPr>
            <w:r>
              <w:rPr>
                <w:b w:val="0"/>
              </w:rPr>
              <w:t>2</w:t>
            </w:r>
          </w:p>
        </w:tc>
        <w:tc>
          <w:tcPr>
            <w:tcW w:w="0" w:type="auto"/>
          </w:tcPr>
          <w:p w14:paraId="4F18FFFE" w14:textId="7854D8BD" w:rsidR="00B840BE" w:rsidRDefault="00B840BE" w:rsidP="00B840BE">
            <w:pPr>
              <w:spacing w:after="0"/>
              <w:jc w:val="center"/>
              <w:cnfStyle w:val="000000000000" w:firstRow="0" w:lastRow="0" w:firstColumn="0" w:lastColumn="0" w:oddVBand="0" w:evenVBand="0" w:oddHBand="0" w:evenHBand="0" w:firstRowFirstColumn="0" w:firstRowLastColumn="0" w:lastRowFirstColumn="0" w:lastRowLastColumn="0"/>
            </w:pPr>
            <w:r>
              <w:t>i</w:t>
            </w:r>
          </w:p>
        </w:tc>
        <w:tc>
          <w:tcPr>
            <w:tcW w:w="1050" w:type="dxa"/>
          </w:tcPr>
          <w:p w14:paraId="0D218745" w14:textId="548F81B3" w:rsidR="00B840BE" w:rsidRDefault="008D0FC1" w:rsidP="00B840BE">
            <w:pPr>
              <w:spacing w:after="0"/>
              <w:cnfStyle w:val="000000000000" w:firstRow="0" w:lastRow="0" w:firstColumn="0" w:lastColumn="0" w:oddVBand="0" w:evenVBand="0" w:oddHBand="0" w:evenHBand="0" w:firstRowFirstColumn="0" w:firstRowLastColumn="0" w:lastRowFirstColumn="0" w:lastRowLastColumn="0"/>
            </w:pPr>
            <w:r>
              <w:t>Title</w:t>
            </w:r>
          </w:p>
        </w:tc>
        <w:tc>
          <w:tcPr>
            <w:tcW w:w="7442" w:type="dxa"/>
          </w:tcPr>
          <w:p w14:paraId="5A4F2D4B" w14:textId="6590AD91" w:rsidR="00B840BE" w:rsidRDefault="00B840BE" w:rsidP="00B840BE">
            <w:pPr>
              <w:spacing w:after="0"/>
              <w:cnfStyle w:val="000000000000" w:firstRow="0" w:lastRow="0" w:firstColumn="0" w:lastColumn="0" w:oddVBand="0" w:evenVBand="0" w:oddHBand="0" w:evenHBand="0" w:firstRowFirstColumn="0" w:firstRowLastColumn="0" w:lastRowFirstColumn="0" w:lastRowLastColumn="0"/>
            </w:pPr>
            <w:r>
              <w:t>Added ‘(a.c)’ indicating alternati</w:t>
            </w:r>
            <w:r w:rsidR="008D0FC1">
              <w:t>ng current to clarify the scope.</w:t>
            </w:r>
          </w:p>
        </w:tc>
      </w:tr>
      <w:tr w:rsidR="008D0FC1" w:rsidRPr="00060611" w14:paraId="13F76A74"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677BC5" w14:textId="77C8643C" w:rsidR="008D0FC1" w:rsidRPr="008D0FC1" w:rsidRDefault="008D0FC1" w:rsidP="00B840BE">
            <w:pPr>
              <w:spacing w:after="0"/>
              <w:rPr>
                <w:b w:val="0"/>
              </w:rPr>
            </w:pPr>
            <w:r w:rsidRPr="008D0FC1">
              <w:rPr>
                <w:b w:val="0"/>
              </w:rPr>
              <w:t>3</w:t>
            </w:r>
          </w:p>
        </w:tc>
        <w:tc>
          <w:tcPr>
            <w:tcW w:w="0" w:type="auto"/>
          </w:tcPr>
          <w:p w14:paraId="1B03E19A" w14:textId="13D6113C" w:rsidR="008D0FC1" w:rsidRDefault="0065571B" w:rsidP="00B840BE">
            <w:pPr>
              <w:spacing w:after="0"/>
              <w:jc w:val="center"/>
              <w:cnfStyle w:val="000000100000" w:firstRow="0" w:lastRow="0" w:firstColumn="0" w:lastColumn="0" w:oddVBand="0" w:evenVBand="0" w:oddHBand="1" w:evenHBand="0" w:firstRowFirstColumn="0" w:firstRowLastColumn="0" w:lastRowFirstColumn="0" w:lastRowLastColumn="0"/>
            </w:pPr>
            <w:r>
              <w:t>i</w:t>
            </w:r>
            <w:r w:rsidR="008D0FC1">
              <w:t>ii</w:t>
            </w:r>
          </w:p>
        </w:tc>
        <w:tc>
          <w:tcPr>
            <w:tcW w:w="1050" w:type="dxa"/>
          </w:tcPr>
          <w:p w14:paraId="7EF28AC9" w14:textId="581E18A2" w:rsidR="008D0FC1" w:rsidRDefault="008D0FC1" w:rsidP="00B840BE">
            <w:pPr>
              <w:spacing w:after="0"/>
              <w:cnfStyle w:val="000000100000" w:firstRow="0" w:lastRow="0" w:firstColumn="0" w:lastColumn="0" w:oddVBand="0" w:evenVBand="0" w:oddHBand="1" w:evenHBand="0" w:firstRowFirstColumn="0" w:firstRowLastColumn="0" w:lastRowFirstColumn="0" w:lastRowLastColumn="0"/>
            </w:pPr>
            <w:r>
              <w:t>Preface</w:t>
            </w:r>
          </w:p>
        </w:tc>
        <w:tc>
          <w:tcPr>
            <w:tcW w:w="7442" w:type="dxa"/>
          </w:tcPr>
          <w:p w14:paraId="39C349EA" w14:textId="16F5CAAC" w:rsidR="008D0FC1" w:rsidRDefault="008D0FC1" w:rsidP="00B840BE">
            <w:pPr>
              <w:spacing w:after="0"/>
              <w:cnfStyle w:val="000000100000" w:firstRow="0" w:lastRow="0" w:firstColumn="0" w:lastColumn="0" w:oddVBand="0" w:evenVBand="0" w:oddHBand="1" w:evenHBand="0" w:firstRowFirstColumn="0" w:firstRowLastColumn="0" w:lastRowFirstColumn="0" w:lastRowLastColumn="0"/>
            </w:pPr>
            <w:r>
              <w:t>Amended to explain the changes to pathways.</w:t>
            </w:r>
          </w:p>
        </w:tc>
      </w:tr>
      <w:tr w:rsidR="008D0FC1" w:rsidRPr="00060611" w14:paraId="47F71886"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3A7F0E6D" w14:textId="6D749642" w:rsidR="008D0FC1" w:rsidRPr="008D0FC1" w:rsidRDefault="008D0FC1" w:rsidP="00B840BE">
            <w:pPr>
              <w:spacing w:after="0"/>
              <w:rPr>
                <w:b w:val="0"/>
              </w:rPr>
            </w:pPr>
            <w:r>
              <w:rPr>
                <w:b w:val="0"/>
              </w:rPr>
              <w:t>4</w:t>
            </w:r>
          </w:p>
        </w:tc>
        <w:tc>
          <w:tcPr>
            <w:tcW w:w="0" w:type="auto"/>
          </w:tcPr>
          <w:p w14:paraId="375951E0" w14:textId="2CB54A0E" w:rsidR="008D0FC1" w:rsidRDefault="008D0FC1" w:rsidP="00B840BE">
            <w:pPr>
              <w:spacing w:after="0"/>
              <w:jc w:val="center"/>
              <w:cnfStyle w:val="000000000000" w:firstRow="0" w:lastRow="0" w:firstColumn="0" w:lastColumn="0" w:oddVBand="0" w:evenVBand="0" w:oddHBand="0" w:evenHBand="0" w:firstRowFirstColumn="0" w:firstRowLastColumn="0" w:lastRowFirstColumn="0" w:lastRowLastColumn="0"/>
            </w:pPr>
            <w:r>
              <w:t>1</w:t>
            </w:r>
          </w:p>
        </w:tc>
        <w:tc>
          <w:tcPr>
            <w:tcW w:w="1050" w:type="dxa"/>
          </w:tcPr>
          <w:p w14:paraId="78A6D5E3" w14:textId="41E6BA1A" w:rsidR="008D0FC1" w:rsidRDefault="008D0FC1" w:rsidP="00B840BE">
            <w:pPr>
              <w:spacing w:after="0"/>
              <w:cnfStyle w:val="000000000000" w:firstRow="0" w:lastRow="0" w:firstColumn="0" w:lastColumn="0" w:oddVBand="0" w:evenVBand="0" w:oddHBand="0" w:evenHBand="0" w:firstRowFirstColumn="0" w:firstRowLastColumn="0" w:lastRowFirstColumn="0" w:lastRowLastColumn="0"/>
            </w:pPr>
            <w:r>
              <w:t>1.1</w:t>
            </w:r>
          </w:p>
        </w:tc>
        <w:tc>
          <w:tcPr>
            <w:tcW w:w="7442" w:type="dxa"/>
          </w:tcPr>
          <w:p w14:paraId="33686BAA" w14:textId="7C73EDA3" w:rsidR="008D0FC1" w:rsidRDefault="00BD7D92" w:rsidP="008D0FC1">
            <w:pPr>
              <w:spacing w:after="0"/>
              <w:cnfStyle w:val="000000000000" w:firstRow="0" w:lastRow="0" w:firstColumn="0" w:lastColumn="0" w:oddVBand="0" w:evenVBand="0" w:oddHBand="0" w:evenHBand="0" w:firstRowFirstColumn="0" w:firstRowLastColumn="0" w:lastRowFirstColumn="0" w:lastRowLastColumn="0"/>
            </w:pPr>
            <w:r>
              <w:t>Updated</w:t>
            </w:r>
            <w:r w:rsidR="008D0FC1">
              <w:t xml:space="preserve"> </w:t>
            </w:r>
            <w:r w:rsidR="00F31149">
              <w:t>‘</w:t>
            </w:r>
            <w:r w:rsidR="008D0FC1">
              <w:t>Scope</w:t>
            </w:r>
            <w:r w:rsidR="00F31149">
              <w:t>’</w:t>
            </w:r>
            <w:r w:rsidR="008D0FC1">
              <w:t xml:space="preserve"> to clarify this document only applies to alternating current (a.c.).</w:t>
            </w:r>
          </w:p>
        </w:tc>
      </w:tr>
      <w:tr w:rsidR="00B840BE" w:rsidRPr="00060611" w14:paraId="6E875909"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6F38DC" w14:textId="48B55485" w:rsidR="00B840BE" w:rsidRPr="00060611" w:rsidRDefault="008D0FC1" w:rsidP="00B840BE">
            <w:pPr>
              <w:spacing w:after="0"/>
              <w:rPr>
                <w:b w:val="0"/>
              </w:rPr>
            </w:pPr>
            <w:r>
              <w:rPr>
                <w:b w:val="0"/>
              </w:rPr>
              <w:t>5</w:t>
            </w:r>
          </w:p>
        </w:tc>
        <w:tc>
          <w:tcPr>
            <w:tcW w:w="0" w:type="auto"/>
          </w:tcPr>
          <w:p w14:paraId="54216ACC" w14:textId="23DC2312" w:rsidR="00B840BE" w:rsidRPr="00060611" w:rsidRDefault="008D0FC1" w:rsidP="00B840BE">
            <w:pPr>
              <w:spacing w:after="0"/>
              <w:jc w:val="center"/>
              <w:cnfStyle w:val="000000100000" w:firstRow="0" w:lastRow="0" w:firstColumn="0" w:lastColumn="0" w:oddVBand="0" w:evenVBand="0" w:oddHBand="1" w:evenHBand="0" w:firstRowFirstColumn="0" w:firstRowLastColumn="0" w:lastRowFirstColumn="0" w:lastRowLastColumn="0"/>
            </w:pPr>
            <w:r>
              <w:t>1</w:t>
            </w:r>
          </w:p>
        </w:tc>
        <w:tc>
          <w:tcPr>
            <w:tcW w:w="1050" w:type="dxa"/>
          </w:tcPr>
          <w:p w14:paraId="210B070D" w14:textId="02EDE247" w:rsidR="00B840BE" w:rsidRPr="00060611" w:rsidRDefault="008D0FC1" w:rsidP="00B840BE">
            <w:pPr>
              <w:spacing w:after="0"/>
              <w:cnfStyle w:val="000000100000" w:firstRow="0" w:lastRow="0" w:firstColumn="0" w:lastColumn="0" w:oddVBand="0" w:evenVBand="0" w:oddHBand="1" w:evenHBand="0" w:firstRowFirstColumn="0" w:firstRowLastColumn="0" w:lastRowFirstColumn="0" w:lastRowLastColumn="0"/>
            </w:pPr>
            <w:r>
              <w:t>1.2</w:t>
            </w:r>
          </w:p>
        </w:tc>
        <w:tc>
          <w:tcPr>
            <w:tcW w:w="7442" w:type="dxa"/>
          </w:tcPr>
          <w:p w14:paraId="3F1A49A0" w14:textId="513490A6" w:rsidR="00B840BE" w:rsidRPr="00060611" w:rsidRDefault="008D0FC1" w:rsidP="008D0FC1">
            <w:pPr>
              <w:spacing w:after="0"/>
              <w:cnfStyle w:val="000000100000" w:firstRow="0" w:lastRow="0" w:firstColumn="0" w:lastColumn="0" w:oddVBand="0" w:evenVBand="0" w:oddHBand="1" w:evenHBand="0" w:firstRowFirstColumn="0" w:firstRowLastColumn="0" w:lastRowFirstColumn="0" w:lastRowLastColumn="0"/>
            </w:pPr>
            <w:r>
              <w:t xml:space="preserve">Amended </w:t>
            </w:r>
            <w:r w:rsidR="00F31149">
              <w:t>‘</w:t>
            </w:r>
            <w:r w:rsidR="00B840BE">
              <w:t>Application</w:t>
            </w:r>
            <w:r w:rsidR="00F31149">
              <w:t>’</w:t>
            </w:r>
            <w:r w:rsidR="00B840BE">
              <w:t xml:space="preserve"> to </w:t>
            </w:r>
            <w:r>
              <w:t>remove p</w:t>
            </w:r>
            <w:r w:rsidR="00B840BE">
              <w:t xml:space="preserve">athway 2 </w:t>
            </w:r>
            <w:r>
              <w:t xml:space="preserve">from </w:t>
            </w:r>
            <w:r w:rsidR="00B840BE">
              <w:t>this document. See the preface for more information on pathways.</w:t>
            </w:r>
          </w:p>
        </w:tc>
      </w:tr>
      <w:tr w:rsidR="0077739A" w:rsidRPr="00060611" w14:paraId="3E320F8A"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41B34BE0" w14:textId="218B0863" w:rsidR="0077739A" w:rsidRDefault="0077739A" w:rsidP="00B840BE">
            <w:pPr>
              <w:spacing w:after="0"/>
              <w:rPr>
                <w:b w:val="0"/>
              </w:rPr>
            </w:pPr>
            <w:r>
              <w:rPr>
                <w:b w:val="0"/>
              </w:rPr>
              <w:t>6</w:t>
            </w:r>
          </w:p>
        </w:tc>
        <w:tc>
          <w:tcPr>
            <w:tcW w:w="0" w:type="auto"/>
          </w:tcPr>
          <w:p w14:paraId="16729BC1" w14:textId="2B75A01A" w:rsidR="0077739A" w:rsidRDefault="0077739A" w:rsidP="00B840BE">
            <w:pPr>
              <w:spacing w:after="0"/>
              <w:jc w:val="center"/>
              <w:cnfStyle w:val="000000000000" w:firstRow="0" w:lastRow="0" w:firstColumn="0" w:lastColumn="0" w:oddVBand="0" w:evenVBand="0" w:oddHBand="0" w:evenHBand="0" w:firstRowFirstColumn="0" w:firstRowLastColumn="0" w:lastRowFirstColumn="0" w:lastRowLastColumn="0"/>
            </w:pPr>
            <w:r>
              <w:t>3</w:t>
            </w:r>
          </w:p>
        </w:tc>
        <w:tc>
          <w:tcPr>
            <w:tcW w:w="1050" w:type="dxa"/>
          </w:tcPr>
          <w:p w14:paraId="45CE0A9D" w14:textId="6387F443" w:rsidR="0077739A" w:rsidRDefault="0077739A" w:rsidP="00B840BE">
            <w:pPr>
              <w:spacing w:after="0"/>
              <w:cnfStyle w:val="000000000000" w:firstRow="0" w:lastRow="0" w:firstColumn="0" w:lastColumn="0" w:oddVBand="0" w:evenVBand="0" w:oddHBand="0" w:evenHBand="0" w:firstRowFirstColumn="0" w:firstRowLastColumn="0" w:lastRowFirstColumn="0" w:lastRowLastColumn="0"/>
            </w:pPr>
            <w:r>
              <w:t>2.18</w:t>
            </w:r>
          </w:p>
        </w:tc>
        <w:tc>
          <w:tcPr>
            <w:tcW w:w="7442" w:type="dxa"/>
          </w:tcPr>
          <w:p w14:paraId="0C79F82A" w14:textId="5C79E69F" w:rsidR="0077739A" w:rsidRDefault="00BD7D92" w:rsidP="00BD7D92">
            <w:pPr>
              <w:spacing w:after="0"/>
              <w:cnfStyle w:val="000000000000" w:firstRow="0" w:lastRow="0" w:firstColumn="0" w:lastColumn="0" w:oddVBand="0" w:evenVBand="0" w:oddHBand="0" w:evenHBand="0" w:firstRowFirstColumn="0" w:firstRowLastColumn="0" w:lastRowFirstColumn="0" w:lastRowLastColumn="0"/>
            </w:pPr>
            <w:r>
              <w:t>Corrected the numbering for</w:t>
            </w:r>
            <w:r w:rsidR="0077739A">
              <w:t xml:space="preserve"> Protective Class 1 and 2</w:t>
            </w:r>
            <w:r>
              <w:t>; now</w:t>
            </w:r>
            <w:r w:rsidR="0077739A">
              <w:t xml:space="preserve"> Protective Class I and II respectively.</w:t>
            </w:r>
          </w:p>
        </w:tc>
      </w:tr>
      <w:tr w:rsidR="00827272" w:rsidRPr="00060611" w14:paraId="5332C3B5"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67E3CD" w14:textId="5D8AEAD1" w:rsidR="00827272" w:rsidRDefault="00827272" w:rsidP="00B840BE">
            <w:pPr>
              <w:spacing w:after="0"/>
              <w:rPr>
                <w:b w:val="0"/>
              </w:rPr>
            </w:pPr>
            <w:r>
              <w:rPr>
                <w:b w:val="0"/>
              </w:rPr>
              <w:t>7</w:t>
            </w:r>
          </w:p>
        </w:tc>
        <w:tc>
          <w:tcPr>
            <w:tcW w:w="0" w:type="auto"/>
          </w:tcPr>
          <w:p w14:paraId="7C9AE38B" w14:textId="1E4606C4" w:rsidR="00827272" w:rsidRDefault="00827272" w:rsidP="00B840BE">
            <w:pPr>
              <w:spacing w:after="0"/>
              <w:jc w:val="center"/>
              <w:cnfStyle w:val="000000100000" w:firstRow="0" w:lastRow="0" w:firstColumn="0" w:lastColumn="0" w:oddVBand="0" w:evenVBand="0" w:oddHBand="1" w:evenHBand="0" w:firstRowFirstColumn="0" w:firstRowLastColumn="0" w:lastRowFirstColumn="0" w:lastRowLastColumn="0"/>
            </w:pPr>
            <w:r>
              <w:t>10</w:t>
            </w:r>
          </w:p>
        </w:tc>
        <w:tc>
          <w:tcPr>
            <w:tcW w:w="1050" w:type="dxa"/>
          </w:tcPr>
          <w:p w14:paraId="5D1854EA" w14:textId="58325268" w:rsidR="00827272" w:rsidRDefault="00827272" w:rsidP="00B840BE">
            <w:pPr>
              <w:spacing w:after="0"/>
              <w:cnfStyle w:val="000000100000" w:firstRow="0" w:lastRow="0" w:firstColumn="0" w:lastColumn="0" w:oddVBand="0" w:evenVBand="0" w:oddHBand="1" w:evenHBand="0" w:firstRowFirstColumn="0" w:firstRowLastColumn="0" w:lastRowFirstColumn="0" w:lastRowLastColumn="0"/>
            </w:pPr>
            <w:r>
              <w:t>5.3, Table 6</w:t>
            </w:r>
          </w:p>
        </w:tc>
        <w:tc>
          <w:tcPr>
            <w:tcW w:w="7442" w:type="dxa"/>
          </w:tcPr>
          <w:p w14:paraId="097E73F2" w14:textId="59F045E5" w:rsidR="00827272" w:rsidRDefault="00827272" w:rsidP="00827272">
            <w:pPr>
              <w:spacing w:after="0"/>
              <w:cnfStyle w:val="000000100000" w:firstRow="0" w:lastRow="0" w:firstColumn="0" w:lastColumn="0" w:oddVBand="0" w:evenVBand="0" w:oddHBand="1" w:evenHBand="0" w:firstRowFirstColumn="0" w:firstRowLastColumn="0" w:lastRowFirstColumn="0" w:lastRowLastColumn="0"/>
            </w:pPr>
            <w:r>
              <w:t xml:space="preserve">Changed all units for temperature from K to </w:t>
            </w:r>
            <w:r>
              <w:rPr>
                <w:rFonts w:cs="Arial"/>
              </w:rPr>
              <w:t>°</w:t>
            </w:r>
            <w:r>
              <w:t>C for clarity and consistency.</w:t>
            </w:r>
          </w:p>
        </w:tc>
      </w:tr>
      <w:tr w:rsidR="00B840BE" w:rsidRPr="00060611" w14:paraId="3B6EC896"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4F044921" w14:textId="217F51F4" w:rsidR="00B840BE" w:rsidRPr="00060611" w:rsidRDefault="00827272" w:rsidP="00B840BE">
            <w:pPr>
              <w:spacing w:after="0"/>
              <w:rPr>
                <w:b w:val="0"/>
              </w:rPr>
            </w:pPr>
            <w:r>
              <w:rPr>
                <w:b w:val="0"/>
              </w:rPr>
              <w:t>8</w:t>
            </w:r>
          </w:p>
        </w:tc>
        <w:tc>
          <w:tcPr>
            <w:tcW w:w="0" w:type="auto"/>
          </w:tcPr>
          <w:p w14:paraId="3F7ACD06" w14:textId="439D1543" w:rsidR="00B840BE" w:rsidRPr="00060611" w:rsidRDefault="00BD7D92" w:rsidP="00B840BE">
            <w:pPr>
              <w:spacing w:after="0"/>
              <w:jc w:val="center"/>
              <w:cnfStyle w:val="000000000000" w:firstRow="0" w:lastRow="0" w:firstColumn="0" w:lastColumn="0" w:oddVBand="0" w:evenVBand="0" w:oddHBand="0" w:evenHBand="0" w:firstRowFirstColumn="0" w:firstRowLastColumn="0" w:lastRowFirstColumn="0" w:lastRowLastColumn="0"/>
            </w:pPr>
            <w:r>
              <w:t>11</w:t>
            </w:r>
          </w:p>
        </w:tc>
        <w:tc>
          <w:tcPr>
            <w:tcW w:w="1050" w:type="dxa"/>
          </w:tcPr>
          <w:p w14:paraId="651842C2" w14:textId="06DED011" w:rsidR="00B840BE" w:rsidRPr="00060611" w:rsidRDefault="00BD7D92" w:rsidP="00B840BE">
            <w:pPr>
              <w:spacing w:after="0"/>
              <w:cnfStyle w:val="000000000000" w:firstRow="0" w:lastRow="0" w:firstColumn="0" w:lastColumn="0" w:oddVBand="0" w:evenVBand="0" w:oddHBand="0" w:evenHBand="0" w:firstRowFirstColumn="0" w:firstRowLastColumn="0" w:lastRowFirstColumn="0" w:lastRowLastColumn="0"/>
            </w:pPr>
            <w:r>
              <w:t>6</w:t>
            </w:r>
          </w:p>
        </w:tc>
        <w:tc>
          <w:tcPr>
            <w:tcW w:w="7442" w:type="dxa"/>
          </w:tcPr>
          <w:p w14:paraId="6EC5F5AC" w14:textId="1C8BE6C6" w:rsidR="00B840BE" w:rsidRPr="00060611" w:rsidRDefault="00BD7D92" w:rsidP="00B04A7D">
            <w:pPr>
              <w:spacing w:after="0"/>
              <w:cnfStyle w:val="000000000000" w:firstRow="0" w:lastRow="0" w:firstColumn="0" w:lastColumn="0" w:oddVBand="0" w:evenVBand="0" w:oddHBand="0" w:evenHBand="0" w:firstRowFirstColumn="0" w:firstRowLastColumn="0" w:lastRowFirstColumn="0" w:lastRowLastColumn="0"/>
            </w:pPr>
            <w:r>
              <w:t xml:space="preserve">Updated </w:t>
            </w:r>
            <w:r w:rsidR="00F31149">
              <w:t>‘</w:t>
            </w:r>
            <w:r>
              <w:t>Internal Clocks</w:t>
            </w:r>
            <w:r w:rsidR="00F31149">
              <w:t>’</w:t>
            </w:r>
            <w:r>
              <w:t xml:space="preserve"> to </w:t>
            </w:r>
            <w:r w:rsidR="00B04A7D">
              <w:t>clarify that</w:t>
            </w:r>
            <w:r>
              <w:t xml:space="preserve"> it </w:t>
            </w:r>
            <w:r w:rsidR="00B04A7D">
              <w:t xml:space="preserve">is </w:t>
            </w:r>
            <w:r>
              <w:t>applicable for any solid state internal clock intended for use for trade.</w:t>
            </w:r>
          </w:p>
        </w:tc>
      </w:tr>
      <w:tr w:rsidR="00F31149" w:rsidRPr="00060611" w14:paraId="52B93DEE"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D3FFBF" w14:textId="077C35F2" w:rsidR="00F31149" w:rsidRDefault="00827272" w:rsidP="00B840BE">
            <w:pPr>
              <w:spacing w:after="0"/>
              <w:rPr>
                <w:b w:val="0"/>
              </w:rPr>
            </w:pPr>
            <w:r>
              <w:rPr>
                <w:b w:val="0"/>
              </w:rPr>
              <w:t>9</w:t>
            </w:r>
          </w:p>
        </w:tc>
        <w:tc>
          <w:tcPr>
            <w:tcW w:w="0" w:type="auto"/>
          </w:tcPr>
          <w:p w14:paraId="23070680" w14:textId="693FE3D4" w:rsidR="00F31149" w:rsidRDefault="00F31149" w:rsidP="00B840BE">
            <w:pPr>
              <w:spacing w:after="0"/>
              <w:jc w:val="center"/>
              <w:cnfStyle w:val="000000100000" w:firstRow="0" w:lastRow="0" w:firstColumn="0" w:lastColumn="0" w:oddVBand="0" w:evenVBand="0" w:oddHBand="1" w:evenHBand="0" w:firstRowFirstColumn="0" w:firstRowLastColumn="0" w:lastRowFirstColumn="0" w:lastRowLastColumn="0"/>
            </w:pPr>
            <w:r>
              <w:t>12</w:t>
            </w:r>
          </w:p>
        </w:tc>
        <w:tc>
          <w:tcPr>
            <w:tcW w:w="1050" w:type="dxa"/>
          </w:tcPr>
          <w:p w14:paraId="5F91143F" w14:textId="53143D1E" w:rsidR="00F31149" w:rsidRDefault="00F31149" w:rsidP="00B840BE">
            <w:pPr>
              <w:spacing w:after="0"/>
              <w:cnfStyle w:val="000000100000" w:firstRow="0" w:lastRow="0" w:firstColumn="0" w:lastColumn="0" w:oddVBand="0" w:evenVBand="0" w:oddHBand="1" w:evenHBand="0" w:firstRowFirstColumn="0" w:firstRowLastColumn="0" w:lastRowFirstColumn="0" w:lastRowLastColumn="0"/>
            </w:pPr>
            <w:r>
              <w:t>8.1</w:t>
            </w:r>
          </w:p>
        </w:tc>
        <w:tc>
          <w:tcPr>
            <w:tcW w:w="7442" w:type="dxa"/>
          </w:tcPr>
          <w:p w14:paraId="5BC2941F" w14:textId="2AB2ACB9" w:rsidR="00F31149" w:rsidRDefault="00F31149" w:rsidP="00F31149">
            <w:pPr>
              <w:spacing w:after="0"/>
              <w:cnfStyle w:val="000000100000" w:firstRow="0" w:lastRow="0" w:firstColumn="0" w:lastColumn="0" w:oddVBand="0" w:evenVBand="0" w:oddHBand="1" w:evenHBand="0" w:firstRowFirstColumn="0" w:firstRowLastColumn="0" w:lastRowFirstColumn="0" w:lastRowLastColumn="0"/>
            </w:pPr>
            <w:r>
              <w:t>Amended ‘Information to be Displayed on Meter Exterior’ to clarify that the marking shall be visible when the meter is installed. Also added alternatives for some markings if there is limited space.</w:t>
            </w:r>
          </w:p>
        </w:tc>
      </w:tr>
      <w:tr w:rsidR="00F31149" w:rsidRPr="00060611" w14:paraId="2389A2E9"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67A79F5A" w14:textId="5D339D26" w:rsidR="00F31149" w:rsidRDefault="00827272" w:rsidP="00B840BE">
            <w:pPr>
              <w:spacing w:after="0"/>
              <w:rPr>
                <w:b w:val="0"/>
              </w:rPr>
            </w:pPr>
            <w:r>
              <w:rPr>
                <w:b w:val="0"/>
              </w:rPr>
              <w:t>10</w:t>
            </w:r>
          </w:p>
        </w:tc>
        <w:tc>
          <w:tcPr>
            <w:tcW w:w="0" w:type="auto"/>
          </w:tcPr>
          <w:p w14:paraId="2499253A" w14:textId="7047FA3D" w:rsidR="00F31149" w:rsidRDefault="00F31149" w:rsidP="00B840BE">
            <w:pPr>
              <w:spacing w:after="0"/>
              <w:jc w:val="center"/>
              <w:cnfStyle w:val="000000000000" w:firstRow="0" w:lastRow="0" w:firstColumn="0" w:lastColumn="0" w:oddVBand="0" w:evenVBand="0" w:oddHBand="0" w:evenHBand="0" w:firstRowFirstColumn="0" w:firstRowLastColumn="0" w:lastRowFirstColumn="0" w:lastRowLastColumn="0"/>
            </w:pPr>
            <w:r>
              <w:t>12</w:t>
            </w:r>
          </w:p>
        </w:tc>
        <w:tc>
          <w:tcPr>
            <w:tcW w:w="1050" w:type="dxa"/>
          </w:tcPr>
          <w:p w14:paraId="2235DA45" w14:textId="4CAC27B3" w:rsidR="00F31149" w:rsidRDefault="00F31149" w:rsidP="00B840BE">
            <w:pPr>
              <w:spacing w:after="0"/>
              <w:cnfStyle w:val="000000000000" w:firstRow="0" w:lastRow="0" w:firstColumn="0" w:lastColumn="0" w:oddVBand="0" w:evenVBand="0" w:oddHBand="0" w:evenHBand="0" w:firstRowFirstColumn="0" w:firstRowLastColumn="0" w:lastRowFirstColumn="0" w:lastRowLastColumn="0"/>
            </w:pPr>
            <w:r>
              <w:t>8.1d)</w:t>
            </w:r>
          </w:p>
        </w:tc>
        <w:tc>
          <w:tcPr>
            <w:tcW w:w="7442" w:type="dxa"/>
          </w:tcPr>
          <w:p w14:paraId="07034563" w14:textId="00CA7A24" w:rsidR="00F31149" w:rsidRDefault="00F31149" w:rsidP="006C1AF3">
            <w:pPr>
              <w:spacing w:after="0"/>
              <w:cnfStyle w:val="000000000000" w:firstRow="0" w:lastRow="0" w:firstColumn="0" w:lastColumn="0" w:oddVBand="0" w:evenVBand="0" w:oddHBand="0" w:evenHBand="0" w:firstRowFirstColumn="0" w:firstRowLastColumn="0" w:lastRowFirstColumn="0" w:lastRowLastColumn="0"/>
            </w:pPr>
            <w:r>
              <w:t xml:space="preserve">Amended to clarify </w:t>
            </w:r>
            <w:r w:rsidR="006C1AF3">
              <w:t xml:space="preserve">(space for) </w:t>
            </w:r>
            <w:r>
              <w:t>pattern approval number</w:t>
            </w:r>
            <w:r w:rsidR="006C1AF3">
              <w:t xml:space="preserve"> marking.</w:t>
            </w:r>
          </w:p>
        </w:tc>
      </w:tr>
      <w:tr w:rsidR="006C1AF3" w:rsidRPr="00060611" w14:paraId="1CB9D6D4"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6231BF" w14:textId="1E326143" w:rsidR="006C1AF3" w:rsidRDefault="00827272" w:rsidP="00B840BE">
            <w:pPr>
              <w:spacing w:after="0"/>
              <w:rPr>
                <w:b w:val="0"/>
              </w:rPr>
            </w:pPr>
            <w:r>
              <w:rPr>
                <w:b w:val="0"/>
              </w:rPr>
              <w:t>11</w:t>
            </w:r>
          </w:p>
        </w:tc>
        <w:tc>
          <w:tcPr>
            <w:tcW w:w="0" w:type="auto"/>
          </w:tcPr>
          <w:p w14:paraId="6C1B44CD" w14:textId="01965393" w:rsidR="006C1AF3" w:rsidRDefault="006C1AF3" w:rsidP="00B840BE">
            <w:pPr>
              <w:spacing w:after="0"/>
              <w:jc w:val="center"/>
              <w:cnfStyle w:val="000000100000" w:firstRow="0" w:lastRow="0" w:firstColumn="0" w:lastColumn="0" w:oddVBand="0" w:evenVBand="0" w:oddHBand="1" w:evenHBand="0" w:firstRowFirstColumn="0" w:firstRowLastColumn="0" w:lastRowFirstColumn="0" w:lastRowLastColumn="0"/>
            </w:pPr>
            <w:r>
              <w:t>13</w:t>
            </w:r>
          </w:p>
        </w:tc>
        <w:tc>
          <w:tcPr>
            <w:tcW w:w="1050" w:type="dxa"/>
          </w:tcPr>
          <w:p w14:paraId="6D2B5332" w14:textId="7F10E88B" w:rsidR="006C1AF3" w:rsidRDefault="006C1AF3" w:rsidP="00B840BE">
            <w:pPr>
              <w:spacing w:after="0"/>
              <w:cnfStyle w:val="000000100000" w:firstRow="0" w:lastRow="0" w:firstColumn="0" w:lastColumn="0" w:oddVBand="0" w:evenVBand="0" w:oddHBand="1" w:evenHBand="0" w:firstRowFirstColumn="0" w:firstRowLastColumn="0" w:lastRowFirstColumn="0" w:lastRowLastColumn="0"/>
            </w:pPr>
            <w:r>
              <w:t>9.1</w:t>
            </w:r>
          </w:p>
        </w:tc>
        <w:tc>
          <w:tcPr>
            <w:tcW w:w="7442" w:type="dxa"/>
          </w:tcPr>
          <w:p w14:paraId="61B1DAFE" w14:textId="77777777" w:rsidR="006C1AF3" w:rsidRDefault="006C1AF3" w:rsidP="006C1AF3">
            <w:pPr>
              <w:spacing w:after="0"/>
              <w:cnfStyle w:val="000000100000" w:firstRow="0" w:lastRow="0" w:firstColumn="0" w:lastColumn="0" w:oddVBand="0" w:evenVBand="0" w:oddHBand="1" w:evenHBand="0" w:firstRowFirstColumn="0" w:firstRowLastColumn="0" w:lastRowFirstColumn="0" w:lastRowLastColumn="0"/>
            </w:pPr>
            <w:r>
              <w:t>Amended Verification Mark to:</w:t>
            </w:r>
          </w:p>
          <w:p w14:paraId="6835F056" w14:textId="77777777" w:rsidR="006C1AF3" w:rsidRDefault="006C1AF3" w:rsidP="000507AF">
            <w:pPr>
              <w:pStyle w:val="ListParagraph"/>
              <w:numPr>
                <w:ilvl w:val="0"/>
                <w:numId w:val="45"/>
              </w:numPr>
              <w:spacing w:after="0"/>
              <w:cnfStyle w:val="000000100000" w:firstRow="0" w:lastRow="0" w:firstColumn="0" w:lastColumn="0" w:oddVBand="0" w:evenVBand="0" w:oddHBand="1" w:evenHBand="0" w:firstRowFirstColumn="0" w:firstRowLastColumn="0" w:lastRowFirstColumn="0" w:lastRowLastColumn="0"/>
            </w:pPr>
            <w:r>
              <w:t>Correct Verifying Authority to Utility Meter Verifier</w:t>
            </w:r>
          </w:p>
          <w:p w14:paraId="3223A691" w14:textId="48D46282" w:rsidR="006C1AF3" w:rsidRDefault="006C1AF3" w:rsidP="000507AF">
            <w:pPr>
              <w:pStyle w:val="ListParagraph"/>
              <w:numPr>
                <w:ilvl w:val="0"/>
                <w:numId w:val="45"/>
              </w:numPr>
              <w:spacing w:after="0"/>
              <w:cnfStyle w:val="000000100000" w:firstRow="0" w:lastRow="0" w:firstColumn="0" w:lastColumn="0" w:oddVBand="0" w:evenVBand="0" w:oddHBand="1" w:evenHBand="0" w:firstRowFirstColumn="0" w:firstRowLastColumn="0" w:lastRowFirstColumn="0" w:lastRowLastColumn="0"/>
            </w:pPr>
            <w:r>
              <w:t>Add a note that it may be in the form of a Certificate of Verification.</w:t>
            </w:r>
          </w:p>
        </w:tc>
      </w:tr>
      <w:tr w:rsidR="000507AF" w:rsidRPr="00060611" w14:paraId="1D22449E"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62902DAA" w14:textId="1906D155" w:rsidR="000507AF" w:rsidRDefault="00827272" w:rsidP="00B840BE">
            <w:pPr>
              <w:spacing w:after="0"/>
              <w:rPr>
                <w:b w:val="0"/>
              </w:rPr>
            </w:pPr>
            <w:r>
              <w:rPr>
                <w:b w:val="0"/>
              </w:rPr>
              <w:t>12</w:t>
            </w:r>
          </w:p>
        </w:tc>
        <w:tc>
          <w:tcPr>
            <w:tcW w:w="0" w:type="auto"/>
          </w:tcPr>
          <w:p w14:paraId="5034AD58" w14:textId="49DCB7B7" w:rsidR="000507AF" w:rsidRDefault="000507AF" w:rsidP="00B840BE">
            <w:pPr>
              <w:spacing w:after="0"/>
              <w:jc w:val="center"/>
              <w:cnfStyle w:val="000000000000" w:firstRow="0" w:lastRow="0" w:firstColumn="0" w:lastColumn="0" w:oddVBand="0" w:evenVBand="0" w:oddHBand="0" w:evenHBand="0" w:firstRowFirstColumn="0" w:firstRowLastColumn="0" w:lastRowFirstColumn="0" w:lastRowLastColumn="0"/>
            </w:pPr>
            <w:r>
              <w:t>14</w:t>
            </w:r>
          </w:p>
        </w:tc>
        <w:tc>
          <w:tcPr>
            <w:tcW w:w="1050" w:type="dxa"/>
          </w:tcPr>
          <w:p w14:paraId="0FEAF9F7" w14:textId="3380B4BC" w:rsidR="000507AF" w:rsidRDefault="000507AF" w:rsidP="00B840BE">
            <w:pPr>
              <w:spacing w:after="0"/>
              <w:cnfStyle w:val="000000000000" w:firstRow="0" w:lastRow="0" w:firstColumn="0" w:lastColumn="0" w:oddVBand="0" w:evenVBand="0" w:oddHBand="0" w:evenHBand="0" w:firstRowFirstColumn="0" w:firstRowLastColumn="0" w:lastRowFirstColumn="0" w:lastRowLastColumn="0"/>
            </w:pPr>
            <w:r>
              <w:t>10.1.1</w:t>
            </w:r>
          </w:p>
        </w:tc>
        <w:tc>
          <w:tcPr>
            <w:tcW w:w="7442" w:type="dxa"/>
          </w:tcPr>
          <w:p w14:paraId="388D5374" w14:textId="77777777" w:rsidR="000507AF" w:rsidRDefault="000507AF" w:rsidP="000507AF">
            <w:pPr>
              <w:spacing w:after="0"/>
              <w:cnfStyle w:val="000000000000" w:firstRow="0" w:lastRow="0" w:firstColumn="0" w:lastColumn="0" w:oddVBand="0" w:evenVBand="0" w:oddHBand="0" w:evenHBand="0" w:firstRowFirstColumn="0" w:firstRowLastColumn="0" w:lastRowFirstColumn="0" w:lastRowLastColumn="0"/>
            </w:pPr>
            <w:r>
              <w:t>Amended ‘Documentation’ to remove:</w:t>
            </w:r>
          </w:p>
          <w:p w14:paraId="1E611B5F" w14:textId="77777777" w:rsidR="000507AF" w:rsidRDefault="000507AF" w:rsidP="000507AF">
            <w:pPr>
              <w:pStyle w:val="ListParagraph"/>
              <w:numPr>
                <w:ilvl w:val="0"/>
                <w:numId w:val="47"/>
              </w:numPr>
              <w:spacing w:after="0"/>
              <w:ind w:left="419" w:hanging="357"/>
              <w:cnfStyle w:val="000000000000" w:firstRow="0" w:lastRow="0" w:firstColumn="0" w:lastColumn="0" w:oddVBand="0" w:evenVBand="0" w:oddHBand="0" w:evenHBand="0" w:firstRowFirstColumn="0" w:firstRowLastColumn="0" w:lastRowFirstColumn="0" w:lastRowLastColumn="0"/>
            </w:pPr>
            <w:r>
              <w:t>Reference to traceability for internal clocks</w:t>
            </w:r>
            <w:r w:rsidR="00941CEE">
              <w:t xml:space="preserve"> – this is covered by clause 6</w:t>
            </w:r>
          </w:p>
          <w:p w14:paraId="448428E9" w14:textId="6C75777D" w:rsidR="00941CEE" w:rsidRDefault="00941CEE" w:rsidP="00941CEE">
            <w:pPr>
              <w:pStyle w:val="ListParagraph"/>
              <w:numPr>
                <w:ilvl w:val="0"/>
                <w:numId w:val="47"/>
              </w:numPr>
              <w:spacing w:after="0"/>
              <w:ind w:left="419" w:hanging="357"/>
              <w:cnfStyle w:val="000000000000" w:firstRow="0" w:lastRow="0" w:firstColumn="0" w:lastColumn="0" w:oddVBand="0" w:evenVBand="0" w:oddHBand="0" w:evenHBand="0" w:firstRowFirstColumn="0" w:firstRowLastColumn="0" w:lastRowFirstColumn="0" w:lastRowLastColumn="0"/>
            </w:pPr>
            <w:r>
              <w:t>Record-keeping requirements – this is covered by NMI P 106 and (future) software policies.</w:t>
            </w:r>
          </w:p>
        </w:tc>
      </w:tr>
      <w:tr w:rsidR="00941CEE" w:rsidRPr="00060611" w14:paraId="3036BBF6"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D5DB0E" w14:textId="5A2BC05F" w:rsidR="00941CEE" w:rsidRDefault="00827272" w:rsidP="00B840BE">
            <w:pPr>
              <w:spacing w:after="0"/>
              <w:rPr>
                <w:b w:val="0"/>
              </w:rPr>
            </w:pPr>
            <w:r>
              <w:rPr>
                <w:b w:val="0"/>
              </w:rPr>
              <w:t>13</w:t>
            </w:r>
          </w:p>
        </w:tc>
        <w:tc>
          <w:tcPr>
            <w:tcW w:w="0" w:type="auto"/>
          </w:tcPr>
          <w:p w14:paraId="50418166" w14:textId="234248DA" w:rsidR="00941CEE" w:rsidRDefault="00941CEE" w:rsidP="00B840BE">
            <w:pPr>
              <w:spacing w:after="0"/>
              <w:jc w:val="center"/>
              <w:cnfStyle w:val="000000100000" w:firstRow="0" w:lastRow="0" w:firstColumn="0" w:lastColumn="0" w:oddVBand="0" w:evenVBand="0" w:oddHBand="1" w:evenHBand="0" w:firstRowFirstColumn="0" w:firstRowLastColumn="0" w:lastRowFirstColumn="0" w:lastRowLastColumn="0"/>
            </w:pPr>
            <w:r>
              <w:t>14</w:t>
            </w:r>
          </w:p>
        </w:tc>
        <w:tc>
          <w:tcPr>
            <w:tcW w:w="1050" w:type="dxa"/>
          </w:tcPr>
          <w:p w14:paraId="7C0E13AC" w14:textId="40F1A7B7" w:rsidR="00941CEE" w:rsidRDefault="00941CEE" w:rsidP="00B840BE">
            <w:pPr>
              <w:spacing w:after="0"/>
              <w:cnfStyle w:val="000000100000" w:firstRow="0" w:lastRow="0" w:firstColumn="0" w:lastColumn="0" w:oddVBand="0" w:evenVBand="0" w:oddHBand="1" w:evenHBand="0" w:firstRowFirstColumn="0" w:firstRowLastColumn="0" w:lastRowFirstColumn="0" w:lastRowLastColumn="0"/>
            </w:pPr>
            <w:r>
              <w:t>10.1.2</w:t>
            </w:r>
          </w:p>
        </w:tc>
        <w:tc>
          <w:tcPr>
            <w:tcW w:w="7442" w:type="dxa"/>
          </w:tcPr>
          <w:p w14:paraId="4315A3B9" w14:textId="0EE9C8B4" w:rsidR="00941CEE" w:rsidRDefault="00941CEE" w:rsidP="00B04A7D">
            <w:pPr>
              <w:spacing w:after="0"/>
              <w:cnfStyle w:val="000000100000" w:firstRow="0" w:lastRow="0" w:firstColumn="0" w:lastColumn="0" w:oddVBand="0" w:evenVBand="0" w:oddHBand="1" w:evenHBand="0" w:firstRowFirstColumn="0" w:firstRowLastColumn="0" w:lastRowFirstColumn="0" w:lastRowLastColumn="0"/>
            </w:pPr>
            <w:r>
              <w:t xml:space="preserve">Amended ‘Meters Submitted for Testing’ to </w:t>
            </w:r>
            <w:r w:rsidR="00B04A7D">
              <w:t>clarify</w:t>
            </w:r>
            <w:r>
              <w:t xml:space="preserve"> that sample meters are required by testing facility – not submitted to NMI with application.</w:t>
            </w:r>
          </w:p>
        </w:tc>
      </w:tr>
      <w:tr w:rsidR="00941CEE" w:rsidRPr="00060611" w14:paraId="4A7FB408" w14:textId="77777777" w:rsidTr="00827272">
        <w:tc>
          <w:tcPr>
            <w:cnfStyle w:val="001000000000" w:firstRow="0" w:lastRow="0" w:firstColumn="1" w:lastColumn="0" w:oddVBand="0" w:evenVBand="0" w:oddHBand="0" w:evenHBand="0" w:firstRowFirstColumn="0" w:firstRowLastColumn="0" w:lastRowFirstColumn="0" w:lastRowLastColumn="0"/>
            <w:tcW w:w="0" w:type="auto"/>
          </w:tcPr>
          <w:p w14:paraId="1B1A92F6" w14:textId="55C74468" w:rsidR="00941CEE" w:rsidRDefault="00827272" w:rsidP="00941CEE">
            <w:pPr>
              <w:spacing w:after="0"/>
              <w:rPr>
                <w:b w:val="0"/>
              </w:rPr>
            </w:pPr>
            <w:r>
              <w:rPr>
                <w:b w:val="0"/>
              </w:rPr>
              <w:t>14</w:t>
            </w:r>
          </w:p>
        </w:tc>
        <w:tc>
          <w:tcPr>
            <w:tcW w:w="0" w:type="auto"/>
          </w:tcPr>
          <w:p w14:paraId="658495BF" w14:textId="77777777" w:rsidR="00941CEE" w:rsidRDefault="00941CEE" w:rsidP="00941CEE">
            <w:pPr>
              <w:spacing w:after="0"/>
              <w:jc w:val="center"/>
              <w:cnfStyle w:val="000000000000" w:firstRow="0" w:lastRow="0" w:firstColumn="0" w:lastColumn="0" w:oddVBand="0" w:evenVBand="0" w:oddHBand="0" w:evenHBand="0" w:firstRowFirstColumn="0" w:firstRowLastColumn="0" w:lastRowFirstColumn="0" w:lastRowLastColumn="0"/>
            </w:pPr>
            <w:r>
              <w:t>14</w:t>
            </w:r>
          </w:p>
        </w:tc>
        <w:tc>
          <w:tcPr>
            <w:tcW w:w="1050" w:type="dxa"/>
          </w:tcPr>
          <w:p w14:paraId="2A71AAF0" w14:textId="2D6F9A5B" w:rsidR="00941CEE" w:rsidRDefault="00941CEE" w:rsidP="00941CEE">
            <w:pPr>
              <w:spacing w:after="0"/>
              <w:cnfStyle w:val="000000000000" w:firstRow="0" w:lastRow="0" w:firstColumn="0" w:lastColumn="0" w:oddVBand="0" w:evenVBand="0" w:oddHBand="0" w:evenHBand="0" w:firstRowFirstColumn="0" w:firstRowLastColumn="0" w:lastRowFirstColumn="0" w:lastRowLastColumn="0"/>
            </w:pPr>
            <w:r>
              <w:t>10.1.3</w:t>
            </w:r>
          </w:p>
        </w:tc>
        <w:tc>
          <w:tcPr>
            <w:tcW w:w="7442" w:type="dxa"/>
          </w:tcPr>
          <w:p w14:paraId="65B777E7" w14:textId="12716C65" w:rsidR="00941CEE" w:rsidRDefault="00941CEE" w:rsidP="00B04A7D">
            <w:pPr>
              <w:spacing w:after="0"/>
              <w:cnfStyle w:val="000000000000" w:firstRow="0" w:lastRow="0" w:firstColumn="0" w:lastColumn="0" w:oddVBand="0" w:evenVBand="0" w:oddHBand="0" w:evenHBand="0" w:firstRowFirstColumn="0" w:firstRowLastColumn="0" w:lastRowFirstColumn="0" w:lastRowLastColumn="0"/>
            </w:pPr>
            <w:r>
              <w:t xml:space="preserve">Amended ‘Laboratory Examination’ to </w:t>
            </w:r>
            <w:r w:rsidR="00B04A7D">
              <w:t>clarify</w:t>
            </w:r>
            <w:r>
              <w:t xml:space="preserve"> that sample meters are required by testing facility – not submitted to NMI with application.</w:t>
            </w:r>
          </w:p>
        </w:tc>
      </w:tr>
      <w:tr w:rsidR="00941CEE" w:rsidRPr="00060611" w14:paraId="13849165" w14:textId="77777777" w:rsidTr="0082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A6AF87" w14:textId="5E6D8A03" w:rsidR="00941CEE" w:rsidRDefault="00827272" w:rsidP="00B840BE">
            <w:pPr>
              <w:spacing w:after="0"/>
              <w:rPr>
                <w:b w:val="0"/>
              </w:rPr>
            </w:pPr>
            <w:r>
              <w:rPr>
                <w:b w:val="0"/>
              </w:rPr>
              <w:lastRenderedPageBreak/>
              <w:t>15</w:t>
            </w:r>
          </w:p>
        </w:tc>
        <w:tc>
          <w:tcPr>
            <w:tcW w:w="0" w:type="auto"/>
          </w:tcPr>
          <w:p w14:paraId="52A8A748" w14:textId="41A4CBC1" w:rsidR="00941CEE" w:rsidRDefault="00713A68" w:rsidP="00B840BE">
            <w:pPr>
              <w:spacing w:after="0"/>
              <w:jc w:val="center"/>
              <w:cnfStyle w:val="000000100000" w:firstRow="0" w:lastRow="0" w:firstColumn="0" w:lastColumn="0" w:oddVBand="0" w:evenVBand="0" w:oddHBand="1" w:evenHBand="0" w:firstRowFirstColumn="0" w:firstRowLastColumn="0" w:lastRowFirstColumn="0" w:lastRowLastColumn="0"/>
            </w:pPr>
            <w:r>
              <w:t>14</w:t>
            </w:r>
          </w:p>
        </w:tc>
        <w:tc>
          <w:tcPr>
            <w:tcW w:w="1050" w:type="dxa"/>
          </w:tcPr>
          <w:p w14:paraId="2B265BCF" w14:textId="5B6EC553" w:rsidR="00941CEE" w:rsidRDefault="00713A68" w:rsidP="00B840BE">
            <w:pPr>
              <w:spacing w:after="0"/>
              <w:cnfStyle w:val="000000100000" w:firstRow="0" w:lastRow="0" w:firstColumn="0" w:lastColumn="0" w:oddVBand="0" w:evenVBand="0" w:oddHBand="1" w:evenHBand="0" w:firstRowFirstColumn="0" w:firstRowLastColumn="0" w:lastRowFirstColumn="0" w:lastRowLastColumn="0"/>
            </w:pPr>
            <w:r>
              <w:t>10.1.4.2</w:t>
            </w:r>
          </w:p>
        </w:tc>
        <w:tc>
          <w:tcPr>
            <w:tcW w:w="7442" w:type="dxa"/>
          </w:tcPr>
          <w:p w14:paraId="799CE831" w14:textId="7847F437" w:rsidR="00941CEE" w:rsidRDefault="00713A68" w:rsidP="00941CEE">
            <w:pPr>
              <w:spacing w:after="0"/>
              <w:cnfStyle w:val="000000100000" w:firstRow="0" w:lastRow="0" w:firstColumn="0" w:lastColumn="0" w:oddVBand="0" w:evenVBand="0" w:oddHBand="1" w:evenHBand="0" w:firstRowFirstColumn="0" w:firstRowLastColumn="0" w:lastRowFirstColumn="0" w:lastRowLastColumn="0"/>
            </w:pPr>
            <w:r>
              <w:t>Removed ‘Acceptable Indications’ as not applicable for this document.</w:t>
            </w:r>
          </w:p>
        </w:tc>
      </w:tr>
      <w:tr w:rsidR="00B840BE" w:rsidRPr="00060611" w14:paraId="216F8B7B" w14:textId="77777777" w:rsidTr="00827272">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4FDA3326" w14:textId="62BA406A" w:rsidR="00B840BE" w:rsidRPr="00060611" w:rsidRDefault="00713A68" w:rsidP="00B840BE">
            <w:pPr>
              <w:spacing w:after="0"/>
              <w:rPr>
                <w:b w:val="0"/>
              </w:rPr>
            </w:pPr>
            <w:r>
              <w:rPr>
                <w:b w:val="0"/>
              </w:rPr>
              <w:t>1</w:t>
            </w:r>
            <w:r w:rsidR="00827272">
              <w:rPr>
                <w:b w:val="0"/>
              </w:rPr>
              <w:t>6</w:t>
            </w:r>
          </w:p>
        </w:tc>
        <w:tc>
          <w:tcPr>
            <w:tcW w:w="0" w:type="auto"/>
          </w:tcPr>
          <w:p w14:paraId="06B12A4F" w14:textId="65B586F6" w:rsidR="00B840BE" w:rsidRPr="00060611" w:rsidRDefault="00713A68" w:rsidP="00B840BE">
            <w:pPr>
              <w:spacing w:after="0"/>
              <w:jc w:val="center"/>
              <w:cnfStyle w:val="000000000000" w:firstRow="0" w:lastRow="0" w:firstColumn="0" w:lastColumn="0" w:oddVBand="0" w:evenVBand="0" w:oddHBand="0" w:evenHBand="0" w:firstRowFirstColumn="0" w:firstRowLastColumn="0" w:lastRowFirstColumn="0" w:lastRowLastColumn="0"/>
            </w:pPr>
            <w:r>
              <w:t>18</w:t>
            </w:r>
          </w:p>
        </w:tc>
        <w:tc>
          <w:tcPr>
            <w:tcW w:w="1050" w:type="dxa"/>
          </w:tcPr>
          <w:p w14:paraId="55B0D2EB" w14:textId="6E042910" w:rsidR="00B840BE" w:rsidRPr="00060611" w:rsidRDefault="00713A68" w:rsidP="00B840BE">
            <w:pPr>
              <w:spacing w:after="0"/>
              <w:cnfStyle w:val="000000000000" w:firstRow="0" w:lastRow="0" w:firstColumn="0" w:lastColumn="0" w:oddVBand="0" w:evenVBand="0" w:oddHBand="0" w:evenHBand="0" w:firstRowFirstColumn="0" w:firstRowLastColumn="0" w:lastRowFirstColumn="0" w:lastRowLastColumn="0"/>
            </w:pPr>
            <w:r>
              <w:t>A.2.3</w:t>
            </w:r>
          </w:p>
        </w:tc>
        <w:tc>
          <w:tcPr>
            <w:tcW w:w="7442" w:type="dxa"/>
          </w:tcPr>
          <w:p w14:paraId="7B986BE1" w14:textId="1053CB98" w:rsidR="00B840BE" w:rsidRPr="00060611" w:rsidRDefault="00827272" w:rsidP="00B840BE">
            <w:pPr>
              <w:spacing w:after="0"/>
              <w:cnfStyle w:val="000000000000" w:firstRow="0" w:lastRow="0" w:firstColumn="0" w:lastColumn="0" w:oddVBand="0" w:evenVBand="0" w:oddHBand="0" w:evenHBand="0" w:firstRowFirstColumn="0" w:firstRowLastColumn="0" w:lastRowFirstColumn="0" w:lastRowLastColumn="0"/>
            </w:pPr>
            <w:r>
              <w:t xml:space="preserve">Changed all units for temperature from K to </w:t>
            </w:r>
            <w:r>
              <w:rPr>
                <w:rFonts w:cs="Arial"/>
              </w:rPr>
              <w:t>°</w:t>
            </w:r>
            <w:r>
              <w:t>C for clarity and consistency.</w:t>
            </w:r>
          </w:p>
        </w:tc>
      </w:tr>
      <w:tr w:rsidR="00C76356" w:rsidRPr="00060611" w14:paraId="2F907BD9" w14:textId="77777777" w:rsidTr="00827272">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0842C5" w14:textId="54EC0222" w:rsidR="00C76356" w:rsidRPr="00C76356" w:rsidRDefault="00C76356" w:rsidP="00B840BE">
            <w:pPr>
              <w:spacing w:after="0"/>
              <w:rPr>
                <w:b w:val="0"/>
              </w:rPr>
            </w:pPr>
            <w:r w:rsidRPr="00C76356">
              <w:rPr>
                <w:b w:val="0"/>
              </w:rPr>
              <w:t>17</w:t>
            </w:r>
          </w:p>
        </w:tc>
        <w:tc>
          <w:tcPr>
            <w:tcW w:w="0" w:type="auto"/>
          </w:tcPr>
          <w:p w14:paraId="78F62AA6" w14:textId="4CA126E2" w:rsidR="00C76356" w:rsidRPr="00C76356" w:rsidRDefault="00C76356" w:rsidP="00B840BE">
            <w:pPr>
              <w:spacing w:after="0"/>
              <w:jc w:val="center"/>
              <w:cnfStyle w:val="000000100000" w:firstRow="0" w:lastRow="0" w:firstColumn="0" w:lastColumn="0" w:oddVBand="0" w:evenVBand="0" w:oddHBand="1" w:evenHBand="0" w:firstRowFirstColumn="0" w:firstRowLastColumn="0" w:lastRowFirstColumn="0" w:lastRowLastColumn="0"/>
            </w:pPr>
            <w:r>
              <w:t>25</w:t>
            </w:r>
          </w:p>
        </w:tc>
        <w:tc>
          <w:tcPr>
            <w:tcW w:w="1050" w:type="dxa"/>
          </w:tcPr>
          <w:p w14:paraId="16CF0D28" w14:textId="5D5D88A3" w:rsidR="00C76356" w:rsidRPr="00C76356" w:rsidRDefault="00C76356" w:rsidP="00B840BE">
            <w:pPr>
              <w:spacing w:after="0"/>
              <w:cnfStyle w:val="000000100000" w:firstRow="0" w:lastRow="0" w:firstColumn="0" w:lastColumn="0" w:oddVBand="0" w:evenVBand="0" w:oddHBand="1" w:evenHBand="0" w:firstRowFirstColumn="0" w:firstRowLastColumn="0" w:lastRowFirstColumn="0" w:lastRowLastColumn="0"/>
            </w:pPr>
            <w:r>
              <w:t>A.2.12</w:t>
            </w:r>
          </w:p>
        </w:tc>
        <w:tc>
          <w:tcPr>
            <w:tcW w:w="7442" w:type="dxa"/>
          </w:tcPr>
          <w:p w14:paraId="20386BE9" w14:textId="2458159E" w:rsidR="00C76356" w:rsidRPr="00C76356" w:rsidRDefault="00C76356" w:rsidP="00C76356">
            <w:pPr>
              <w:spacing w:after="0"/>
              <w:cnfStyle w:val="000000100000" w:firstRow="0" w:lastRow="0" w:firstColumn="0" w:lastColumn="0" w:oddVBand="0" w:evenVBand="0" w:oddHBand="1" w:evenHBand="0" w:firstRowFirstColumn="0" w:firstRowLastColumn="0" w:lastRowFirstColumn="0" w:lastRowLastColumn="0"/>
            </w:pPr>
            <w:r>
              <w:t xml:space="preserve">Removed note 1 that required testing three phases successively to align with </w:t>
            </w:r>
            <w:r w:rsidR="00B04A7D">
              <w:t xml:space="preserve">administrative practice and </w:t>
            </w:r>
            <w:r>
              <w:t>other international standards.</w:t>
            </w:r>
          </w:p>
        </w:tc>
      </w:tr>
      <w:tr w:rsidR="00827272" w:rsidRPr="00060611" w14:paraId="16185110" w14:textId="77777777" w:rsidTr="00827272">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6B5BCE55" w14:textId="023B91C3" w:rsidR="00827272" w:rsidRDefault="00C76356" w:rsidP="00B840BE">
            <w:pPr>
              <w:spacing w:after="0"/>
              <w:rPr>
                <w:b w:val="0"/>
              </w:rPr>
            </w:pPr>
            <w:r>
              <w:rPr>
                <w:b w:val="0"/>
              </w:rPr>
              <w:t>18</w:t>
            </w:r>
          </w:p>
        </w:tc>
        <w:tc>
          <w:tcPr>
            <w:tcW w:w="0" w:type="auto"/>
          </w:tcPr>
          <w:p w14:paraId="3C077F3A" w14:textId="690EF7FA" w:rsidR="00827272" w:rsidRDefault="00827272" w:rsidP="00B840BE">
            <w:pPr>
              <w:spacing w:after="0"/>
              <w:jc w:val="center"/>
              <w:cnfStyle w:val="000000000000" w:firstRow="0" w:lastRow="0" w:firstColumn="0" w:lastColumn="0" w:oddVBand="0" w:evenVBand="0" w:oddHBand="0" w:evenHBand="0" w:firstRowFirstColumn="0" w:firstRowLastColumn="0" w:lastRowFirstColumn="0" w:lastRowLastColumn="0"/>
            </w:pPr>
            <w:r>
              <w:t>27</w:t>
            </w:r>
          </w:p>
        </w:tc>
        <w:tc>
          <w:tcPr>
            <w:tcW w:w="1050" w:type="dxa"/>
          </w:tcPr>
          <w:p w14:paraId="06A8A0BA" w14:textId="7E4C122D" w:rsidR="00827272" w:rsidRDefault="00827272" w:rsidP="00B840BE">
            <w:pPr>
              <w:spacing w:after="0"/>
              <w:cnfStyle w:val="000000000000" w:firstRow="0" w:lastRow="0" w:firstColumn="0" w:lastColumn="0" w:oddVBand="0" w:evenVBand="0" w:oddHBand="0" w:evenHBand="0" w:firstRowFirstColumn="0" w:firstRowLastColumn="0" w:lastRowFirstColumn="0" w:lastRowLastColumn="0"/>
            </w:pPr>
            <w:r>
              <w:t>A.2.16</w:t>
            </w:r>
          </w:p>
        </w:tc>
        <w:tc>
          <w:tcPr>
            <w:tcW w:w="7442" w:type="dxa"/>
          </w:tcPr>
          <w:p w14:paraId="0E2AAC15" w14:textId="1CA9880F" w:rsidR="00827272" w:rsidRDefault="00827272" w:rsidP="00B04A7D">
            <w:pPr>
              <w:spacing w:after="0"/>
              <w:cnfStyle w:val="000000000000" w:firstRow="0" w:lastRow="0" w:firstColumn="0" w:lastColumn="0" w:oddVBand="0" w:evenVBand="0" w:oddHBand="0" w:evenHBand="0" w:firstRowFirstColumn="0" w:firstRowLastColumn="0" w:lastRowFirstColumn="0" w:lastRowLastColumn="0"/>
            </w:pPr>
            <w:r>
              <w:t>Removed ‘Short-tim</w:t>
            </w:r>
            <w:r w:rsidR="00A72837">
              <w:t xml:space="preserve">e Overcurrents’ Test C (7000 A) </w:t>
            </w:r>
            <w:r w:rsidR="00B04A7D">
              <w:t>because</w:t>
            </w:r>
            <w:r w:rsidR="00A72837">
              <w:t xml:space="preserve"> this </w:t>
            </w:r>
            <w:r w:rsidR="00B04A7D">
              <w:t>was introduced to address a fusing issue that is now historic</w:t>
            </w:r>
            <w:r w:rsidR="00A72837">
              <w:t>.</w:t>
            </w:r>
          </w:p>
        </w:tc>
      </w:tr>
      <w:tr w:rsidR="00827272" w:rsidRPr="00060611" w14:paraId="09E1B784" w14:textId="77777777" w:rsidTr="00827272">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347F54" w14:textId="1D4CFD2B" w:rsidR="00827272" w:rsidRDefault="00C76356" w:rsidP="00B840BE">
            <w:pPr>
              <w:spacing w:after="0"/>
              <w:rPr>
                <w:b w:val="0"/>
              </w:rPr>
            </w:pPr>
            <w:r>
              <w:rPr>
                <w:b w:val="0"/>
              </w:rPr>
              <w:t>19</w:t>
            </w:r>
          </w:p>
        </w:tc>
        <w:tc>
          <w:tcPr>
            <w:tcW w:w="0" w:type="auto"/>
          </w:tcPr>
          <w:p w14:paraId="1B05710A" w14:textId="7A9D8625" w:rsidR="00827272" w:rsidRDefault="00827272" w:rsidP="00B840BE">
            <w:pPr>
              <w:spacing w:after="0"/>
              <w:jc w:val="center"/>
              <w:cnfStyle w:val="000000100000" w:firstRow="0" w:lastRow="0" w:firstColumn="0" w:lastColumn="0" w:oddVBand="0" w:evenVBand="0" w:oddHBand="1" w:evenHBand="0" w:firstRowFirstColumn="0" w:firstRowLastColumn="0" w:lastRowFirstColumn="0" w:lastRowLastColumn="0"/>
            </w:pPr>
            <w:r>
              <w:t>N/A</w:t>
            </w:r>
          </w:p>
        </w:tc>
        <w:tc>
          <w:tcPr>
            <w:tcW w:w="1050" w:type="dxa"/>
          </w:tcPr>
          <w:p w14:paraId="3ACE56F6" w14:textId="363F9564" w:rsidR="00827272" w:rsidRDefault="00827272" w:rsidP="00B840BE">
            <w:pPr>
              <w:spacing w:after="0"/>
              <w:cnfStyle w:val="000000100000" w:firstRow="0" w:lastRow="0" w:firstColumn="0" w:lastColumn="0" w:oddVBand="0" w:evenVBand="0" w:oddHBand="1" w:evenHBand="0" w:firstRowFirstColumn="0" w:firstRowLastColumn="0" w:lastRowFirstColumn="0" w:lastRowLastColumn="0"/>
            </w:pPr>
            <w:r>
              <w:t>Annex C</w:t>
            </w:r>
          </w:p>
        </w:tc>
        <w:tc>
          <w:tcPr>
            <w:tcW w:w="7442" w:type="dxa"/>
          </w:tcPr>
          <w:p w14:paraId="18EAFC67" w14:textId="2A334FB7" w:rsidR="00827272" w:rsidRDefault="00827272" w:rsidP="00827272">
            <w:pPr>
              <w:spacing w:after="0"/>
              <w:cnfStyle w:val="000000100000" w:firstRow="0" w:lastRow="0" w:firstColumn="0" w:lastColumn="0" w:oddVBand="0" w:evenVBand="0" w:oddHBand="1" w:evenHBand="0" w:firstRowFirstColumn="0" w:firstRowLastColumn="0" w:lastRowFirstColumn="0" w:lastRowLastColumn="0"/>
            </w:pPr>
            <w:r>
              <w:t>Removed Annex C that related to pathway 2.</w:t>
            </w:r>
          </w:p>
        </w:tc>
      </w:tr>
      <w:tr w:rsidR="00827272" w:rsidRPr="00060611" w14:paraId="1D571749" w14:textId="77777777" w:rsidTr="00827272">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6DD140D0" w14:textId="689B4EC1" w:rsidR="00827272" w:rsidRDefault="00C76356" w:rsidP="00B840BE">
            <w:pPr>
              <w:spacing w:after="0"/>
              <w:rPr>
                <w:b w:val="0"/>
              </w:rPr>
            </w:pPr>
            <w:r>
              <w:rPr>
                <w:b w:val="0"/>
              </w:rPr>
              <w:t>20</w:t>
            </w:r>
          </w:p>
        </w:tc>
        <w:tc>
          <w:tcPr>
            <w:tcW w:w="0" w:type="auto"/>
          </w:tcPr>
          <w:p w14:paraId="0FB05ECE" w14:textId="3BB610FC" w:rsidR="00827272" w:rsidRDefault="00827272" w:rsidP="00B840BE">
            <w:pPr>
              <w:spacing w:after="0"/>
              <w:jc w:val="center"/>
              <w:cnfStyle w:val="000000000000" w:firstRow="0" w:lastRow="0" w:firstColumn="0" w:lastColumn="0" w:oddVBand="0" w:evenVBand="0" w:oddHBand="0" w:evenHBand="0" w:firstRowFirstColumn="0" w:firstRowLastColumn="0" w:lastRowFirstColumn="0" w:lastRowLastColumn="0"/>
            </w:pPr>
            <w:r>
              <w:t>N/A</w:t>
            </w:r>
          </w:p>
        </w:tc>
        <w:tc>
          <w:tcPr>
            <w:tcW w:w="1050" w:type="dxa"/>
          </w:tcPr>
          <w:p w14:paraId="7C31C665" w14:textId="52B66212" w:rsidR="00827272" w:rsidRDefault="00827272" w:rsidP="00B840BE">
            <w:pPr>
              <w:spacing w:after="0"/>
              <w:cnfStyle w:val="000000000000" w:firstRow="0" w:lastRow="0" w:firstColumn="0" w:lastColumn="0" w:oddVBand="0" w:evenVBand="0" w:oddHBand="0" w:evenHBand="0" w:firstRowFirstColumn="0" w:firstRowLastColumn="0" w:lastRowFirstColumn="0" w:lastRowLastColumn="0"/>
            </w:pPr>
            <w:r>
              <w:t>Annex D</w:t>
            </w:r>
          </w:p>
        </w:tc>
        <w:tc>
          <w:tcPr>
            <w:tcW w:w="7442" w:type="dxa"/>
          </w:tcPr>
          <w:p w14:paraId="1C950E6C" w14:textId="05FC397C" w:rsidR="00827272" w:rsidRDefault="00827272" w:rsidP="00827272">
            <w:pPr>
              <w:spacing w:after="0"/>
              <w:cnfStyle w:val="000000000000" w:firstRow="0" w:lastRow="0" w:firstColumn="0" w:lastColumn="0" w:oddVBand="0" w:evenVBand="0" w:oddHBand="0" w:evenHBand="0" w:firstRowFirstColumn="0" w:firstRowLastColumn="0" w:lastRowFirstColumn="0" w:lastRowLastColumn="0"/>
            </w:pPr>
            <w:r>
              <w:t>Removed Annex D that related to pathway 2.</w:t>
            </w:r>
          </w:p>
        </w:tc>
      </w:tr>
      <w:tr w:rsidR="00B840BE" w14:paraId="158673EF" w14:textId="77777777" w:rsidTr="00827272">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4C85DE" w14:textId="2BDCB1E3" w:rsidR="00B840BE" w:rsidRPr="00060611" w:rsidRDefault="00C76356" w:rsidP="00B840BE">
            <w:pPr>
              <w:spacing w:after="0"/>
              <w:rPr>
                <w:b w:val="0"/>
              </w:rPr>
            </w:pPr>
            <w:r>
              <w:rPr>
                <w:b w:val="0"/>
              </w:rPr>
              <w:t>21</w:t>
            </w:r>
          </w:p>
        </w:tc>
        <w:tc>
          <w:tcPr>
            <w:tcW w:w="0" w:type="auto"/>
          </w:tcPr>
          <w:p w14:paraId="07C70477" w14:textId="0C1396DA" w:rsidR="00B840BE" w:rsidRPr="00060611" w:rsidRDefault="0065571B" w:rsidP="00B840BE">
            <w:pPr>
              <w:spacing w:after="0"/>
              <w:jc w:val="center"/>
              <w:cnfStyle w:val="000000100000" w:firstRow="0" w:lastRow="0" w:firstColumn="0" w:lastColumn="0" w:oddVBand="0" w:evenVBand="0" w:oddHBand="1" w:evenHBand="0" w:firstRowFirstColumn="0" w:firstRowLastColumn="0" w:lastRowFirstColumn="0" w:lastRowLastColumn="0"/>
            </w:pPr>
            <w:r>
              <w:t>All</w:t>
            </w:r>
          </w:p>
        </w:tc>
        <w:tc>
          <w:tcPr>
            <w:tcW w:w="1050" w:type="dxa"/>
          </w:tcPr>
          <w:p w14:paraId="79030E9C" w14:textId="5EC1403D" w:rsidR="00B840BE" w:rsidRPr="00060611" w:rsidRDefault="0065571B" w:rsidP="00B840BE">
            <w:pPr>
              <w:spacing w:after="0"/>
              <w:cnfStyle w:val="000000100000" w:firstRow="0" w:lastRow="0" w:firstColumn="0" w:lastColumn="0" w:oddVBand="0" w:evenVBand="0" w:oddHBand="1" w:evenHBand="0" w:firstRowFirstColumn="0" w:firstRowLastColumn="0" w:lastRowFirstColumn="0" w:lastRowLastColumn="0"/>
            </w:pPr>
            <w:r>
              <w:t>All</w:t>
            </w:r>
          </w:p>
        </w:tc>
        <w:tc>
          <w:tcPr>
            <w:tcW w:w="7442" w:type="dxa"/>
          </w:tcPr>
          <w:p w14:paraId="05547E85" w14:textId="7072DC1A" w:rsidR="00B840BE" w:rsidRPr="0029562D" w:rsidRDefault="0065571B" w:rsidP="00B840BE">
            <w:pPr>
              <w:spacing w:after="0"/>
              <w:cnfStyle w:val="000000100000" w:firstRow="0" w:lastRow="0" w:firstColumn="0" w:lastColumn="0" w:oddVBand="0" w:evenVBand="0" w:oddHBand="1" w:evenHBand="0" w:firstRowFirstColumn="0" w:firstRowLastColumn="0" w:lastRowFirstColumn="0" w:lastRowLastColumn="0"/>
            </w:pPr>
            <w:r>
              <w:t>M</w:t>
            </w:r>
            <w:r w:rsidR="00B840BE" w:rsidRPr="00060611">
              <w:t>inor editorial changes</w:t>
            </w:r>
            <w:r>
              <w:t xml:space="preserve"> including updating cross-references</w:t>
            </w:r>
            <w:r w:rsidR="004C0E21">
              <w:t xml:space="preserve"> and bibliography.</w:t>
            </w:r>
          </w:p>
        </w:tc>
      </w:tr>
    </w:tbl>
    <w:p w14:paraId="389071C0" w14:textId="77777777" w:rsidR="00A35CF0" w:rsidRPr="00A52444" w:rsidRDefault="00A35CF0">
      <w:pPr>
        <w:spacing w:after="200"/>
      </w:pPr>
      <w:r>
        <w:rPr>
          <w:i/>
        </w:rPr>
        <w:br w:type="page"/>
      </w:r>
    </w:p>
    <w:p w14:paraId="1868AB78" w14:textId="77777777" w:rsidR="00CB2680" w:rsidRDefault="00CB2680" w:rsidP="00092808">
      <w:pPr>
        <w:pStyle w:val="Heading1-NoNumber"/>
      </w:pPr>
      <w:bookmarkStart w:id="5" w:name="_Toc85486012"/>
      <w:r>
        <w:lastRenderedPageBreak/>
        <w:t>Contents</w:t>
      </w:r>
      <w:bookmarkEnd w:id="5"/>
    </w:p>
    <w:p w14:paraId="23F2F032" w14:textId="77777777" w:rsidR="004C0E21" w:rsidRDefault="004C0E21">
      <w:pPr>
        <w:pStyle w:val="TOC1"/>
        <w:rPr>
          <w:rFonts w:asciiTheme="minorHAnsi" w:eastAsiaTheme="minorEastAsia" w:hAnsiTheme="minorHAnsi"/>
          <w:sz w:val="22"/>
          <w:lang w:eastAsia="en-AU"/>
        </w:rPr>
      </w:pPr>
      <w:r>
        <w:rPr>
          <w:sz w:val="24"/>
        </w:rPr>
        <w:fldChar w:fldCharType="begin"/>
      </w:r>
      <w:r>
        <w:rPr>
          <w:sz w:val="24"/>
        </w:rPr>
        <w:instrText xml:space="preserve"> TOC \o "1-1" \h \z </w:instrText>
      </w:r>
      <w:r>
        <w:rPr>
          <w:sz w:val="24"/>
        </w:rPr>
        <w:fldChar w:fldCharType="separate"/>
      </w:r>
      <w:hyperlink w:anchor="_Toc85486011" w:history="1">
        <w:r w:rsidRPr="001A74DA">
          <w:rPr>
            <w:rStyle w:val="Hyperlink"/>
          </w:rPr>
          <w:t>Amendments</w:t>
        </w:r>
        <w:r>
          <w:rPr>
            <w:webHidden/>
          </w:rPr>
          <w:tab/>
        </w:r>
        <w:r>
          <w:rPr>
            <w:webHidden/>
          </w:rPr>
          <w:fldChar w:fldCharType="begin"/>
        </w:r>
        <w:r>
          <w:rPr>
            <w:webHidden/>
          </w:rPr>
          <w:instrText xml:space="preserve"> PAGEREF _Toc85486011 \h </w:instrText>
        </w:r>
        <w:r>
          <w:rPr>
            <w:webHidden/>
          </w:rPr>
        </w:r>
        <w:r>
          <w:rPr>
            <w:webHidden/>
          </w:rPr>
          <w:fldChar w:fldCharType="separate"/>
        </w:r>
        <w:r w:rsidR="00192601">
          <w:rPr>
            <w:webHidden/>
          </w:rPr>
          <w:t>i</w:t>
        </w:r>
        <w:r>
          <w:rPr>
            <w:webHidden/>
          </w:rPr>
          <w:fldChar w:fldCharType="end"/>
        </w:r>
      </w:hyperlink>
    </w:p>
    <w:p w14:paraId="39F5713A" w14:textId="77777777" w:rsidR="004C0E21" w:rsidRDefault="00320D75">
      <w:pPr>
        <w:pStyle w:val="TOC1"/>
        <w:rPr>
          <w:rFonts w:asciiTheme="minorHAnsi" w:eastAsiaTheme="minorEastAsia" w:hAnsiTheme="minorHAnsi"/>
          <w:sz w:val="22"/>
          <w:lang w:eastAsia="en-AU"/>
        </w:rPr>
      </w:pPr>
      <w:hyperlink w:anchor="_Toc85486012" w:history="1">
        <w:r w:rsidR="004C0E21" w:rsidRPr="001A74DA">
          <w:rPr>
            <w:rStyle w:val="Hyperlink"/>
          </w:rPr>
          <w:t>Contents</w:t>
        </w:r>
        <w:r w:rsidR="004C0E21">
          <w:rPr>
            <w:webHidden/>
          </w:rPr>
          <w:tab/>
        </w:r>
        <w:r w:rsidR="004C0E21">
          <w:rPr>
            <w:webHidden/>
          </w:rPr>
          <w:fldChar w:fldCharType="begin"/>
        </w:r>
        <w:r w:rsidR="004C0E21">
          <w:rPr>
            <w:webHidden/>
          </w:rPr>
          <w:instrText xml:space="preserve"> PAGEREF _Toc85486012 \h </w:instrText>
        </w:r>
        <w:r w:rsidR="004C0E21">
          <w:rPr>
            <w:webHidden/>
          </w:rPr>
        </w:r>
        <w:r w:rsidR="004C0E21">
          <w:rPr>
            <w:webHidden/>
          </w:rPr>
          <w:fldChar w:fldCharType="separate"/>
        </w:r>
        <w:r w:rsidR="00192601">
          <w:rPr>
            <w:webHidden/>
          </w:rPr>
          <w:t>iii</w:t>
        </w:r>
        <w:r w:rsidR="004C0E21">
          <w:rPr>
            <w:webHidden/>
          </w:rPr>
          <w:fldChar w:fldCharType="end"/>
        </w:r>
      </w:hyperlink>
    </w:p>
    <w:p w14:paraId="1805875A" w14:textId="77777777" w:rsidR="004C0E21" w:rsidRDefault="00320D75">
      <w:pPr>
        <w:pStyle w:val="TOC1"/>
        <w:rPr>
          <w:rFonts w:asciiTheme="minorHAnsi" w:eastAsiaTheme="minorEastAsia" w:hAnsiTheme="minorHAnsi"/>
          <w:sz w:val="22"/>
          <w:lang w:eastAsia="en-AU"/>
        </w:rPr>
      </w:pPr>
      <w:hyperlink w:anchor="_Toc85486013" w:history="1">
        <w:r w:rsidR="004C0E21" w:rsidRPr="001A74DA">
          <w:rPr>
            <w:rStyle w:val="Hyperlink"/>
          </w:rPr>
          <w:t>Preface</w:t>
        </w:r>
        <w:r w:rsidR="004C0E21">
          <w:rPr>
            <w:webHidden/>
          </w:rPr>
          <w:tab/>
        </w:r>
        <w:r w:rsidR="004C0E21">
          <w:rPr>
            <w:webHidden/>
          </w:rPr>
          <w:fldChar w:fldCharType="begin"/>
        </w:r>
        <w:r w:rsidR="004C0E21">
          <w:rPr>
            <w:webHidden/>
          </w:rPr>
          <w:instrText xml:space="preserve"> PAGEREF _Toc85486013 \h </w:instrText>
        </w:r>
        <w:r w:rsidR="004C0E21">
          <w:rPr>
            <w:webHidden/>
          </w:rPr>
        </w:r>
        <w:r w:rsidR="004C0E21">
          <w:rPr>
            <w:webHidden/>
          </w:rPr>
          <w:fldChar w:fldCharType="separate"/>
        </w:r>
        <w:r w:rsidR="00192601">
          <w:rPr>
            <w:webHidden/>
          </w:rPr>
          <w:t>iv</w:t>
        </w:r>
        <w:r w:rsidR="004C0E21">
          <w:rPr>
            <w:webHidden/>
          </w:rPr>
          <w:fldChar w:fldCharType="end"/>
        </w:r>
      </w:hyperlink>
    </w:p>
    <w:p w14:paraId="272653E6" w14:textId="77777777" w:rsidR="004C0E21" w:rsidRDefault="00320D75">
      <w:pPr>
        <w:pStyle w:val="TOC1"/>
        <w:rPr>
          <w:rFonts w:asciiTheme="minorHAnsi" w:eastAsiaTheme="minorEastAsia" w:hAnsiTheme="minorHAnsi"/>
          <w:sz w:val="22"/>
          <w:lang w:eastAsia="en-AU"/>
        </w:rPr>
      </w:pPr>
      <w:hyperlink w:anchor="_Toc85486014" w:history="1">
        <w:r w:rsidR="004C0E21" w:rsidRPr="001A74DA">
          <w:rPr>
            <w:rStyle w:val="Hyperlink"/>
          </w:rPr>
          <w:t>1</w:t>
        </w:r>
        <w:r w:rsidR="004C0E21">
          <w:rPr>
            <w:rFonts w:asciiTheme="minorHAnsi" w:eastAsiaTheme="minorEastAsia" w:hAnsiTheme="minorHAnsi"/>
            <w:sz w:val="22"/>
            <w:lang w:eastAsia="en-AU"/>
          </w:rPr>
          <w:tab/>
        </w:r>
        <w:r w:rsidR="004C0E21" w:rsidRPr="001A74DA">
          <w:rPr>
            <w:rStyle w:val="Hyperlink"/>
          </w:rPr>
          <w:t>Scope and Application</w:t>
        </w:r>
        <w:r w:rsidR="004C0E21">
          <w:rPr>
            <w:webHidden/>
          </w:rPr>
          <w:tab/>
        </w:r>
        <w:r w:rsidR="004C0E21">
          <w:rPr>
            <w:webHidden/>
          </w:rPr>
          <w:fldChar w:fldCharType="begin"/>
        </w:r>
        <w:r w:rsidR="004C0E21">
          <w:rPr>
            <w:webHidden/>
          </w:rPr>
          <w:instrText xml:space="preserve"> PAGEREF _Toc85486014 \h </w:instrText>
        </w:r>
        <w:r w:rsidR="004C0E21">
          <w:rPr>
            <w:webHidden/>
          </w:rPr>
        </w:r>
        <w:r w:rsidR="004C0E21">
          <w:rPr>
            <w:webHidden/>
          </w:rPr>
          <w:fldChar w:fldCharType="separate"/>
        </w:r>
        <w:r w:rsidR="00192601">
          <w:rPr>
            <w:webHidden/>
          </w:rPr>
          <w:t>1</w:t>
        </w:r>
        <w:r w:rsidR="004C0E21">
          <w:rPr>
            <w:webHidden/>
          </w:rPr>
          <w:fldChar w:fldCharType="end"/>
        </w:r>
      </w:hyperlink>
    </w:p>
    <w:p w14:paraId="046D6DFC" w14:textId="77777777" w:rsidR="004C0E21" w:rsidRDefault="00320D75">
      <w:pPr>
        <w:pStyle w:val="TOC1"/>
        <w:rPr>
          <w:rFonts w:asciiTheme="minorHAnsi" w:eastAsiaTheme="minorEastAsia" w:hAnsiTheme="minorHAnsi"/>
          <w:sz w:val="22"/>
          <w:lang w:eastAsia="en-AU"/>
        </w:rPr>
      </w:pPr>
      <w:hyperlink w:anchor="_Toc85486015" w:history="1">
        <w:r w:rsidR="004C0E21" w:rsidRPr="001A74DA">
          <w:rPr>
            <w:rStyle w:val="Hyperlink"/>
          </w:rPr>
          <w:t>2</w:t>
        </w:r>
        <w:r w:rsidR="004C0E21">
          <w:rPr>
            <w:rFonts w:asciiTheme="minorHAnsi" w:eastAsiaTheme="minorEastAsia" w:hAnsiTheme="minorHAnsi"/>
            <w:sz w:val="22"/>
            <w:lang w:eastAsia="en-AU"/>
          </w:rPr>
          <w:tab/>
        </w:r>
        <w:r w:rsidR="004C0E21" w:rsidRPr="001A74DA">
          <w:rPr>
            <w:rStyle w:val="Hyperlink"/>
          </w:rPr>
          <w:t>Terminology</w:t>
        </w:r>
        <w:r w:rsidR="004C0E21">
          <w:rPr>
            <w:webHidden/>
          </w:rPr>
          <w:tab/>
        </w:r>
        <w:r w:rsidR="004C0E21">
          <w:rPr>
            <w:webHidden/>
          </w:rPr>
          <w:fldChar w:fldCharType="begin"/>
        </w:r>
        <w:r w:rsidR="004C0E21">
          <w:rPr>
            <w:webHidden/>
          </w:rPr>
          <w:instrText xml:space="preserve"> PAGEREF _Toc85486015 \h </w:instrText>
        </w:r>
        <w:r w:rsidR="004C0E21">
          <w:rPr>
            <w:webHidden/>
          </w:rPr>
        </w:r>
        <w:r w:rsidR="004C0E21">
          <w:rPr>
            <w:webHidden/>
          </w:rPr>
          <w:fldChar w:fldCharType="separate"/>
        </w:r>
        <w:r w:rsidR="00192601">
          <w:rPr>
            <w:webHidden/>
          </w:rPr>
          <w:t>1</w:t>
        </w:r>
        <w:r w:rsidR="004C0E21">
          <w:rPr>
            <w:webHidden/>
          </w:rPr>
          <w:fldChar w:fldCharType="end"/>
        </w:r>
      </w:hyperlink>
    </w:p>
    <w:p w14:paraId="7520FE56" w14:textId="77777777" w:rsidR="004C0E21" w:rsidRDefault="00320D75">
      <w:pPr>
        <w:pStyle w:val="TOC1"/>
        <w:rPr>
          <w:rFonts w:asciiTheme="minorHAnsi" w:eastAsiaTheme="minorEastAsia" w:hAnsiTheme="minorHAnsi"/>
          <w:sz w:val="22"/>
          <w:lang w:eastAsia="en-AU"/>
        </w:rPr>
      </w:pPr>
      <w:hyperlink w:anchor="_Toc85486016" w:history="1">
        <w:r w:rsidR="004C0E21" w:rsidRPr="001A74DA">
          <w:rPr>
            <w:rStyle w:val="Hyperlink"/>
          </w:rPr>
          <w:t>3</w:t>
        </w:r>
        <w:r w:rsidR="004C0E21">
          <w:rPr>
            <w:rFonts w:asciiTheme="minorHAnsi" w:eastAsiaTheme="minorEastAsia" w:hAnsiTheme="minorHAnsi"/>
            <w:sz w:val="22"/>
            <w:lang w:eastAsia="en-AU"/>
          </w:rPr>
          <w:tab/>
        </w:r>
        <w:r w:rsidR="004C0E21" w:rsidRPr="001A74DA">
          <w:rPr>
            <w:rStyle w:val="Hyperlink"/>
          </w:rPr>
          <w:t>Units of Measurement</w:t>
        </w:r>
        <w:r w:rsidR="004C0E21">
          <w:rPr>
            <w:webHidden/>
          </w:rPr>
          <w:tab/>
        </w:r>
        <w:r w:rsidR="004C0E21">
          <w:rPr>
            <w:webHidden/>
          </w:rPr>
          <w:fldChar w:fldCharType="begin"/>
        </w:r>
        <w:r w:rsidR="004C0E21">
          <w:rPr>
            <w:webHidden/>
          </w:rPr>
          <w:instrText xml:space="preserve"> PAGEREF _Toc85486016 \h </w:instrText>
        </w:r>
        <w:r w:rsidR="004C0E21">
          <w:rPr>
            <w:webHidden/>
          </w:rPr>
        </w:r>
        <w:r w:rsidR="004C0E21">
          <w:rPr>
            <w:webHidden/>
          </w:rPr>
          <w:fldChar w:fldCharType="separate"/>
        </w:r>
        <w:r w:rsidR="00192601">
          <w:rPr>
            <w:webHidden/>
          </w:rPr>
          <w:t>6</w:t>
        </w:r>
        <w:r w:rsidR="004C0E21">
          <w:rPr>
            <w:webHidden/>
          </w:rPr>
          <w:fldChar w:fldCharType="end"/>
        </w:r>
      </w:hyperlink>
    </w:p>
    <w:p w14:paraId="0DCA2660" w14:textId="77777777" w:rsidR="004C0E21" w:rsidRDefault="00320D75">
      <w:pPr>
        <w:pStyle w:val="TOC1"/>
        <w:rPr>
          <w:rFonts w:asciiTheme="minorHAnsi" w:eastAsiaTheme="minorEastAsia" w:hAnsiTheme="minorHAnsi"/>
          <w:sz w:val="22"/>
          <w:lang w:eastAsia="en-AU"/>
        </w:rPr>
      </w:pPr>
      <w:hyperlink w:anchor="_Toc85486017" w:history="1">
        <w:r w:rsidR="004C0E21" w:rsidRPr="001A74DA">
          <w:rPr>
            <w:rStyle w:val="Hyperlink"/>
          </w:rPr>
          <w:t>4</w:t>
        </w:r>
        <w:r w:rsidR="004C0E21">
          <w:rPr>
            <w:rFonts w:asciiTheme="minorHAnsi" w:eastAsiaTheme="minorEastAsia" w:hAnsiTheme="minorHAnsi"/>
            <w:sz w:val="22"/>
            <w:lang w:eastAsia="en-AU"/>
          </w:rPr>
          <w:tab/>
        </w:r>
        <w:r w:rsidR="004C0E21" w:rsidRPr="001A74DA">
          <w:rPr>
            <w:rStyle w:val="Hyperlink"/>
          </w:rPr>
          <w:t>Maximum Permissible Errors, Classification and Minimum Measured Quantities</w:t>
        </w:r>
        <w:r w:rsidR="004C0E21">
          <w:rPr>
            <w:webHidden/>
          </w:rPr>
          <w:tab/>
        </w:r>
        <w:r w:rsidR="004C0E21">
          <w:rPr>
            <w:webHidden/>
          </w:rPr>
          <w:fldChar w:fldCharType="begin"/>
        </w:r>
        <w:r w:rsidR="004C0E21">
          <w:rPr>
            <w:webHidden/>
          </w:rPr>
          <w:instrText xml:space="preserve"> PAGEREF _Toc85486017 \h </w:instrText>
        </w:r>
        <w:r w:rsidR="004C0E21">
          <w:rPr>
            <w:webHidden/>
          </w:rPr>
        </w:r>
        <w:r w:rsidR="004C0E21">
          <w:rPr>
            <w:webHidden/>
          </w:rPr>
          <w:fldChar w:fldCharType="separate"/>
        </w:r>
        <w:r w:rsidR="00192601">
          <w:rPr>
            <w:webHidden/>
          </w:rPr>
          <w:t>6</w:t>
        </w:r>
        <w:r w:rsidR="004C0E21">
          <w:rPr>
            <w:webHidden/>
          </w:rPr>
          <w:fldChar w:fldCharType="end"/>
        </w:r>
      </w:hyperlink>
    </w:p>
    <w:p w14:paraId="1F2EF18A" w14:textId="77777777" w:rsidR="004C0E21" w:rsidRDefault="00320D75">
      <w:pPr>
        <w:pStyle w:val="TOC1"/>
        <w:rPr>
          <w:rFonts w:asciiTheme="minorHAnsi" w:eastAsiaTheme="minorEastAsia" w:hAnsiTheme="minorHAnsi"/>
          <w:sz w:val="22"/>
          <w:lang w:eastAsia="en-AU"/>
        </w:rPr>
      </w:pPr>
      <w:hyperlink w:anchor="_Toc85486018" w:history="1">
        <w:r w:rsidR="004C0E21" w:rsidRPr="001A74DA">
          <w:rPr>
            <w:rStyle w:val="Hyperlink"/>
          </w:rPr>
          <w:t>5</w:t>
        </w:r>
        <w:r w:rsidR="004C0E21">
          <w:rPr>
            <w:rFonts w:asciiTheme="minorHAnsi" w:eastAsiaTheme="minorEastAsia" w:hAnsiTheme="minorHAnsi"/>
            <w:sz w:val="22"/>
            <w:lang w:eastAsia="en-AU"/>
          </w:rPr>
          <w:tab/>
        </w:r>
        <w:r w:rsidR="004C0E21" w:rsidRPr="001A74DA">
          <w:rPr>
            <w:rStyle w:val="Hyperlink"/>
          </w:rPr>
          <w:t>Influence Factors and Disturbances</w:t>
        </w:r>
        <w:r w:rsidR="004C0E21">
          <w:rPr>
            <w:webHidden/>
          </w:rPr>
          <w:tab/>
        </w:r>
        <w:r w:rsidR="004C0E21">
          <w:rPr>
            <w:webHidden/>
          </w:rPr>
          <w:fldChar w:fldCharType="begin"/>
        </w:r>
        <w:r w:rsidR="004C0E21">
          <w:rPr>
            <w:webHidden/>
          </w:rPr>
          <w:instrText xml:space="preserve"> PAGEREF _Toc85486018 \h </w:instrText>
        </w:r>
        <w:r w:rsidR="004C0E21">
          <w:rPr>
            <w:webHidden/>
          </w:rPr>
        </w:r>
        <w:r w:rsidR="004C0E21">
          <w:rPr>
            <w:webHidden/>
          </w:rPr>
          <w:fldChar w:fldCharType="separate"/>
        </w:r>
        <w:r w:rsidR="00192601">
          <w:rPr>
            <w:webHidden/>
          </w:rPr>
          <w:t>9</w:t>
        </w:r>
        <w:r w:rsidR="004C0E21">
          <w:rPr>
            <w:webHidden/>
          </w:rPr>
          <w:fldChar w:fldCharType="end"/>
        </w:r>
      </w:hyperlink>
    </w:p>
    <w:p w14:paraId="66F50B9B" w14:textId="77777777" w:rsidR="004C0E21" w:rsidRDefault="00320D75">
      <w:pPr>
        <w:pStyle w:val="TOC1"/>
        <w:rPr>
          <w:rFonts w:asciiTheme="minorHAnsi" w:eastAsiaTheme="minorEastAsia" w:hAnsiTheme="minorHAnsi"/>
          <w:sz w:val="22"/>
          <w:lang w:eastAsia="en-AU"/>
        </w:rPr>
      </w:pPr>
      <w:hyperlink w:anchor="_Toc85486019" w:history="1">
        <w:r w:rsidR="004C0E21" w:rsidRPr="001A74DA">
          <w:rPr>
            <w:rStyle w:val="Hyperlink"/>
          </w:rPr>
          <w:t>6</w:t>
        </w:r>
        <w:r w:rsidR="004C0E21">
          <w:rPr>
            <w:rFonts w:asciiTheme="minorHAnsi" w:eastAsiaTheme="minorEastAsia" w:hAnsiTheme="minorHAnsi"/>
            <w:sz w:val="22"/>
            <w:lang w:eastAsia="en-AU"/>
          </w:rPr>
          <w:tab/>
        </w:r>
        <w:r w:rsidR="004C0E21" w:rsidRPr="001A74DA">
          <w:rPr>
            <w:rStyle w:val="Hyperlink"/>
          </w:rPr>
          <w:t>Internal Clocks</w:t>
        </w:r>
        <w:r w:rsidR="004C0E21">
          <w:rPr>
            <w:webHidden/>
          </w:rPr>
          <w:tab/>
        </w:r>
        <w:r w:rsidR="004C0E21">
          <w:rPr>
            <w:webHidden/>
          </w:rPr>
          <w:fldChar w:fldCharType="begin"/>
        </w:r>
        <w:r w:rsidR="004C0E21">
          <w:rPr>
            <w:webHidden/>
          </w:rPr>
          <w:instrText xml:space="preserve"> PAGEREF _Toc85486019 \h </w:instrText>
        </w:r>
        <w:r w:rsidR="004C0E21">
          <w:rPr>
            <w:webHidden/>
          </w:rPr>
        </w:r>
        <w:r w:rsidR="004C0E21">
          <w:rPr>
            <w:webHidden/>
          </w:rPr>
          <w:fldChar w:fldCharType="separate"/>
        </w:r>
        <w:r w:rsidR="00192601">
          <w:rPr>
            <w:webHidden/>
          </w:rPr>
          <w:t>11</w:t>
        </w:r>
        <w:r w:rsidR="004C0E21">
          <w:rPr>
            <w:webHidden/>
          </w:rPr>
          <w:fldChar w:fldCharType="end"/>
        </w:r>
      </w:hyperlink>
    </w:p>
    <w:p w14:paraId="61CB164B" w14:textId="77777777" w:rsidR="004C0E21" w:rsidRDefault="00320D75">
      <w:pPr>
        <w:pStyle w:val="TOC1"/>
        <w:rPr>
          <w:rFonts w:asciiTheme="minorHAnsi" w:eastAsiaTheme="minorEastAsia" w:hAnsiTheme="minorHAnsi"/>
          <w:sz w:val="22"/>
          <w:lang w:eastAsia="en-AU"/>
        </w:rPr>
      </w:pPr>
      <w:hyperlink w:anchor="_Toc85486020" w:history="1">
        <w:r w:rsidR="004C0E21" w:rsidRPr="001A74DA">
          <w:rPr>
            <w:rStyle w:val="Hyperlink"/>
          </w:rPr>
          <w:t>7</w:t>
        </w:r>
        <w:r w:rsidR="004C0E21">
          <w:rPr>
            <w:rFonts w:asciiTheme="minorHAnsi" w:eastAsiaTheme="minorEastAsia" w:hAnsiTheme="minorHAnsi"/>
            <w:sz w:val="22"/>
            <w:lang w:eastAsia="en-AU"/>
          </w:rPr>
          <w:tab/>
        </w:r>
        <w:r w:rsidR="004C0E21" w:rsidRPr="001A74DA">
          <w:rPr>
            <w:rStyle w:val="Hyperlink"/>
          </w:rPr>
          <w:t>Operational Requirements</w:t>
        </w:r>
        <w:r w:rsidR="004C0E21">
          <w:rPr>
            <w:webHidden/>
          </w:rPr>
          <w:tab/>
        </w:r>
        <w:r w:rsidR="004C0E21">
          <w:rPr>
            <w:webHidden/>
          </w:rPr>
          <w:fldChar w:fldCharType="begin"/>
        </w:r>
        <w:r w:rsidR="004C0E21">
          <w:rPr>
            <w:webHidden/>
          </w:rPr>
          <w:instrText xml:space="preserve"> PAGEREF _Toc85486020 \h </w:instrText>
        </w:r>
        <w:r w:rsidR="004C0E21">
          <w:rPr>
            <w:webHidden/>
          </w:rPr>
        </w:r>
        <w:r w:rsidR="004C0E21">
          <w:rPr>
            <w:webHidden/>
          </w:rPr>
          <w:fldChar w:fldCharType="separate"/>
        </w:r>
        <w:r w:rsidR="00192601">
          <w:rPr>
            <w:webHidden/>
          </w:rPr>
          <w:t>12</w:t>
        </w:r>
        <w:r w:rsidR="004C0E21">
          <w:rPr>
            <w:webHidden/>
          </w:rPr>
          <w:fldChar w:fldCharType="end"/>
        </w:r>
      </w:hyperlink>
    </w:p>
    <w:p w14:paraId="4723250B" w14:textId="77777777" w:rsidR="004C0E21" w:rsidRDefault="00320D75">
      <w:pPr>
        <w:pStyle w:val="TOC1"/>
        <w:rPr>
          <w:rFonts w:asciiTheme="minorHAnsi" w:eastAsiaTheme="minorEastAsia" w:hAnsiTheme="minorHAnsi"/>
          <w:sz w:val="22"/>
          <w:lang w:eastAsia="en-AU"/>
        </w:rPr>
      </w:pPr>
      <w:hyperlink w:anchor="_Toc85486021" w:history="1">
        <w:r w:rsidR="004C0E21" w:rsidRPr="001A74DA">
          <w:rPr>
            <w:rStyle w:val="Hyperlink"/>
          </w:rPr>
          <w:t>8</w:t>
        </w:r>
        <w:r w:rsidR="004C0E21">
          <w:rPr>
            <w:rFonts w:asciiTheme="minorHAnsi" w:eastAsiaTheme="minorEastAsia" w:hAnsiTheme="minorHAnsi"/>
            <w:sz w:val="22"/>
            <w:lang w:eastAsia="en-AU"/>
          </w:rPr>
          <w:tab/>
        </w:r>
        <w:r w:rsidR="004C0E21" w:rsidRPr="001A74DA">
          <w:rPr>
            <w:rStyle w:val="Hyperlink"/>
          </w:rPr>
          <w:t>Markings</w:t>
        </w:r>
        <w:r w:rsidR="004C0E21">
          <w:rPr>
            <w:webHidden/>
          </w:rPr>
          <w:tab/>
        </w:r>
        <w:r w:rsidR="004C0E21">
          <w:rPr>
            <w:webHidden/>
          </w:rPr>
          <w:fldChar w:fldCharType="begin"/>
        </w:r>
        <w:r w:rsidR="004C0E21">
          <w:rPr>
            <w:webHidden/>
          </w:rPr>
          <w:instrText xml:space="preserve"> PAGEREF _Toc85486021 \h </w:instrText>
        </w:r>
        <w:r w:rsidR="004C0E21">
          <w:rPr>
            <w:webHidden/>
          </w:rPr>
        </w:r>
        <w:r w:rsidR="004C0E21">
          <w:rPr>
            <w:webHidden/>
          </w:rPr>
          <w:fldChar w:fldCharType="separate"/>
        </w:r>
        <w:r w:rsidR="00192601">
          <w:rPr>
            <w:webHidden/>
          </w:rPr>
          <w:t>12</w:t>
        </w:r>
        <w:r w:rsidR="004C0E21">
          <w:rPr>
            <w:webHidden/>
          </w:rPr>
          <w:fldChar w:fldCharType="end"/>
        </w:r>
      </w:hyperlink>
    </w:p>
    <w:p w14:paraId="2A51031F" w14:textId="77777777" w:rsidR="004C0E21" w:rsidRDefault="00320D75">
      <w:pPr>
        <w:pStyle w:val="TOC1"/>
        <w:rPr>
          <w:rFonts w:asciiTheme="minorHAnsi" w:eastAsiaTheme="minorEastAsia" w:hAnsiTheme="minorHAnsi"/>
          <w:sz w:val="22"/>
          <w:lang w:eastAsia="en-AU"/>
        </w:rPr>
      </w:pPr>
      <w:hyperlink w:anchor="_Toc85486022" w:history="1">
        <w:r w:rsidR="004C0E21" w:rsidRPr="001A74DA">
          <w:rPr>
            <w:rStyle w:val="Hyperlink"/>
          </w:rPr>
          <w:t>9</w:t>
        </w:r>
        <w:r w:rsidR="004C0E21">
          <w:rPr>
            <w:rFonts w:asciiTheme="minorHAnsi" w:eastAsiaTheme="minorEastAsia" w:hAnsiTheme="minorHAnsi"/>
            <w:sz w:val="22"/>
            <w:lang w:eastAsia="en-AU"/>
          </w:rPr>
          <w:tab/>
        </w:r>
        <w:r w:rsidR="004C0E21" w:rsidRPr="001A74DA">
          <w:rPr>
            <w:rStyle w:val="Hyperlink"/>
          </w:rPr>
          <w:t>Verification Mark and Sealing</w:t>
        </w:r>
        <w:r w:rsidR="004C0E21">
          <w:rPr>
            <w:webHidden/>
          </w:rPr>
          <w:tab/>
        </w:r>
        <w:r w:rsidR="004C0E21">
          <w:rPr>
            <w:webHidden/>
          </w:rPr>
          <w:fldChar w:fldCharType="begin"/>
        </w:r>
        <w:r w:rsidR="004C0E21">
          <w:rPr>
            <w:webHidden/>
          </w:rPr>
          <w:instrText xml:space="preserve"> PAGEREF _Toc85486022 \h </w:instrText>
        </w:r>
        <w:r w:rsidR="004C0E21">
          <w:rPr>
            <w:webHidden/>
          </w:rPr>
        </w:r>
        <w:r w:rsidR="004C0E21">
          <w:rPr>
            <w:webHidden/>
          </w:rPr>
          <w:fldChar w:fldCharType="separate"/>
        </w:r>
        <w:r w:rsidR="00192601">
          <w:rPr>
            <w:webHidden/>
          </w:rPr>
          <w:t>13</w:t>
        </w:r>
        <w:r w:rsidR="004C0E21">
          <w:rPr>
            <w:webHidden/>
          </w:rPr>
          <w:fldChar w:fldCharType="end"/>
        </w:r>
      </w:hyperlink>
    </w:p>
    <w:p w14:paraId="00F173DD" w14:textId="77777777" w:rsidR="004C0E21" w:rsidRDefault="00320D75">
      <w:pPr>
        <w:pStyle w:val="TOC1"/>
        <w:rPr>
          <w:rFonts w:asciiTheme="minorHAnsi" w:eastAsiaTheme="minorEastAsia" w:hAnsiTheme="minorHAnsi"/>
          <w:sz w:val="22"/>
          <w:lang w:eastAsia="en-AU"/>
        </w:rPr>
      </w:pPr>
      <w:hyperlink w:anchor="_Toc85486023" w:history="1">
        <w:r w:rsidR="004C0E21" w:rsidRPr="001A74DA">
          <w:rPr>
            <w:rStyle w:val="Hyperlink"/>
          </w:rPr>
          <w:t>10</w:t>
        </w:r>
        <w:r w:rsidR="004C0E21">
          <w:rPr>
            <w:rFonts w:asciiTheme="minorHAnsi" w:eastAsiaTheme="minorEastAsia" w:hAnsiTheme="minorHAnsi"/>
            <w:sz w:val="22"/>
            <w:lang w:eastAsia="en-AU"/>
          </w:rPr>
          <w:tab/>
        </w:r>
        <w:r w:rsidR="004C0E21" w:rsidRPr="001A74DA">
          <w:rPr>
            <w:rStyle w:val="Hyperlink"/>
          </w:rPr>
          <w:t>General</w:t>
        </w:r>
        <w:r w:rsidR="004C0E21">
          <w:rPr>
            <w:webHidden/>
          </w:rPr>
          <w:tab/>
        </w:r>
        <w:r w:rsidR="004C0E21">
          <w:rPr>
            <w:webHidden/>
          </w:rPr>
          <w:fldChar w:fldCharType="begin"/>
        </w:r>
        <w:r w:rsidR="004C0E21">
          <w:rPr>
            <w:webHidden/>
          </w:rPr>
          <w:instrText xml:space="preserve"> PAGEREF _Toc85486023 \h </w:instrText>
        </w:r>
        <w:r w:rsidR="004C0E21">
          <w:rPr>
            <w:webHidden/>
          </w:rPr>
        </w:r>
        <w:r w:rsidR="004C0E21">
          <w:rPr>
            <w:webHidden/>
          </w:rPr>
          <w:fldChar w:fldCharType="separate"/>
        </w:r>
        <w:r w:rsidR="00192601">
          <w:rPr>
            <w:webHidden/>
          </w:rPr>
          <w:t>14</w:t>
        </w:r>
        <w:r w:rsidR="004C0E21">
          <w:rPr>
            <w:webHidden/>
          </w:rPr>
          <w:fldChar w:fldCharType="end"/>
        </w:r>
      </w:hyperlink>
    </w:p>
    <w:p w14:paraId="49F69038" w14:textId="77777777" w:rsidR="004C0E21" w:rsidRDefault="00320D75">
      <w:pPr>
        <w:pStyle w:val="TOC1"/>
        <w:rPr>
          <w:rFonts w:asciiTheme="minorHAnsi" w:eastAsiaTheme="minorEastAsia" w:hAnsiTheme="minorHAnsi"/>
          <w:sz w:val="22"/>
          <w:lang w:eastAsia="en-AU"/>
        </w:rPr>
      </w:pPr>
      <w:hyperlink w:anchor="_Toc85486024" w:history="1">
        <w:r w:rsidR="004C0E21" w:rsidRPr="001A74DA">
          <w:rPr>
            <w:rStyle w:val="Hyperlink"/>
          </w:rPr>
          <w:t>Annex A. Performance Tests (Mandatory)</w:t>
        </w:r>
        <w:r w:rsidR="004C0E21">
          <w:rPr>
            <w:webHidden/>
          </w:rPr>
          <w:tab/>
        </w:r>
        <w:r w:rsidR="004C0E21">
          <w:rPr>
            <w:webHidden/>
          </w:rPr>
          <w:fldChar w:fldCharType="begin"/>
        </w:r>
        <w:r w:rsidR="004C0E21">
          <w:rPr>
            <w:webHidden/>
          </w:rPr>
          <w:instrText xml:space="preserve"> PAGEREF _Toc85486024 \h </w:instrText>
        </w:r>
        <w:r w:rsidR="004C0E21">
          <w:rPr>
            <w:webHidden/>
          </w:rPr>
        </w:r>
        <w:r w:rsidR="004C0E21">
          <w:rPr>
            <w:webHidden/>
          </w:rPr>
          <w:fldChar w:fldCharType="separate"/>
        </w:r>
        <w:r w:rsidR="00192601">
          <w:rPr>
            <w:webHidden/>
          </w:rPr>
          <w:t>15</w:t>
        </w:r>
        <w:r w:rsidR="004C0E21">
          <w:rPr>
            <w:webHidden/>
          </w:rPr>
          <w:fldChar w:fldCharType="end"/>
        </w:r>
      </w:hyperlink>
    </w:p>
    <w:p w14:paraId="13079142" w14:textId="77777777" w:rsidR="004C0E21" w:rsidRDefault="00320D75">
      <w:pPr>
        <w:pStyle w:val="TOC1"/>
        <w:rPr>
          <w:rFonts w:asciiTheme="minorHAnsi" w:eastAsiaTheme="minorEastAsia" w:hAnsiTheme="minorHAnsi"/>
          <w:sz w:val="22"/>
          <w:lang w:eastAsia="en-AU"/>
        </w:rPr>
      </w:pPr>
      <w:hyperlink w:anchor="_Toc85486025" w:history="1">
        <w:r w:rsidR="004C0E21" w:rsidRPr="001A74DA">
          <w:rPr>
            <w:rStyle w:val="Hyperlink"/>
          </w:rPr>
          <w:t>Annex B. Mandatory Test Points (Mandatory)</w:t>
        </w:r>
        <w:r w:rsidR="004C0E21">
          <w:rPr>
            <w:webHidden/>
          </w:rPr>
          <w:tab/>
        </w:r>
        <w:r w:rsidR="004C0E21">
          <w:rPr>
            <w:webHidden/>
          </w:rPr>
          <w:fldChar w:fldCharType="begin"/>
        </w:r>
        <w:r w:rsidR="004C0E21">
          <w:rPr>
            <w:webHidden/>
          </w:rPr>
          <w:instrText xml:space="preserve"> PAGEREF _Toc85486025 \h </w:instrText>
        </w:r>
        <w:r w:rsidR="004C0E21">
          <w:rPr>
            <w:webHidden/>
          </w:rPr>
        </w:r>
        <w:r w:rsidR="004C0E21">
          <w:rPr>
            <w:webHidden/>
          </w:rPr>
          <w:fldChar w:fldCharType="separate"/>
        </w:r>
        <w:r w:rsidR="00192601">
          <w:rPr>
            <w:webHidden/>
          </w:rPr>
          <w:t>30</w:t>
        </w:r>
        <w:r w:rsidR="004C0E21">
          <w:rPr>
            <w:webHidden/>
          </w:rPr>
          <w:fldChar w:fldCharType="end"/>
        </w:r>
      </w:hyperlink>
    </w:p>
    <w:p w14:paraId="245C58E9" w14:textId="77777777" w:rsidR="004C0E21" w:rsidRDefault="00320D75">
      <w:pPr>
        <w:pStyle w:val="TOC1"/>
        <w:rPr>
          <w:rFonts w:asciiTheme="minorHAnsi" w:eastAsiaTheme="minorEastAsia" w:hAnsiTheme="minorHAnsi"/>
          <w:sz w:val="22"/>
          <w:lang w:eastAsia="en-AU"/>
        </w:rPr>
      </w:pPr>
      <w:hyperlink w:anchor="_Toc85486026" w:history="1">
        <w:r w:rsidR="004C0E21" w:rsidRPr="001A74DA">
          <w:rPr>
            <w:rStyle w:val="Hyperlink"/>
          </w:rPr>
          <w:t>Bibliography</w:t>
        </w:r>
        <w:r w:rsidR="004C0E21">
          <w:rPr>
            <w:webHidden/>
          </w:rPr>
          <w:tab/>
        </w:r>
        <w:r w:rsidR="004C0E21">
          <w:rPr>
            <w:webHidden/>
          </w:rPr>
          <w:fldChar w:fldCharType="begin"/>
        </w:r>
        <w:r w:rsidR="004C0E21">
          <w:rPr>
            <w:webHidden/>
          </w:rPr>
          <w:instrText xml:space="preserve"> PAGEREF _Toc85486026 \h </w:instrText>
        </w:r>
        <w:r w:rsidR="004C0E21">
          <w:rPr>
            <w:webHidden/>
          </w:rPr>
        </w:r>
        <w:r w:rsidR="004C0E21">
          <w:rPr>
            <w:webHidden/>
          </w:rPr>
          <w:fldChar w:fldCharType="separate"/>
        </w:r>
        <w:r w:rsidR="00192601">
          <w:rPr>
            <w:webHidden/>
          </w:rPr>
          <w:t>31</w:t>
        </w:r>
        <w:r w:rsidR="004C0E21">
          <w:rPr>
            <w:webHidden/>
          </w:rPr>
          <w:fldChar w:fldCharType="end"/>
        </w:r>
      </w:hyperlink>
    </w:p>
    <w:p w14:paraId="73C72B98" w14:textId="14E0CB07" w:rsidR="005E4FC8" w:rsidRPr="00197929" w:rsidRDefault="004C0E21" w:rsidP="007D7CFA">
      <w:pPr>
        <w:sectPr w:rsidR="005E4FC8" w:rsidRPr="00197929" w:rsidSect="0041789E">
          <w:headerReference w:type="default" r:id="rId15"/>
          <w:footerReference w:type="default" r:id="rId16"/>
          <w:headerReference w:type="first" r:id="rId17"/>
          <w:footerReference w:type="first" r:id="rId18"/>
          <w:pgSz w:w="11906" w:h="16838"/>
          <w:pgMar w:top="1440" w:right="1080" w:bottom="1440" w:left="1080" w:header="708" w:footer="708" w:gutter="0"/>
          <w:pgNumType w:fmt="lowerRoman" w:start="1"/>
          <w:cols w:space="708"/>
          <w:docGrid w:linePitch="360"/>
        </w:sectPr>
      </w:pPr>
      <w:r>
        <w:rPr>
          <w:noProof/>
          <w:sz w:val="24"/>
        </w:rPr>
        <w:fldChar w:fldCharType="end"/>
      </w:r>
    </w:p>
    <w:p w14:paraId="799CE840" w14:textId="77777777" w:rsidR="00133643" w:rsidRPr="00AC44C8" w:rsidRDefault="00133643" w:rsidP="00133643">
      <w:pPr>
        <w:pStyle w:val="Heading1-NoNumber"/>
      </w:pPr>
      <w:bookmarkStart w:id="6" w:name="_Toc85486013"/>
      <w:r w:rsidRPr="00762963">
        <w:lastRenderedPageBreak/>
        <w:t>Preface</w:t>
      </w:r>
      <w:bookmarkEnd w:id="6"/>
    </w:p>
    <w:p w14:paraId="45EBC7F5" w14:textId="77777777" w:rsidR="00CC545B" w:rsidRDefault="00DA0FCE" w:rsidP="00CC545B">
      <w:r w:rsidRPr="0029562D">
        <w:t xml:space="preserve">It is Australian Government policy to harmonise Australian standards with international metrological requirements to the greatest possible extent. </w:t>
      </w:r>
      <w:r w:rsidR="00CC545B" w:rsidRPr="0029562D">
        <w:t xml:space="preserve">This document </w:t>
      </w:r>
      <w:r w:rsidR="00CC545B">
        <w:t>presents one pathway for the pattern approval of electricity meters.</w:t>
      </w:r>
    </w:p>
    <w:p w14:paraId="763BFF1C" w14:textId="18C610FE" w:rsidR="00CD1FD8" w:rsidRDefault="00593A97" w:rsidP="00CC545B">
      <w:r>
        <w:t xml:space="preserve">This pathway was previously specified as pathway 1 in </w:t>
      </w:r>
      <w:r w:rsidR="00325CFD">
        <w:t>NMI M 6-1, v3.0 (</w:t>
      </w:r>
      <w:r>
        <w:t>July 2020</w:t>
      </w:r>
      <w:r w:rsidR="00325CFD">
        <w:t>)</w:t>
      </w:r>
      <w:r>
        <w:t xml:space="preserve">. </w:t>
      </w:r>
      <w:r w:rsidR="00CD1FD8">
        <w:t xml:space="preserve">There are no significant changes </w:t>
      </w:r>
      <w:r w:rsidR="00D53BED">
        <w:t xml:space="preserve">to the requirements of </w:t>
      </w:r>
      <w:r w:rsidR="00CD1FD8">
        <w:t xml:space="preserve">this </w:t>
      </w:r>
      <w:r w:rsidR="00D53BED">
        <w:t>pathway</w:t>
      </w:r>
      <w:r w:rsidR="00CD1FD8">
        <w:t xml:space="preserve"> compared to </w:t>
      </w:r>
      <w:r>
        <w:t>the previous</w:t>
      </w:r>
      <w:r w:rsidR="00793927">
        <w:t xml:space="preserve"> edition, other than the separation of the pathways into separate documents. All amendments are listed in the Amendments table above.</w:t>
      </w:r>
      <w:r w:rsidR="00CD1FD8">
        <w:t xml:space="preserve"> </w:t>
      </w:r>
    </w:p>
    <w:p w14:paraId="47C6C48D" w14:textId="77777777" w:rsidR="00B84379" w:rsidRDefault="00B84379" w:rsidP="00B84379">
      <w:r>
        <w:t>Other pathways may be available. At the time of publication, the following pathways exist:</w:t>
      </w:r>
    </w:p>
    <w:p w14:paraId="2F6F2313" w14:textId="35791FA5" w:rsidR="00B84379" w:rsidRDefault="00B84379" w:rsidP="00D53BED">
      <w:pPr>
        <w:pStyle w:val="ListParagraph"/>
        <w:numPr>
          <w:ilvl w:val="0"/>
          <w:numId w:val="43"/>
        </w:numPr>
      </w:pPr>
      <w:r>
        <w:t xml:space="preserve">NMI M 6-1 </w:t>
      </w:r>
      <w:r w:rsidR="00F2393F">
        <w:t>(</w:t>
      </w:r>
      <w:r>
        <w:t>this document</w:t>
      </w:r>
      <w:r w:rsidR="00F2393F">
        <w:t>) and NMI M 6-2</w:t>
      </w:r>
    </w:p>
    <w:p w14:paraId="55A15F2D" w14:textId="02BFBC69" w:rsidR="00B84379" w:rsidRDefault="00B84379" w:rsidP="00D53BED">
      <w:pPr>
        <w:pStyle w:val="ListParagraph"/>
        <w:numPr>
          <w:ilvl w:val="0"/>
          <w:numId w:val="43"/>
        </w:numPr>
      </w:pPr>
      <w:r>
        <w:t>NMI M 13</w:t>
      </w:r>
      <w:r w:rsidR="00F2393F">
        <w:t>-1 and NMI M 13-2</w:t>
      </w:r>
    </w:p>
    <w:p w14:paraId="2ACD21EF" w14:textId="47BA955F" w:rsidR="00B84379" w:rsidRDefault="00B84379" w:rsidP="00D53BED">
      <w:pPr>
        <w:pStyle w:val="ListParagraph"/>
        <w:numPr>
          <w:ilvl w:val="0"/>
          <w:numId w:val="43"/>
        </w:numPr>
      </w:pPr>
      <w:r>
        <w:t>NMI R 46-1-2 and NMI R 46-3</w:t>
      </w:r>
    </w:p>
    <w:p w14:paraId="68931766" w14:textId="77777777" w:rsidR="00A43756" w:rsidRDefault="00A43756" w:rsidP="00EB636B"/>
    <w:p w14:paraId="6DF59BF0" w14:textId="77777777" w:rsidR="00A35CF0" w:rsidRDefault="00A35CF0" w:rsidP="00EB636B">
      <w:pPr>
        <w:sectPr w:rsidR="00A35CF0" w:rsidSect="0041789E">
          <w:headerReference w:type="default" r:id="rId19"/>
          <w:pgSz w:w="11906" w:h="16838"/>
          <w:pgMar w:top="1440" w:right="1080" w:bottom="1440" w:left="1080" w:header="708" w:footer="708" w:gutter="0"/>
          <w:pgNumType w:fmt="lowerRoman"/>
          <w:cols w:space="708"/>
          <w:docGrid w:linePitch="360"/>
        </w:sectPr>
      </w:pPr>
    </w:p>
    <w:p w14:paraId="026C3802" w14:textId="14D3BA4B" w:rsidR="00A35CF0" w:rsidRDefault="00A35CF0" w:rsidP="00092808">
      <w:pPr>
        <w:pStyle w:val="Heading1"/>
      </w:pPr>
      <w:bookmarkStart w:id="7" w:name="_Toc85486014"/>
      <w:r>
        <w:lastRenderedPageBreak/>
        <w:t>Scope</w:t>
      </w:r>
      <w:r w:rsidR="009C5E0D">
        <w:t xml:space="preserve"> and Application</w:t>
      </w:r>
      <w:bookmarkEnd w:id="7"/>
    </w:p>
    <w:p w14:paraId="199E7C6E" w14:textId="70184FBD" w:rsidR="009C5E0D" w:rsidRDefault="009C5E0D" w:rsidP="002D1FCF">
      <w:pPr>
        <w:pStyle w:val="Heading2"/>
      </w:pPr>
      <w:r>
        <w:t>Scope</w:t>
      </w:r>
    </w:p>
    <w:p w14:paraId="0CAD54E9" w14:textId="573C43BC" w:rsidR="003B2752" w:rsidRDefault="008776BE" w:rsidP="002D1FCF">
      <w:r>
        <w:t xml:space="preserve">This document contains requirements for the metrological control of </w:t>
      </w:r>
      <w:r w:rsidR="00045FB0">
        <w:t xml:space="preserve">active-energy </w:t>
      </w:r>
      <w:r>
        <w:t>electricity meters</w:t>
      </w:r>
      <w:r w:rsidR="00045FB0">
        <w:t xml:space="preserve"> (meter)</w:t>
      </w:r>
      <w:r>
        <w:t xml:space="preserve"> intended for use for trade</w:t>
      </w:r>
      <w:r w:rsidR="00045FB0">
        <w:t xml:space="preserve">, including </w:t>
      </w:r>
      <w:r>
        <w:t xml:space="preserve">the metrological and technical requirements for pattern approval and verification. The requirements apply to all watt hour meters </w:t>
      </w:r>
      <w:r w:rsidR="00CB4A2D">
        <w:t xml:space="preserve">operating on alternating current circuits </w:t>
      </w:r>
      <w:r>
        <w:t>used for single-rate or multi-rate operation, in single or polyphase installations, having a nominal operating frequency of 50 Hz and a connection voltage not exceeding 600 V.</w:t>
      </w:r>
    </w:p>
    <w:p w14:paraId="709F1A41" w14:textId="77777777" w:rsidR="008776BE" w:rsidRDefault="008776BE" w:rsidP="002D1FCF">
      <w:r>
        <w:t>In-field performance requirements are not addressed in this document.</w:t>
      </w:r>
    </w:p>
    <w:p w14:paraId="32521298" w14:textId="11A02C1C" w:rsidR="009C5E0D" w:rsidRDefault="009C5E0D" w:rsidP="002D1FCF">
      <w:pPr>
        <w:pStyle w:val="Heading2"/>
      </w:pPr>
      <w:r>
        <w:t>Application</w:t>
      </w:r>
    </w:p>
    <w:p w14:paraId="63765110" w14:textId="4D340526" w:rsidR="00986DB5" w:rsidRDefault="00986DB5" w:rsidP="009C5E0D">
      <w:r w:rsidRPr="001E77EC">
        <w:t>This document describes a pathway</w:t>
      </w:r>
      <w:r w:rsidRPr="001E77EC">
        <w:rPr>
          <w:rStyle w:val="FootnoteReference"/>
        </w:rPr>
        <w:footnoteReference w:id="1"/>
      </w:r>
      <w:r w:rsidRPr="001E77EC">
        <w:t xml:space="preserve"> for approval of a pattern.</w:t>
      </w:r>
    </w:p>
    <w:p w14:paraId="0165DB5A" w14:textId="2661F491" w:rsidR="009C5E0D" w:rsidRDefault="009C5E0D" w:rsidP="009C5E0D">
      <w:r w:rsidRPr="00AF350C">
        <w:t xml:space="preserve">The National Measurement Institute reserves the right to vary or interpret requirements </w:t>
      </w:r>
      <w:r>
        <w:t xml:space="preserve">if it is deemed </w:t>
      </w:r>
      <w:r w:rsidRPr="00AF350C">
        <w:t xml:space="preserve">appropriate </w:t>
      </w:r>
      <w:r>
        <w:t xml:space="preserve">to support new or different </w:t>
      </w:r>
      <w:r w:rsidRPr="00AF350C">
        <w:t>technologies or applications</w:t>
      </w:r>
      <w:r>
        <w:t>.</w:t>
      </w:r>
    </w:p>
    <w:p w14:paraId="22BF1582" w14:textId="77777777" w:rsidR="003F3DDD" w:rsidRDefault="009D0773" w:rsidP="00604BD7">
      <w:pPr>
        <w:pStyle w:val="Heading1"/>
      </w:pPr>
      <w:bookmarkStart w:id="8" w:name="_Toc85486015"/>
      <w:r>
        <w:t>Terminology</w:t>
      </w:r>
      <w:bookmarkEnd w:id="8"/>
    </w:p>
    <w:p w14:paraId="17A8E822" w14:textId="77777777" w:rsidR="008776BE" w:rsidRDefault="008776BE" w:rsidP="008776BE">
      <w:r>
        <w:t>The following definitions have been based for the most part on those in references [1] to [5].</w:t>
      </w:r>
    </w:p>
    <w:p w14:paraId="45DE13E7" w14:textId="77777777" w:rsidR="008776BE" w:rsidRDefault="008776BE" w:rsidP="008776BE">
      <w:pPr>
        <w:pStyle w:val="Heading2"/>
      </w:pPr>
      <w:r>
        <w:t>Accuracy Class</w:t>
      </w:r>
    </w:p>
    <w:p w14:paraId="73AE5D8E" w14:textId="77777777" w:rsidR="008776BE" w:rsidRDefault="008776BE" w:rsidP="008776BE">
      <w:r>
        <w:t>The class of measuring instruments or measuring systems that meet stated metrological requirements that are intended to keep measurement errors or instrumental uncertainties within specified limits under specified operating conditions.</w:t>
      </w:r>
    </w:p>
    <w:p w14:paraId="03480C39" w14:textId="77777777" w:rsidR="008776BE" w:rsidRDefault="008776BE" w:rsidP="00604BD7">
      <w:pPr>
        <w:pStyle w:val="Heading2"/>
      </w:pPr>
      <w:r>
        <w:t>Auxiliary Circuit</w:t>
      </w:r>
    </w:p>
    <w:p w14:paraId="7E098F17" w14:textId="77777777" w:rsidR="008776BE" w:rsidRDefault="008776BE" w:rsidP="008776BE">
      <w:r>
        <w:t>The elements (lamps, contacts, etc.) and connections of an auxiliary device within the meter case intended to be connected to an external device, e.g. clock, relay, impulse counter.</w:t>
      </w:r>
    </w:p>
    <w:p w14:paraId="4FC361E3" w14:textId="77777777" w:rsidR="008776BE" w:rsidRDefault="008776BE" w:rsidP="00604BD7">
      <w:pPr>
        <w:pStyle w:val="Heading2"/>
      </w:pPr>
      <w:r>
        <w:t>Auxiliary Device/Accessory</w:t>
      </w:r>
    </w:p>
    <w:p w14:paraId="158F2E0A" w14:textId="77777777" w:rsidR="008776BE" w:rsidRDefault="008776BE" w:rsidP="008776BE">
      <w:r>
        <w:t>A device or function within the meter that is not part of the basic metrology function. The main auxiliary devices are:</w:t>
      </w:r>
    </w:p>
    <w:p w14:paraId="30E5F0AD" w14:textId="77777777" w:rsidR="008776BE" w:rsidRDefault="008776BE" w:rsidP="00F74CE3">
      <w:pPr>
        <w:pStyle w:val="ListParagraph"/>
        <w:numPr>
          <w:ilvl w:val="0"/>
          <w:numId w:val="4"/>
        </w:numPr>
      </w:pPr>
      <w:r>
        <w:t>communication for transmitting measurement data;</w:t>
      </w:r>
    </w:p>
    <w:p w14:paraId="004EFBC9" w14:textId="77777777" w:rsidR="008776BE" w:rsidRDefault="008776BE" w:rsidP="00F74CE3">
      <w:pPr>
        <w:pStyle w:val="ListParagraph"/>
        <w:numPr>
          <w:ilvl w:val="0"/>
          <w:numId w:val="4"/>
        </w:numPr>
      </w:pPr>
      <w:r>
        <w:t>tariff changing controls;</w:t>
      </w:r>
    </w:p>
    <w:p w14:paraId="711E06D0" w14:textId="77777777" w:rsidR="008776BE" w:rsidRDefault="008776BE" w:rsidP="00F74CE3">
      <w:pPr>
        <w:pStyle w:val="ListParagraph"/>
        <w:numPr>
          <w:ilvl w:val="0"/>
          <w:numId w:val="4"/>
        </w:numPr>
      </w:pPr>
      <w:r>
        <w:t>load control devices; and</w:t>
      </w:r>
    </w:p>
    <w:p w14:paraId="27F84DA1" w14:textId="77777777" w:rsidR="008776BE" w:rsidRDefault="008776BE" w:rsidP="00F74CE3">
      <w:pPr>
        <w:pStyle w:val="ListParagraph"/>
        <w:numPr>
          <w:ilvl w:val="0"/>
          <w:numId w:val="4"/>
        </w:numPr>
      </w:pPr>
      <w:r>
        <w:t>disconnect/reconnect contactors.</w:t>
      </w:r>
    </w:p>
    <w:p w14:paraId="7BC6E949" w14:textId="77777777" w:rsidR="008776BE" w:rsidRDefault="008776BE" w:rsidP="008C6F57">
      <w:pPr>
        <w:pStyle w:val="Note"/>
      </w:pPr>
      <w:r>
        <w:t>Note:</w:t>
      </w:r>
      <w:r>
        <w:tab/>
        <w:t>For the purposes of the operation of accessories test in Table 4 an auxiliary device is an accessory.</w:t>
      </w:r>
    </w:p>
    <w:p w14:paraId="18F08085" w14:textId="77777777" w:rsidR="008776BE" w:rsidRDefault="008776BE" w:rsidP="00604BD7">
      <w:pPr>
        <w:pStyle w:val="Heading2"/>
      </w:pPr>
      <w:r>
        <w:t>Basic Current (</w:t>
      </w:r>
      <w:r w:rsidRPr="008A52F7">
        <w:rPr>
          <w:rFonts w:ascii="Cambria Math" w:hAnsi="Cambria Math"/>
          <w:b w:val="0"/>
          <w:i/>
        </w:rPr>
        <w:t>I</w:t>
      </w:r>
      <w:r w:rsidRPr="008A52F7">
        <w:rPr>
          <w:rFonts w:ascii="Cambria Math" w:hAnsi="Cambria Math"/>
          <w:b w:val="0"/>
          <w:vertAlign w:val="subscript"/>
        </w:rPr>
        <w:t>b</w:t>
      </w:r>
      <w:r>
        <w:t>)</w:t>
      </w:r>
    </w:p>
    <w:p w14:paraId="5D7F307A" w14:textId="77777777" w:rsidR="008776BE" w:rsidRDefault="008776BE" w:rsidP="008776BE">
      <w:r>
        <w:t>The value of the current in accordance with which the relevant performance of a direct-connected meter is fixed.</w:t>
      </w:r>
    </w:p>
    <w:p w14:paraId="7373A111" w14:textId="77777777" w:rsidR="008776BE" w:rsidRDefault="008776BE" w:rsidP="00092808">
      <w:pPr>
        <w:pStyle w:val="Note"/>
      </w:pPr>
      <w:r>
        <w:t>Note:</w:t>
      </w:r>
      <w:r>
        <w:tab/>
        <w:t>The term ‘current’ indicates root mean square (rms) values unless otherwise specified.</w:t>
      </w:r>
    </w:p>
    <w:p w14:paraId="35F706D5" w14:textId="77777777" w:rsidR="008776BE" w:rsidRDefault="008776BE" w:rsidP="00604BD7">
      <w:pPr>
        <w:pStyle w:val="Heading2"/>
      </w:pPr>
      <w:r>
        <w:t>Basic Insulation</w:t>
      </w:r>
    </w:p>
    <w:p w14:paraId="60CDE461" w14:textId="77777777" w:rsidR="008776BE" w:rsidRDefault="008776BE" w:rsidP="008776BE">
      <w:r>
        <w:t>Insulation applied to live parts to provide basic protection against electric shock.</w:t>
      </w:r>
    </w:p>
    <w:p w14:paraId="55BF569F" w14:textId="77777777" w:rsidR="008776BE" w:rsidRDefault="008776BE" w:rsidP="008776BE">
      <w:r>
        <w:t>Note:</w:t>
      </w:r>
      <w:r>
        <w:tab/>
        <w:t>Basic insulation does not necessarily include insulation used exclusively for functional purposes.</w:t>
      </w:r>
    </w:p>
    <w:p w14:paraId="286AF57E" w14:textId="77777777" w:rsidR="008776BE" w:rsidRDefault="008776BE" w:rsidP="00604BD7">
      <w:pPr>
        <w:pStyle w:val="Heading2"/>
      </w:pPr>
      <w:r>
        <w:lastRenderedPageBreak/>
        <w:t>Checking Facility</w:t>
      </w:r>
    </w:p>
    <w:p w14:paraId="2A58B38C" w14:textId="77777777" w:rsidR="008776BE" w:rsidRDefault="008776BE" w:rsidP="00092808">
      <w:pPr>
        <w:keepNext/>
      </w:pPr>
      <w:r>
        <w:t>A facility which is incorporated in the meter and which enables faults that would otherwise be significant faults to be detected and acted upon in such a way that incorrect registration is prohibited or recorded separately.</w:t>
      </w:r>
    </w:p>
    <w:p w14:paraId="27ECD45B" w14:textId="77777777" w:rsidR="008776BE" w:rsidRDefault="008776BE" w:rsidP="00604BD7">
      <w:pPr>
        <w:pStyle w:val="Note"/>
      </w:pPr>
      <w:r>
        <w:t>Note:</w:t>
      </w:r>
      <w:r>
        <w:tab/>
        <w:t>The action should be either to stop measuring and record the time and duration of the stop, or record the time and duration of the significant fault and the amount of energy measured during the significant fault.</w:t>
      </w:r>
    </w:p>
    <w:p w14:paraId="439B8060" w14:textId="77777777" w:rsidR="008776BE" w:rsidRDefault="008776BE" w:rsidP="00092808">
      <w:pPr>
        <w:pStyle w:val="Heading2"/>
      </w:pPr>
      <w:r>
        <w:t>Current Circuit</w:t>
      </w:r>
    </w:p>
    <w:p w14:paraId="3F98AA22" w14:textId="77777777" w:rsidR="008776BE" w:rsidRDefault="008776BE" w:rsidP="008776BE">
      <w:r>
        <w:t>The internal connections of the meter and part of the measuring element through which flows the current of the circuit to which the meter is connected.</w:t>
      </w:r>
    </w:p>
    <w:p w14:paraId="5EC3AA39" w14:textId="77777777" w:rsidR="008776BE" w:rsidRDefault="008776BE" w:rsidP="00604BD7">
      <w:pPr>
        <w:pStyle w:val="Heading2"/>
      </w:pPr>
      <w:r>
        <w:t>Direct-connected Meter</w:t>
      </w:r>
    </w:p>
    <w:p w14:paraId="13663EAD" w14:textId="77777777" w:rsidR="008776BE" w:rsidRDefault="008776BE" w:rsidP="008776BE">
      <w:r>
        <w:t>A meter intended for use without an external measurement transformer, i.e. for direct connection to the circuit being metered.</w:t>
      </w:r>
    </w:p>
    <w:p w14:paraId="547F30E3" w14:textId="77777777" w:rsidR="008776BE" w:rsidRDefault="008776BE" w:rsidP="00604BD7">
      <w:pPr>
        <w:pStyle w:val="Heading2"/>
      </w:pPr>
      <w:r>
        <w:t>Distortion Factor</w:t>
      </w:r>
    </w:p>
    <w:p w14:paraId="2E835D97" w14:textId="77777777" w:rsidR="008776BE" w:rsidRDefault="008776BE" w:rsidP="008776BE">
      <w:r>
        <w:t>The ratio of the rms value of the harmonic content (obtained by subtracting from a non-sinusoidal alternating quantity its fundamental term) to the rms value of the non-sinusoidal quantity. The distortion factor is usually expressed as a percentage.</w:t>
      </w:r>
    </w:p>
    <w:p w14:paraId="00AA3DA1" w14:textId="77777777" w:rsidR="008776BE" w:rsidRDefault="008776BE" w:rsidP="00092808">
      <w:pPr>
        <w:pStyle w:val="Heading2"/>
      </w:pPr>
      <w:r>
        <w:t>Disturbance</w:t>
      </w:r>
    </w:p>
    <w:p w14:paraId="1E0AFFD0" w14:textId="77777777" w:rsidR="008776BE" w:rsidRDefault="008776BE" w:rsidP="008776BE">
      <w:r>
        <w:t>An influence quantity having a value within the limits specified in this document, but outside the specified rated operating conditions of the meter.</w:t>
      </w:r>
    </w:p>
    <w:p w14:paraId="27049C7E" w14:textId="77777777" w:rsidR="008776BE" w:rsidRDefault="008776BE" w:rsidP="00092808">
      <w:pPr>
        <w:pStyle w:val="Note"/>
      </w:pPr>
      <w:r>
        <w:t>Note:</w:t>
      </w:r>
      <w:r>
        <w:tab/>
        <w:t>An influence quantity is a disturbance, if for that influence quantity the rated operating conditions are not specified.</w:t>
      </w:r>
    </w:p>
    <w:p w14:paraId="76F44927" w14:textId="77777777" w:rsidR="008776BE" w:rsidRDefault="008776BE" w:rsidP="00092808">
      <w:pPr>
        <w:pStyle w:val="Heading2"/>
      </w:pPr>
      <w:r>
        <w:t>Double Insulation</w:t>
      </w:r>
    </w:p>
    <w:p w14:paraId="14A74848" w14:textId="77777777" w:rsidR="008776BE" w:rsidRDefault="008776BE" w:rsidP="008776BE">
      <w:r>
        <w:t>Insulation comprising both basic insulation and supplementary insulation.</w:t>
      </w:r>
    </w:p>
    <w:p w14:paraId="708CABA0" w14:textId="77777777" w:rsidR="008776BE" w:rsidRDefault="008776BE" w:rsidP="00092808">
      <w:pPr>
        <w:pStyle w:val="Heading2"/>
      </w:pPr>
      <w:r>
        <w:t>Error</w:t>
      </w:r>
    </w:p>
    <w:p w14:paraId="5FA0FF2D" w14:textId="77777777" w:rsidR="008776BE" w:rsidRDefault="008776BE" w:rsidP="008776BE">
      <w:r>
        <w:t>The indication of a meter minus the true value of the corresponding input quantity.</w:t>
      </w:r>
    </w:p>
    <w:p w14:paraId="3E6A4A79" w14:textId="77777777" w:rsidR="008776BE" w:rsidRDefault="008776BE" w:rsidP="00092808">
      <w:pPr>
        <w:pStyle w:val="Heading2"/>
      </w:pPr>
      <w:r>
        <w:t>Fault</w:t>
      </w:r>
    </w:p>
    <w:p w14:paraId="0EB7D7BB" w14:textId="77777777" w:rsidR="008776BE" w:rsidRDefault="008776BE" w:rsidP="008776BE">
      <w:r>
        <w:t>The difference between the error and the intrinsic error of a meter.</w:t>
      </w:r>
    </w:p>
    <w:p w14:paraId="3DDBD742" w14:textId="77777777" w:rsidR="008776BE" w:rsidRDefault="008776BE" w:rsidP="00092808">
      <w:pPr>
        <w:pStyle w:val="Note"/>
      </w:pPr>
      <w:r>
        <w:t>Note 1:</w:t>
      </w:r>
      <w:r>
        <w:tab/>
        <w:t>Principally a fault is the result of an undesired change of data contained in, or flowing through, a meter.</w:t>
      </w:r>
    </w:p>
    <w:p w14:paraId="35DDCCE7" w14:textId="77777777" w:rsidR="008776BE" w:rsidRDefault="008776BE" w:rsidP="00092808">
      <w:pPr>
        <w:pStyle w:val="Note"/>
      </w:pPr>
      <w:r>
        <w:t>Note 2:</w:t>
      </w:r>
      <w:r>
        <w:tab/>
        <w:t>From the definition it follows that in this Document, a ‘fault’ is a numerical value which is expressed either in a unit of measurement or as a relative value, for instance as a percentage.</w:t>
      </w:r>
    </w:p>
    <w:p w14:paraId="190A902A" w14:textId="77777777" w:rsidR="008776BE" w:rsidRDefault="008776BE" w:rsidP="00092808">
      <w:pPr>
        <w:pStyle w:val="Heading2"/>
      </w:pPr>
      <w:r>
        <w:t>Indicator or Display</w:t>
      </w:r>
    </w:p>
    <w:p w14:paraId="4549515B" w14:textId="77777777" w:rsidR="008776BE" w:rsidRDefault="008776BE" w:rsidP="008776BE">
      <w:r>
        <w:t>The part of the meter that displays the measurement results either continuously or on demand.</w:t>
      </w:r>
    </w:p>
    <w:p w14:paraId="28C2EF72" w14:textId="77777777" w:rsidR="008776BE" w:rsidRDefault="008776BE" w:rsidP="00092808">
      <w:pPr>
        <w:pStyle w:val="Note"/>
      </w:pPr>
      <w:r>
        <w:t>Note:</w:t>
      </w:r>
      <w:r>
        <w:tab/>
        <w:t>An indicating device may also be used to display other relevant information.</w:t>
      </w:r>
    </w:p>
    <w:p w14:paraId="5968A4A8" w14:textId="77777777" w:rsidR="008776BE" w:rsidRDefault="008776BE" w:rsidP="00092808">
      <w:pPr>
        <w:pStyle w:val="Heading2"/>
      </w:pPr>
      <w:r>
        <w:t>Induction or Electromechanical Watt Hour Meter</w:t>
      </w:r>
    </w:p>
    <w:p w14:paraId="1E819C5F" w14:textId="77777777" w:rsidR="008776BE" w:rsidRDefault="008776BE" w:rsidP="008776BE">
      <w:r>
        <w:t>A watt hour meter in which currents in fixed coils react with currents induced in the conducting moving element, generally a disc or discs, which causes their movement proportional to the energy to be measured.</w:t>
      </w:r>
    </w:p>
    <w:p w14:paraId="6D58AC18" w14:textId="77777777" w:rsidR="008776BE" w:rsidRDefault="008776BE" w:rsidP="00092808">
      <w:pPr>
        <w:pStyle w:val="Heading2"/>
      </w:pPr>
      <w:r>
        <w:t>Influence Factor</w:t>
      </w:r>
    </w:p>
    <w:p w14:paraId="7DCF0EC6" w14:textId="77777777" w:rsidR="008776BE" w:rsidRDefault="008776BE" w:rsidP="008776BE">
      <w:r>
        <w:t>An influence quantity having a value within the rated operating conditions of the meter specified in this document.</w:t>
      </w:r>
    </w:p>
    <w:p w14:paraId="0B76BE17" w14:textId="77777777" w:rsidR="008776BE" w:rsidRDefault="008776BE" w:rsidP="00092808">
      <w:pPr>
        <w:pStyle w:val="Heading2"/>
      </w:pPr>
      <w:r>
        <w:lastRenderedPageBreak/>
        <w:t>Influence Quantity</w:t>
      </w:r>
    </w:p>
    <w:p w14:paraId="65672B14" w14:textId="77777777" w:rsidR="008776BE" w:rsidRDefault="008776BE" w:rsidP="008776BE">
      <w:r>
        <w:t>A quantity that is not the quantity to be measured but that affects the result of the measurement.</w:t>
      </w:r>
    </w:p>
    <w:p w14:paraId="41EC9D58" w14:textId="2E78B053" w:rsidR="008776BE" w:rsidRDefault="008776BE" w:rsidP="00092808">
      <w:pPr>
        <w:pStyle w:val="Heading2"/>
      </w:pPr>
      <w:r>
        <w:t>Insulating Enc</w:t>
      </w:r>
      <w:r w:rsidR="00CB4A2D">
        <w:t>ased Meter of Protective Class II</w:t>
      </w:r>
    </w:p>
    <w:p w14:paraId="2D5D1535" w14:textId="618E09EB" w:rsidR="008776BE" w:rsidRDefault="008776BE" w:rsidP="008776BE">
      <w:r>
        <w:t xml:space="preserve">Meter with a case of insulating material in which protection against electric shock does not rely on basic insulation only, but in which additional safety precautions (such as double insulation or reinforced insulation) are provided, there being no provision for protective earthing or reliance upon installation conditions. Insulating encased meters of protective class </w:t>
      </w:r>
      <w:r w:rsidR="00CB4A2D">
        <w:t>I</w:t>
      </w:r>
      <w:r>
        <w:t xml:space="preserve"> are excluded from this document as they are not used in Australia.</w:t>
      </w:r>
    </w:p>
    <w:p w14:paraId="67035CBB" w14:textId="77777777" w:rsidR="008776BE" w:rsidRDefault="008776BE" w:rsidP="00092808">
      <w:pPr>
        <w:pStyle w:val="Heading2"/>
      </w:pPr>
      <w:r>
        <w:t>Initial Intrinsic Error</w:t>
      </w:r>
    </w:p>
    <w:p w14:paraId="070960E8" w14:textId="77777777" w:rsidR="008776BE" w:rsidRDefault="008776BE" w:rsidP="008776BE">
      <w:r>
        <w:t>The intrinsic error of a meter as determined prior to performance tests and durability evaluations.</w:t>
      </w:r>
    </w:p>
    <w:p w14:paraId="0DD75823" w14:textId="77777777" w:rsidR="008776BE" w:rsidRDefault="008776BE" w:rsidP="00092808">
      <w:pPr>
        <w:pStyle w:val="Heading2"/>
      </w:pPr>
      <w:r>
        <w:t>Intrinsic Error</w:t>
      </w:r>
    </w:p>
    <w:p w14:paraId="195CDE81" w14:textId="77777777" w:rsidR="008776BE" w:rsidRDefault="008776BE" w:rsidP="008776BE">
      <w:r>
        <w:t>The error of indication of a meter determined under reference conditions.</w:t>
      </w:r>
    </w:p>
    <w:p w14:paraId="1AD0BFA6" w14:textId="77777777" w:rsidR="008776BE" w:rsidRDefault="008776BE" w:rsidP="00092808">
      <w:pPr>
        <w:pStyle w:val="Heading2"/>
      </w:pPr>
      <w:r>
        <w:t>Limit Range of Operation</w:t>
      </w:r>
    </w:p>
    <w:p w14:paraId="55551367" w14:textId="77777777" w:rsidR="008776BE" w:rsidRDefault="008776BE" w:rsidP="008776BE">
      <w:r>
        <w:t>The extreme conditions which an operating meter can withstand without damage and without degradation of its metrological characteristics when it is subsequently operated under its rated operating conditions.</w:t>
      </w:r>
    </w:p>
    <w:p w14:paraId="3BD636ED" w14:textId="77777777" w:rsidR="008776BE" w:rsidRDefault="008776BE" w:rsidP="00092808">
      <w:pPr>
        <w:pStyle w:val="Heading2"/>
      </w:pPr>
      <w:r>
        <w:t>Maximum Current (</w:t>
      </w:r>
      <w:r w:rsidRPr="008A52F7">
        <w:rPr>
          <w:rFonts w:ascii="Cambria Math" w:hAnsi="Cambria Math"/>
          <w:b w:val="0"/>
          <w:i/>
        </w:rPr>
        <w:t>I</w:t>
      </w:r>
      <w:r w:rsidRPr="008A52F7">
        <w:rPr>
          <w:rFonts w:ascii="Cambria Math" w:hAnsi="Cambria Math"/>
          <w:b w:val="0"/>
          <w:vertAlign w:val="subscript"/>
        </w:rPr>
        <w:t>max</w:t>
      </w:r>
      <w:r>
        <w:t>)</w:t>
      </w:r>
    </w:p>
    <w:p w14:paraId="2405FA24" w14:textId="77777777" w:rsidR="008776BE" w:rsidRDefault="008776BE" w:rsidP="008776BE">
      <w:r>
        <w:t>The highest value of current at which the meter purports to meet the accuracy requirements of this document.</w:t>
      </w:r>
    </w:p>
    <w:p w14:paraId="1459FAF7" w14:textId="77777777" w:rsidR="008776BE" w:rsidRDefault="008776BE" w:rsidP="00092808">
      <w:pPr>
        <w:pStyle w:val="Heading2"/>
      </w:pPr>
      <w:r>
        <w:t>Maximum Permissible Error</w:t>
      </w:r>
    </w:p>
    <w:p w14:paraId="5AFD9EEF" w14:textId="77777777" w:rsidR="008776BE" w:rsidRDefault="008776BE" w:rsidP="008776BE">
      <w:r>
        <w:t>The extreme value of the error, with respect to a known reference quantity value, permitted by specifications or regulations for a given measurement, measuring instrument, or measuring system.</w:t>
      </w:r>
    </w:p>
    <w:p w14:paraId="4EC7226C" w14:textId="77777777" w:rsidR="008776BE" w:rsidRDefault="008776BE" w:rsidP="00092808">
      <w:pPr>
        <w:pStyle w:val="Heading2"/>
      </w:pPr>
      <w:r>
        <w:t>Mean Temperature Coefficient</w:t>
      </w:r>
    </w:p>
    <w:p w14:paraId="48805CC7" w14:textId="77777777" w:rsidR="008776BE" w:rsidRDefault="008776BE" w:rsidP="008776BE">
      <w:r>
        <w:t>The ratio of the variation of the percentage error to the change of temperature which produces this variation.</w:t>
      </w:r>
    </w:p>
    <w:p w14:paraId="7F742C6F" w14:textId="77777777" w:rsidR="008776BE" w:rsidRDefault="008776BE" w:rsidP="00092808">
      <w:pPr>
        <w:pStyle w:val="Heading2"/>
      </w:pPr>
      <w:r>
        <w:t>Measuring Element</w:t>
      </w:r>
    </w:p>
    <w:p w14:paraId="26D99EFA" w14:textId="07D4C528" w:rsidR="008776BE" w:rsidRDefault="008776BE" w:rsidP="008776BE">
      <w:r>
        <w:t>The part of the meter which produces an output proportional to the energy measured.</w:t>
      </w:r>
    </w:p>
    <w:p w14:paraId="05B4B205" w14:textId="77777777" w:rsidR="008776BE" w:rsidRDefault="008776BE" w:rsidP="00092808">
      <w:pPr>
        <w:pStyle w:val="Heading2"/>
      </w:pPr>
      <w:r>
        <w:t>Meter Base</w:t>
      </w:r>
    </w:p>
    <w:p w14:paraId="001E0B17" w14:textId="77777777" w:rsidR="008776BE" w:rsidRDefault="008776BE" w:rsidP="008776BE">
      <w:r>
        <w:t>The back of the meter by which it is generally fixed and to which are attached the measuring element, the terminals or the terminal block, and the cover. For a flush-mounted meter, the meter base may include the sides of the meter case.</w:t>
      </w:r>
    </w:p>
    <w:p w14:paraId="1B9C1759" w14:textId="77777777" w:rsidR="008776BE" w:rsidRDefault="008776BE" w:rsidP="00092808">
      <w:pPr>
        <w:pStyle w:val="Heading2"/>
      </w:pPr>
      <w:r>
        <w:t>Meter Case</w:t>
      </w:r>
    </w:p>
    <w:p w14:paraId="4E386855" w14:textId="77777777" w:rsidR="008776BE" w:rsidRDefault="008776BE" w:rsidP="008776BE">
      <w:r>
        <w:t>This comprises the meter base and the meter cover(s).</w:t>
      </w:r>
    </w:p>
    <w:p w14:paraId="6507532D" w14:textId="77777777" w:rsidR="008776BE" w:rsidRDefault="008776BE" w:rsidP="00092808">
      <w:pPr>
        <w:pStyle w:val="Heading2"/>
      </w:pPr>
      <w:r>
        <w:t>Meter Constant</w:t>
      </w:r>
    </w:p>
    <w:p w14:paraId="650EDE6E" w14:textId="77777777" w:rsidR="008776BE" w:rsidRDefault="008776BE" w:rsidP="008776BE">
      <w:r>
        <w:t>The value expressing the relation between the energy registered by the meter and the corresponding value of the test output (for solid state meters) or the number of revolutions of the rotor (for electromechanical meters). For solid state meters, the constant should be in either pulses per kilowatt hour (imp/kWh) or watt hours per pulse (Wh/imp); for electromechanical meters, this value should be in either revolutions per kilowatt hour (rev/kWh) or as watt hours per revolution (Wh/rev).</w:t>
      </w:r>
    </w:p>
    <w:p w14:paraId="0678102F" w14:textId="77777777" w:rsidR="008776BE" w:rsidRDefault="008776BE" w:rsidP="00092808">
      <w:pPr>
        <w:pStyle w:val="Heading2"/>
      </w:pPr>
      <w:r>
        <w:t>Meter Cover</w:t>
      </w:r>
    </w:p>
    <w:p w14:paraId="471195F8" w14:textId="77777777" w:rsidR="008776BE" w:rsidRDefault="008776BE" w:rsidP="008776BE">
      <w:r>
        <w:t>The enclosure on the front of the meter, made either wholly of transparent material or of opaque material provided with window(s) through which the operation indicator (if fitted) and the display can be read.</w:t>
      </w:r>
    </w:p>
    <w:p w14:paraId="08B31C18" w14:textId="77777777" w:rsidR="008776BE" w:rsidRDefault="008776BE" w:rsidP="00092808">
      <w:pPr>
        <w:pStyle w:val="Heading2"/>
      </w:pPr>
      <w:r>
        <w:lastRenderedPageBreak/>
        <w:t>Meter Socket</w:t>
      </w:r>
    </w:p>
    <w:p w14:paraId="5A4985C1" w14:textId="77777777" w:rsidR="008776BE" w:rsidRDefault="008776BE" w:rsidP="008776BE">
      <w:r>
        <w:t>A base with jaws to accommodate terminals of a detachable meter and which has terminals for connection to the supply line. It may be a single-position socket for one meter or a multiple-position socket for two or more meters.</w:t>
      </w:r>
    </w:p>
    <w:p w14:paraId="519D306D" w14:textId="77777777" w:rsidR="008776BE" w:rsidRDefault="008776BE" w:rsidP="00092808">
      <w:pPr>
        <w:pStyle w:val="Heading2"/>
      </w:pPr>
      <w:r>
        <w:t>Percentage Error</w:t>
      </w:r>
    </w:p>
    <w:p w14:paraId="1657B458" w14:textId="77777777" w:rsidR="008776BE" w:rsidRDefault="008776BE" w:rsidP="008776BE">
      <w:r>
        <w:t>Percentage error is given by the following formula:</w:t>
      </w:r>
    </w:p>
    <w:p w14:paraId="3DAE5947" w14:textId="77777777" w:rsidR="008776BE" w:rsidRDefault="008776BE" w:rsidP="00092808">
      <w:pPr>
        <w:jc w:val="center"/>
      </w:pPr>
      <w:r>
        <w:t>percentage error = (energy registered by the meter – true energy) × 100 / true energy</w:t>
      </w:r>
    </w:p>
    <w:p w14:paraId="64A3D34E" w14:textId="77777777" w:rsidR="008776BE" w:rsidRDefault="008776BE" w:rsidP="00092808">
      <w:pPr>
        <w:pStyle w:val="Note"/>
      </w:pPr>
      <w:r>
        <w:t>Note:</w:t>
      </w:r>
      <w:r>
        <w:tab/>
        <w:t>Since the true value cannot be determined, it is approximated by a value with a stated uncertainty that can be traced to national standards.</w:t>
      </w:r>
    </w:p>
    <w:p w14:paraId="7BEE415B" w14:textId="77777777" w:rsidR="008776BE" w:rsidRDefault="008776BE" w:rsidP="00092808">
      <w:pPr>
        <w:pStyle w:val="Heading2"/>
      </w:pPr>
      <w:r>
        <w:t>Performance</w:t>
      </w:r>
    </w:p>
    <w:p w14:paraId="7E4E4115" w14:textId="77777777" w:rsidR="008776BE" w:rsidRDefault="008776BE" w:rsidP="008776BE">
      <w:r>
        <w:t>The ability of the meter to accomplish its intended functions.</w:t>
      </w:r>
    </w:p>
    <w:p w14:paraId="1B23BABE" w14:textId="77777777" w:rsidR="008776BE" w:rsidRDefault="008776BE" w:rsidP="00092808">
      <w:pPr>
        <w:pStyle w:val="Heading2"/>
      </w:pPr>
      <w:r>
        <w:t>Performance Test</w:t>
      </w:r>
    </w:p>
    <w:p w14:paraId="44BFC518" w14:textId="77777777" w:rsidR="008776BE" w:rsidRDefault="008776BE" w:rsidP="008776BE">
      <w:r>
        <w:t>A test or test program intended to verify whether the equipment under test (EUT) is able to accomplish its intended functions.</w:t>
      </w:r>
    </w:p>
    <w:p w14:paraId="0BF8FACB" w14:textId="77777777" w:rsidR="008776BE" w:rsidRDefault="008776BE" w:rsidP="00092808">
      <w:pPr>
        <w:pStyle w:val="Heading2"/>
      </w:pPr>
      <w:r>
        <w:t>Plug-in Meter</w:t>
      </w:r>
    </w:p>
    <w:p w14:paraId="69BA05C0" w14:textId="77777777" w:rsidR="008776BE" w:rsidRDefault="008776BE" w:rsidP="008776BE">
      <w:r>
        <w:t>A meter having a base fitted with contact blades and intended for insertion in a meter socket.</w:t>
      </w:r>
    </w:p>
    <w:p w14:paraId="207B85F2" w14:textId="77777777" w:rsidR="008776BE" w:rsidRDefault="008776BE" w:rsidP="00092808">
      <w:pPr>
        <w:pStyle w:val="Heading2"/>
      </w:pPr>
      <w:r>
        <w:t>Rated Current (</w:t>
      </w:r>
      <w:r w:rsidRPr="008A52F7">
        <w:rPr>
          <w:rFonts w:ascii="Cambria Math" w:hAnsi="Cambria Math"/>
          <w:b w:val="0"/>
          <w:i/>
        </w:rPr>
        <w:t>I</w:t>
      </w:r>
      <w:r w:rsidRPr="008A52F7">
        <w:rPr>
          <w:rFonts w:ascii="Cambria Math" w:hAnsi="Cambria Math"/>
          <w:b w:val="0"/>
          <w:vertAlign w:val="subscript"/>
        </w:rPr>
        <w:t>n</w:t>
      </w:r>
      <w:r>
        <w:t>)</w:t>
      </w:r>
    </w:p>
    <w:p w14:paraId="3DCE5DAB" w14:textId="77777777" w:rsidR="008776BE" w:rsidRDefault="008776BE" w:rsidP="008776BE">
      <w:r>
        <w:t>The value of the current in accordance with which the relevant performance of a transformer-operated meter is fixed.</w:t>
      </w:r>
    </w:p>
    <w:p w14:paraId="30EC5146" w14:textId="77777777" w:rsidR="008776BE" w:rsidRDefault="008776BE" w:rsidP="00092808">
      <w:pPr>
        <w:pStyle w:val="Heading2"/>
      </w:pPr>
      <w:r>
        <w:t>Rated Operating Conditions</w:t>
      </w:r>
    </w:p>
    <w:p w14:paraId="74F6B056" w14:textId="77777777" w:rsidR="008776BE" w:rsidRDefault="008776BE" w:rsidP="008776BE">
      <w:r>
        <w:t>An operating condition that must be fulfilled during measurement in order that a measuring instrument or measuring system performs as designed.</w:t>
      </w:r>
    </w:p>
    <w:p w14:paraId="36D7BF24" w14:textId="77777777" w:rsidR="008776BE" w:rsidRDefault="008776BE" w:rsidP="00092808">
      <w:pPr>
        <w:pStyle w:val="Heading2"/>
      </w:pPr>
      <w:r>
        <w:t>Reference Conditions</w:t>
      </w:r>
    </w:p>
    <w:p w14:paraId="0DCC9123" w14:textId="77777777" w:rsidR="008776BE" w:rsidRDefault="008776BE" w:rsidP="008776BE">
      <w:r>
        <w:t>An operating condition prescribed for evaluating the performance of a measuring instrument or measuring system or for comparison of measurement results.</w:t>
      </w:r>
    </w:p>
    <w:p w14:paraId="7BE8A302" w14:textId="77777777" w:rsidR="008776BE" w:rsidRDefault="008776BE" w:rsidP="00092808">
      <w:pPr>
        <w:pStyle w:val="Heading2"/>
      </w:pPr>
      <w:r>
        <w:t>Reference Frequency (</w:t>
      </w:r>
      <w:r w:rsidRPr="008A52F7">
        <w:rPr>
          <w:rFonts w:ascii="Cambria Math" w:hAnsi="Cambria Math"/>
          <w:b w:val="0"/>
          <w:i/>
        </w:rPr>
        <w:t>f</w:t>
      </w:r>
      <w:r w:rsidRPr="008A52F7">
        <w:rPr>
          <w:rFonts w:ascii="Cambria Math" w:hAnsi="Cambria Math"/>
          <w:b w:val="0"/>
          <w:vertAlign w:val="subscript"/>
        </w:rPr>
        <w:t>nom</w:t>
      </w:r>
      <w:r>
        <w:t>)</w:t>
      </w:r>
    </w:p>
    <w:p w14:paraId="26C285E1" w14:textId="77777777" w:rsidR="008776BE" w:rsidRDefault="008776BE" w:rsidP="008776BE">
      <w:r>
        <w:t>The value of the frequency in accordance with which the relevant performance of the meter is fixed.</w:t>
      </w:r>
    </w:p>
    <w:p w14:paraId="0F96CFD9" w14:textId="77777777" w:rsidR="008776BE" w:rsidRDefault="008776BE" w:rsidP="00092808">
      <w:pPr>
        <w:pStyle w:val="Heading2"/>
      </w:pPr>
      <w:r>
        <w:t>Reference Temperature</w:t>
      </w:r>
    </w:p>
    <w:p w14:paraId="27B079C5" w14:textId="77777777" w:rsidR="008776BE" w:rsidRDefault="008776BE" w:rsidP="008776BE">
      <w:r>
        <w:t>The ambient temperature specified for reference conditions.</w:t>
      </w:r>
    </w:p>
    <w:p w14:paraId="383C4E69" w14:textId="77777777" w:rsidR="008776BE" w:rsidRDefault="008776BE" w:rsidP="00092808">
      <w:pPr>
        <w:pStyle w:val="Heading2"/>
      </w:pPr>
      <w:r>
        <w:t>Reference Voltage (</w:t>
      </w:r>
      <w:r w:rsidRPr="008A52F7">
        <w:rPr>
          <w:rFonts w:ascii="Cambria Math" w:hAnsi="Cambria Math"/>
          <w:b w:val="0"/>
          <w:i/>
        </w:rPr>
        <w:t>U</w:t>
      </w:r>
      <w:r w:rsidRPr="008A52F7">
        <w:rPr>
          <w:rFonts w:ascii="Cambria Math" w:hAnsi="Cambria Math"/>
          <w:b w:val="0"/>
          <w:vertAlign w:val="subscript"/>
        </w:rPr>
        <w:t>nom</w:t>
      </w:r>
      <w:r>
        <w:t>)</w:t>
      </w:r>
    </w:p>
    <w:p w14:paraId="7C98F5CC" w14:textId="77777777" w:rsidR="008776BE" w:rsidRDefault="008776BE" w:rsidP="008776BE">
      <w:r>
        <w:t>The value of the voltage in accordance with which the relevant performance of the meter is fixed.</w:t>
      </w:r>
    </w:p>
    <w:p w14:paraId="131A8348" w14:textId="77777777" w:rsidR="008776BE" w:rsidRDefault="008776BE" w:rsidP="00092808">
      <w:pPr>
        <w:pStyle w:val="Heading2"/>
      </w:pPr>
      <w:r>
        <w:t>Register of a Meter</w:t>
      </w:r>
    </w:p>
    <w:p w14:paraId="7B2B117B" w14:textId="77777777" w:rsidR="008776BE" w:rsidRDefault="008776BE" w:rsidP="008776BE">
      <w:r>
        <w:t>That part of the meter which enables the measured value to be determined.</w:t>
      </w:r>
    </w:p>
    <w:p w14:paraId="3E4AA1F5" w14:textId="77777777" w:rsidR="008776BE" w:rsidRDefault="008776BE" w:rsidP="00092808">
      <w:pPr>
        <w:pStyle w:val="Heading2"/>
      </w:pPr>
      <w:r>
        <w:t>Reinforced Insulation</w:t>
      </w:r>
    </w:p>
    <w:p w14:paraId="5033FAA9" w14:textId="77777777" w:rsidR="008776BE" w:rsidRDefault="008776BE" w:rsidP="008776BE">
      <w:r>
        <w:t>Single insulation system applied to live parts, which provides a degree of protection against electric shock equivalent to double insulation.</w:t>
      </w:r>
    </w:p>
    <w:p w14:paraId="75240A3F" w14:textId="77777777" w:rsidR="008776BE" w:rsidRDefault="008776BE" w:rsidP="00092808">
      <w:pPr>
        <w:pStyle w:val="Note"/>
      </w:pPr>
      <w:r>
        <w:t>Note:</w:t>
      </w:r>
      <w:r>
        <w:tab/>
        <w:t>The term ‘insulation system’ does not imply that the insulation should be one homogeneous piece. It may comprise several layers which cannot be tested singly as supplementary or basic insulation.</w:t>
      </w:r>
    </w:p>
    <w:p w14:paraId="02A9FF76" w14:textId="77777777" w:rsidR="008776BE" w:rsidRDefault="008776BE" w:rsidP="00092808">
      <w:pPr>
        <w:pStyle w:val="Heading2"/>
      </w:pPr>
      <w:r>
        <w:lastRenderedPageBreak/>
        <w:t>Significant Fault</w:t>
      </w:r>
    </w:p>
    <w:p w14:paraId="4EBA0CFC" w14:textId="77777777" w:rsidR="008776BE" w:rsidRDefault="008776BE" w:rsidP="008776BE">
      <w:r>
        <w:t>A fault greater than the permissible limits of variation specified in this document.</w:t>
      </w:r>
    </w:p>
    <w:p w14:paraId="52910573" w14:textId="77777777" w:rsidR="008776BE" w:rsidRDefault="008776BE" w:rsidP="008776BE">
      <w:r>
        <w:t>The following faults are not considered significant even when they exceed the specified permissible limits of variation:</w:t>
      </w:r>
    </w:p>
    <w:p w14:paraId="208AFED2" w14:textId="77777777" w:rsidR="008776BE" w:rsidRDefault="008776BE" w:rsidP="00F74CE3">
      <w:pPr>
        <w:pStyle w:val="ListParagraph"/>
        <w:numPr>
          <w:ilvl w:val="0"/>
          <w:numId w:val="5"/>
        </w:numPr>
      </w:pPr>
      <w:r>
        <w:t>faults arising from simultaneous and mutually independent causes originating in the meter itself or in its checking facilities;</w:t>
      </w:r>
    </w:p>
    <w:p w14:paraId="0F5E834D" w14:textId="77777777" w:rsidR="008776BE" w:rsidRDefault="008776BE" w:rsidP="00F74CE3">
      <w:pPr>
        <w:pStyle w:val="ListParagraph"/>
        <w:numPr>
          <w:ilvl w:val="0"/>
          <w:numId w:val="5"/>
        </w:numPr>
      </w:pPr>
      <w:r>
        <w:t>faults implying the impossibility of performing any measurement;</w:t>
      </w:r>
    </w:p>
    <w:p w14:paraId="37DFDF9D" w14:textId="77777777" w:rsidR="008776BE" w:rsidRDefault="008776BE" w:rsidP="00F74CE3">
      <w:pPr>
        <w:pStyle w:val="ListParagraph"/>
        <w:numPr>
          <w:ilvl w:val="0"/>
          <w:numId w:val="5"/>
        </w:numPr>
      </w:pPr>
      <w:r>
        <w:t>transitory faults being momentary variations in the indication, which cannot be interpreted, memorised or transmitted as a measurement result;</w:t>
      </w:r>
    </w:p>
    <w:p w14:paraId="22925E2F" w14:textId="77777777" w:rsidR="008776BE" w:rsidRDefault="008776BE" w:rsidP="00F74CE3">
      <w:pPr>
        <w:pStyle w:val="ListParagraph"/>
        <w:numPr>
          <w:ilvl w:val="0"/>
          <w:numId w:val="5"/>
        </w:numPr>
      </w:pPr>
      <w:r>
        <w:t>faults that are detected and acted upon by means of the checking facility of the meter.</w:t>
      </w:r>
    </w:p>
    <w:p w14:paraId="6433E3E0" w14:textId="77777777" w:rsidR="008776BE" w:rsidRDefault="008776BE" w:rsidP="0041789E">
      <w:pPr>
        <w:pStyle w:val="Note"/>
      </w:pPr>
      <w:r>
        <w:t>Note:</w:t>
      </w:r>
      <w:r>
        <w:tab/>
        <w:t>Faults in the non-metrological components of the meter, such as display and communications, are included in the above definition if they result in inaccurate metrological information, e.g. through causing that metrological information to become inaccessible.</w:t>
      </w:r>
    </w:p>
    <w:p w14:paraId="35B9E80F" w14:textId="77777777" w:rsidR="008776BE" w:rsidRDefault="008776BE" w:rsidP="0041789E">
      <w:pPr>
        <w:pStyle w:val="Heading2"/>
      </w:pPr>
      <w:r>
        <w:t>Specified Operating Range</w:t>
      </w:r>
    </w:p>
    <w:p w14:paraId="38085F91" w14:textId="77777777" w:rsidR="008776BE" w:rsidRDefault="008776BE" w:rsidP="008776BE">
      <w:r>
        <w:t>The range of values of a single influence quantity which forms a part of the rated operating conditions.</w:t>
      </w:r>
    </w:p>
    <w:p w14:paraId="34470888" w14:textId="77777777" w:rsidR="008776BE" w:rsidRDefault="008776BE" w:rsidP="0041789E">
      <w:pPr>
        <w:pStyle w:val="Heading2"/>
      </w:pPr>
      <w:r>
        <w:t>Static or Solid State or Electronic Watt Hour Meter</w:t>
      </w:r>
    </w:p>
    <w:p w14:paraId="241F0E7E" w14:textId="77777777" w:rsidR="008776BE" w:rsidRDefault="008776BE" w:rsidP="008776BE">
      <w:r>
        <w:t>A watt hour meter in which current and voltage act on solid state (electronic) elements to produce an output proportional to the energy to be measured.</w:t>
      </w:r>
    </w:p>
    <w:p w14:paraId="567BBD61" w14:textId="77777777" w:rsidR="008776BE" w:rsidRDefault="008776BE" w:rsidP="0041789E">
      <w:pPr>
        <w:pStyle w:val="Heading2"/>
      </w:pPr>
      <w:r>
        <w:t>Storage and Transport Conditions</w:t>
      </w:r>
    </w:p>
    <w:p w14:paraId="641D28A0" w14:textId="77777777" w:rsidR="008776BE" w:rsidRDefault="008776BE" w:rsidP="008776BE">
      <w:r>
        <w:t>The extreme conditions which a non-operating meter can withstand without damage and without degradation of its metrological characteristics when it is subsequently operated under its rated operating conditions.</w:t>
      </w:r>
    </w:p>
    <w:p w14:paraId="4DAC5BAA" w14:textId="77777777" w:rsidR="008776BE" w:rsidRDefault="008776BE" w:rsidP="0041789E">
      <w:pPr>
        <w:pStyle w:val="Heading2"/>
      </w:pPr>
      <w:r>
        <w:t>Supplementary Insulation</w:t>
      </w:r>
    </w:p>
    <w:p w14:paraId="684564EB" w14:textId="77777777" w:rsidR="008776BE" w:rsidRDefault="008776BE" w:rsidP="008776BE">
      <w:r>
        <w:t>Independent insulation applied in addition to basic insulation, in order to provide protection against electric shock in the event of a failure of the basic insulation.</w:t>
      </w:r>
    </w:p>
    <w:p w14:paraId="493D753F" w14:textId="77777777" w:rsidR="008776BE" w:rsidRDefault="008776BE" w:rsidP="0041789E">
      <w:pPr>
        <w:pStyle w:val="Heading2"/>
      </w:pPr>
      <w:r>
        <w:t>Terminal Block</w:t>
      </w:r>
    </w:p>
    <w:p w14:paraId="55C7BE9D" w14:textId="77777777" w:rsidR="008776BE" w:rsidRDefault="008776BE" w:rsidP="008776BE">
      <w:r>
        <w:t>A support made of insulating material on which all or some of the terminals of the meter are grouped together.</w:t>
      </w:r>
    </w:p>
    <w:p w14:paraId="6AE866DF" w14:textId="77777777" w:rsidR="008776BE" w:rsidRDefault="008776BE" w:rsidP="0041789E">
      <w:pPr>
        <w:pStyle w:val="Heading2"/>
      </w:pPr>
      <w:r>
        <w:t>Terminal Cover</w:t>
      </w:r>
    </w:p>
    <w:p w14:paraId="70BF710B" w14:textId="77777777" w:rsidR="008776BE" w:rsidRDefault="008776BE" w:rsidP="008776BE">
      <w:r>
        <w:t>A cover that covers the meter terminals and, generally, the ends of the external wires or cables connected to the terminals.</w:t>
      </w:r>
    </w:p>
    <w:p w14:paraId="7B60B2E5" w14:textId="77777777" w:rsidR="008776BE" w:rsidRDefault="008776BE" w:rsidP="0041789E">
      <w:pPr>
        <w:pStyle w:val="Heading2"/>
      </w:pPr>
      <w:r>
        <w:t>Transformer-operated Meter</w:t>
      </w:r>
    </w:p>
    <w:p w14:paraId="47BBFDCB" w14:textId="77777777" w:rsidR="008776BE" w:rsidRDefault="008776BE" w:rsidP="008776BE">
      <w:r>
        <w:t>A meter intended for use with one or more external measurement transformers.</w:t>
      </w:r>
    </w:p>
    <w:p w14:paraId="12041F4E" w14:textId="77777777" w:rsidR="008776BE" w:rsidRDefault="008776BE" w:rsidP="0041789E">
      <w:pPr>
        <w:pStyle w:val="Heading2"/>
      </w:pPr>
      <w:r>
        <w:t>Voltage Circuit</w:t>
      </w:r>
    </w:p>
    <w:p w14:paraId="43319C8C" w14:textId="77777777" w:rsidR="008776BE" w:rsidRDefault="008776BE" w:rsidP="008776BE">
      <w:r>
        <w:t>The internal connections of the meter, part of the measuring element and, in the case of static meters, part of the power supply, supplied with the voltage of the circuit to which the meter is connected.</w:t>
      </w:r>
    </w:p>
    <w:p w14:paraId="614F7CF3" w14:textId="77777777" w:rsidR="008776BE" w:rsidRDefault="008776BE" w:rsidP="0041789E">
      <w:pPr>
        <w:pStyle w:val="Heading2"/>
      </w:pPr>
      <w:r>
        <w:t>Watt Hour Meter (Active-Energy Meter)</w:t>
      </w:r>
    </w:p>
    <w:p w14:paraId="41796B2A" w14:textId="77777777" w:rsidR="00A57EE3" w:rsidRDefault="008776BE" w:rsidP="008776BE">
      <w:r>
        <w:t>An instrument intended to measure active energy by integrating active power with respect to time.</w:t>
      </w:r>
      <w:r w:rsidR="00A57EE3">
        <w:br w:type="page"/>
      </w:r>
    </w:p>
    <w:p w14:paraId="2BE7ECF6" w14:textId="77777777" w:rsidR="000B4D39" w:rsidRDefault="0041789E" w:rsidP="0041789E">
      <w:pPr>
        <w:pStyle w:val="Heading1"/>
      </w:pPr>
      <w:bookmarkStart w:id="9" w:name="_Toc85486016"/>
      <w:r>
        <w:t>Units of Measurement</w:t>
      </w:r>
      <w:bookmarkEnd w:id="9"/>
    </w:p>
    <w:p w14:paraId="7B7A5562" w14:textId="77777777" w:rsidR="0041789E" w:rsidRPr="004D23A4" w:rsidRDefault="0041789E" w:rsidP="0041789E">
      <w:pPr>
        <w:pStyle w:val="BodyText"/>
      </w:pPr>
      <w:r w:rsidRPr="004D23A4">
        <w:t>The following units of measurement and their symbols shall be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20" w:firstRow="1" w:lastRow="0" w:firstColumn="0" w:lastColumn="0" w:noHBand="0" w:noVBand="1"/>
      </w:tblPr>
      <w:tblGrid>
        <w:gridCol w:w="1569"/>
        <w:gridCol w:w="1975"/>
      </w:tblGrid>
      <w:tr w:rsidR="0041789E" w14:paraId="3C198201" w14:textId="77777777" w:rsidTr="00B43AE5">
        <w:trPr>
          <w:jc w:val="center"/>
        </w:trPr>
        <w:tc>
          <w:tcPr>
            <w:tcW w:w="3544" w:type="dxa"/>
            <w:gridSpan w:val="2"/>
            <w:shd w:val="clear" w:color="auto" w:fill="F0DCDC"/>
          </w:tcPr>
          <w:p w14:paraId="1F2A7D66" w14:textId="77777777" w:rsidR="0041789E" w:rsidRDefault="0041789E" w:rsidP="007B78B3">
            <w:pPr>
              <w:pStyle w:val="TableText"/>
            </w:pPr>
            <w:r>
              <w:t>Active energy</w:t>
            </w:r>
          </w:p>
        </w:tc>
      </w:tr>
      <w:tr w:rsidR="0041789E" w14:paraId="4E5D844F" w14:textId="77777777" w:rsidTr="00B43AE5">
        <w:trPr>
          <w:jc w:val="center"/>
        </w:trPr>
        <w:tc>
          <w:tcPr>
            <w:tcW w:w="0" w:type="auto"/>
            <w:shd w:val="clear" w:color="auto" w:fill="F0DCDC"/>
          </w:tcPr>
          <w:p w14:paraId="399D32EF" w14:textId="77777777" w:rsidR="0041789E" w:rsidRDefault="0041789E" w:rsidP="007B78B3">
            <w:pPr>
              <w:pStyle w:val="TableText"/>
            </w:pPr>
            <w:r>
              <w:t>Unit</w:t>
            </w:r>
          </w:p>
        </w:tc>
        <w:tc>
          <w:tcPr>
            <w:tcW w:w="1938" w:type="dxa"/>
            <w:shd w:val="clear" w:color="auto" w:fill="F0DCDC"/>
          </w:tcPr>
          <w:p w14:paraId="5EB7DB1B" w14:textId="77777777" w:rsidR="0041789E" w:rsidRDefault="0041789E" w:rsidP="007B78B3">
            <w:pPr>
              <w:pStyle w:val="TableText"/>
            </w:pPr>
            <w:r>
              <w:t>Symbol</w:t>
            </w:r>
          </w:p>
        </w:tc>
      </w:tr>
      <w:tr w:rsidR="0041789E" w14:paraId="7F41AD5E" w14:textId="77777777" w:rsidTr="00B21092">
        <w:trPr>
          <w:jc w:val="center"/>
        </w:trPr>
        <w:tc>
          <w:tcPr>
            <w:tcW w:w="0" w:type="auto"/>
          </w:tcPr>
          <w:p w14:paraId="74A99AF2" w14:textId="77777777" w:rsidR="0041789E" w:rsidRDefault="0041789E" w:rsidP="007B78B3">
            <w:pPr>
              <w:pStyle w:val="TableText"/>
            </w:pPr>
            <w:r>
              <w:t>watt hour</w:t>
            </w:r>
          </w:p>
        </w:tc>
        <w:tc>
          <w:tcPr>
            <w:tcW w:w="1938" w:type="dxa"/>
          </w:tcPr>
          <w:p w14:paraId="29AA245C" w14:textId="77777777" w:rsidR="0041789E" w:rsidRDefault="0041789E" w:rsidP="007B78B3">
            <w:pPr>
              <w:pStyle w:val="TableText"/>
            </w:pPr>
            <w:r>
              <w:t>Wh</w:t>
            </w:r>
          </w:p>
        </w:tc>
      </w:tr>
      <w:tr w:rsidR="0041789E" w14:paraId="26878CE3" w14:textId="77777777" w:rsidTr="00B21092">
        <w:trPr>
          <w:jc w:val="center"/>
        </w:trPr>
        <w:tc>
          <w:tcPr>
            <w:tcW w:w="0" w:type="auto"/>
          </w:tcPr>
          <w:p w14:paraId="15A4E816" w14:textId="77777777" w:rsidR="0041789E" w:rsidRDefault="0041789E" w:rsidP="007B78B3">
            <w:pPr>
              <w:pStyle w:val="TableText"/>
            </w:pPr>
            <w:r>
              <w:t>kilowatt hour</w:t>
            </w:r>
          </w:p>
        </w:tc>
        <w:tc>
          <w:tcPr>
            <w:tcW w:w="1938" w:type="dxa"/>
          </w:tcPr>
          <w:p w14:paraId="72684E0F" w14:textId="77777777" w:rsidR="0041789E" w:rsidRDefault="0041789E" w:rsidP="007B78B3">
            <w:pPr>
              <w:pStyle w:val="TableText"/>
            </w:pPr>
            <w:r>
              <w:t>kWh</w:t>
            </w:r>
          </w:p>
        </w:tc>
      </w:tr>
      <w:tr w:rsidR="0041789E" w14:paraId="0B0ECBEC" w14:textId="77777777" w:rsidTr="00B21092">
        <w:trPr>
          <w:jc w:val="center"/>
        </w:trPr>
        <w:tc>
          <w:tcPr>
            <w:tcW w:w="0" w:type="auto"/>
          </w:tcPr>
          <w:p w14:paraId="3934A89F" w14:textId="77777777" w:rsidR="0041789E" w:rsidRDefault="0041789E" w:rsidP="007B78B3">
            <w:pPr>
              <w:pStyle w:val="TableText"/>
            </w:pPr>
            <w:r>
              <w:t>megawatt hour</w:t>
            </w:r>
          </w:p>
        </w:tc>
        <w:tc>
          <w:tcPr>
            <w:tcW w:w="1938" w:type="dxa"/>
          </w:tcPr>
          <w:p w14:paraId="3435B288" w14:textId="77777777" w:rsidR="0041789E" w:rsidRDefault="0041789E" w:rsidP="007B78B3">
            <w:pPr>
              <w:pStyle w:val="TableText"/>
            </w:pPr>
            <w:r>
              <w:t>MWh</w:t>
            </w:r>
          </w:p>
        </w:tc>
      </w:tr>
      <w:tr w:rsidR="0041789E" w14:paraId="3CBC094C" w14:textId="77777777" w:rsidTr="00B21092">
        <w:trPr>
          <w:jc w:val="center"/>
        </w:trPr>
        <w:tc>
          <w:tcPr>
            <w:tcW w:w="0" w:type="auto"/>
          </w:tcPr>
          <w:p w14:paraId="51B1DF45" w14:textId="77777777" w:rsidR="0041789E" w:rsidRDefault="0041789E" w:rsidP="007B78B3">
            <w:pPr>
              <w:pStyle w:val="TableText"/>
            </w:pPr>
            <w:r>
              <w:t>gigawatt hour</w:t>
            </w:r>
          </w:p>
        </w:tc>
        <w:tc>
          <w:tcPr>
            <w:tcW w:w="1938" w:type="dxa"/>
          </w:tcPr>
          <w:p w14:paraId="2FCF3F4C" w14:textId="77777777" w:rsidR="0041789E" w:rsidRDefault="0041789E" w:rsidP="007B78B3">
            <w:pPr>
              <w:pStyle w:val="TableText"/>
            </w:pPr>
            <w:r>
              <w:t>GWh</w:t>
            </w:r>
          </w:p>
        </w:tc>
      </w:tr>
    </w:tbl>
    <w:p w14:paraId="14BD756A" w14:textId="77777777" w:rsidR="003D1219" w:rsidRDefault="0026206A" w:rsidP="0026206A">
      <w:pPr>
        <w:pStyle w:val="Heading1"/>
      </w:pPr>
      <w:bookmarkStart w:id="10" w:name="_Toc85486017"/>
      <w:r w:rsidRPr="0026206A">
        <w:t xml:space="preserve">Maximum Permissible Errors, Classification </w:t>
      </w:r>
      <w:r>
        <w:t>a</w:t>
      </w:r>
      <w:r w:rsidRPr="0026206A">
        <w:t>nd Minimum Measured Qu</w:t>
      </w:r>
      <w:r>
        <w:t>antities</w:t>
      </w:r>
      <w:bookmarkEnd w:id="10"/>
    </w:p>
    <w:p w14:paraId="434E1DF4" w14:textId="77777777" w:rsidR="0026206A" w:rsidRDefault="0026206A" w:rsidP="0026206A">
      <w:pPr>
        <w:pStyle w:val="Heading2"/>
      </w:pPr>
      <w:r>
        <w:t>Minimum Measured Quantity</w:t>
      </w:r>
    </w:p>
    <w:p w14:paraId="26DFE731" w14:textId="77777777" w:rsidR="0026206A" w:rsidRDefault="0026206A" w:rsidP="0026206A">
      <w:r>
        <w:t>The minimum measured quantity of a meter is the smallest quantity of energy for which the meter measurement complies with the performance requirements of this document.</w:t>
      </w:r>
    </w:p>
    <w:p w14:paraId="76B51C90" w14:textId="77777777" w:rsidR="0026206A" w:rsidRDefault="0026206A" w:rsidP="0026206A">
      <w:r>
        <w:t>The minimum measured quantity of a meter shall have the form 1×10</w:t>
      </w:r>
      <w:r w:rsidRPr="0026206A">
        <w:rPr>
          <w:vertAlign w:val="superscript"/>
        </w:rPr>
        <w:t>n</w:t>
      </w:r>
      <w:r>
        <w:t xml:space="preserve"> authorised units of energy, where n is an integer.</w:t>
      </w:r>
    </w:p>
    <w:p w14:paraId="1D15B162" w14:textId="77777777" w:rsidR="0026206A" w:rsidRDefault="0026206A" w:rsidP="0026206A">
      <w:r>
        <w:t>The smallest interval marked on the indicator shall not be less than the minimum measured quantity.</w:t>
      </w:r>
    </w:p>
    <w:p w14:paraId="6442B3D2" w14:textId="77777777" w:rsidR="0026206A" w:rsidRDefault="0026206A" w:rsidP="0026206A">
      <w:r>
        <w:t>The minimum measured quantity shall satisfy the conditions of use of the meter. It is recommended that the minimum measured quantity of a meter shall be one order of magnitude less than the smallest energy trading quantity required for its application.</w:t>
      </w:r>
    </w:p>
    <w:p w14:paraId="6DF97A78" w14:textId="77777777" w:rsidR="0026206A" w:rsidRDefault="0026206A" w:rsidP="0026206A">
      <w:pPr>
        <w:pStyle w:val="Heading2"/>
      </w:pPr>
      <w:r>
        <w:t>Maximum Permissible Variation between Indicators</w:t>
      </w:r>
    </w:p>
    <w:p w14:paraId="16DC3F1D" w14:textId="77777777" w:rsidR="0026206A" w:rsidRDefault="0026206A" w:rsidP="0026206A">
      <w:r>
        <w:t>Where a meter has more than one indicator there shall be no indicated difference between the indications of the same quantity on different indicators.</w:t>
      </w:r>
    </w:p>
    <w:p w14:paraId="1A6DF635" w14:textId="77777777" w:rsidR="0026206A" w:rsidRDefault="0026206A" w:rsidP="0026206A">
      <w:pPr>
        <w:pStyle w:val="Heading2"/>
      </w:pPr>
      <w:r>
        <w:t>Calculated Quantities</w:t>
      </w:r>
    </w:p>
    <w:p w14:paraId="078B0B5A" w14:textId="77777777" w:rsidR="0026206A" w:rsidRDefault="0026206A" w:rsidP="0026206A">
      <w:r>
        <w:t>For all calculated quantities included in the transaction, the indicated quantity shall equal the quantity obtained by using the indicated values included in the calculation together with any rounding applied. If the indicated calculated quantity is rounded, it shall be rounded to ±0.5 of the minimum measured quantity.</w:t>
      </w:r>
    </w:p>
    <w:p w14:paraId="7C3F22BB" w14:textId="77777777" w:rsidR="0026206A" w:rsidRDefault="0026206A" w:rsidP="0026206A">
      <w:r>
        <w:t>Calculated quantities include energy values stored in meter registers such as time of use, import and export and phase registers.</w:t>
      </w:r>
    </w:p>
    <w:p w14:paraId="1D245220" w14:textId="77777777" w:rsidR="0026206A" w:rsidRDefault="0026206A" w:rsidP="0026206A">
      <w:pPr>
        <w:pStyle w:val="Heading2"/>
      </w:pPr>
      <w:r>
        <w:t>Rules for the Determination of Errors</w:t>
      </w:r>
    </w:p>
    <w:p w14:paraId="156F6893" w14:textId="77777777" w:rsidR="0026206A" w:rsidRDefault="0026206A" w:rsidP="0026206A">
      <w:r>
        <w:t>The rules for the determination of errors are as follows:</w:t>
      </w:r>
    </w:p>
    <w:p w14:paraId="6E0B85CC" w14:textId="72130FB6" w:rsidR="0026206A" w:rsidRDefault="0026206A" w:rsidP="00F74CE3">
      <w:pPr>
        <w:pStyle w:val="ListParagraph"/>
        <w:numPr>
          <w:ilvl w:val="0"/>
          <w:numId w:val="6"/>
        </w:numPr>
      </w:pPr>
      <w:r>
        <w:t xml:space="preserve">the value of reference quantities or measurement standards used for the determination of maximum permissible errors shall have an expanded uncertainty (coverage factor two) no greater than one-third of the maximum permissible error specified </w:t>
      </w:r>
      <w:r w:rsidR="002441D4">
        <w:t xml:space="preserve">for the meter under test </w:t>
      </w:r>
      <w:r>
        <w:t>(see ISO Guide to the Expression of Uncertainty in Measurement [6]);</w:t>
      </w:r>
    </w:p>
    <w:p w14:paraId="4B18DE5E" w14:textId="77777777" w:rsidR="0026206A" w:rsidRDefault="0026206A" w:rsidP="00F74CE3">
      <w:pPr>
        <w:pStyle w:val="ListParagraph"/>
        <w:numPr>
          <w:ilvl w:val="0"/>
          <w:numId w:val="6"/>
        </w:numPr>
      </w:pPr>
      <w:r>
        <w:t>the maximum permissible errors apply to all meters irrespective of their principles of operation;</w:t>
      </w:r>
    </w:p>
    <w:p w14:paraId="14178E59" w14:textId="77777777" w:rsidR="0026206A" w:rsidRDefault="0026206A" w:rsidP="00F74CE3">
      <w:pPr>
        <w:pStyle w:val="ListParagraph"/>
        <w:numPr>
          <w:ilvl w:val="0"/>
          <w:numId w:val="6"/>
        </w:numPr>
      </w:pPr>
      <w:r>
        <w:t>the maximum permissible error specifications are applicable to all indications included in the transaction as appropriate.</w:t>
      </w:r>
    </w:p>
    <w:p w14:paraId="66BCA9C5" w14:textId="77777777" w:rsidR="0026206A" w:rsidRDefault="0026206A" w:rsidP="0026206A">
      <w:pPr>
        <w:pStyle w:val="Heading2"/>
      </w:pPr>
      <w:r>
        <w:t>Reference Conditions for Determination of Errors</w:t>
      </w:r>
    </w:p>
    <w:p w14:paraId="6EC9E8AB" w14:textId="77777777" w:rsidR="0026206A" w:rsidRDefault="0026206A" w:rsidP="0026206A">
      <w:r>
        <w:t xml:space="preserve">The reference conditions which should be used when determining all errors, including the initial intrinsic error, are summarised in </w:t>
      </w:r>
      <w:r w:rsidRPr="00A36E5E">
        <w:t>Table A.1.</w:t>
      </w:r>
    </w:p>
    <w:p w14:paraId="52EFDCDC" w14:textId="77777777" w:rsidR="0026206A" w:rsidRDefault="0026206A" w:rsidP="00B17511">
      <w:pPr>
        <w:pStyle w:val="Heading2"/>
      </w:pPr>
      <w:r>
        <w:t>Meter Constant</w:t>
      </w:r>
    </w:p>
    <w:p w14:paraId="56F8BDC3" w14:textId="77777777" w:rsidR="0026206A" w:rsidRDefault="0026206A" w:rsidP="0026206A">
      <w:r>
        <w:t>There shall be no error in the relationship between the test output and the indication on the display when the meter constant marked on the nameplate is applied.</w:t>
      </w:r>
    </w:p>
    <w:p w14:paraId="1F94B384" w14:textId="77777777" w:rsidR="0026206A" w:rsidRDefault="0026206A" w:rsidP="00B17511">
      <w:pPr>
        <w:pStyle w:val="Heading2"/>
      </w:pPr>
      <w:r>
        <w:t>Class Indices</w:t>
      </w:r>
    </w:p>
    <w:p w14:paraId="26B781FB" w14:textId="77777777" w:rsidR="00F31C05" w:rsidRDefault="0026206A" w:rsidP="0026206A">
      <w:r>
        <w:t xml:space="preserve">A meter shall be classified as one of 0.2, 0.5, 1 or 1.5, depending on its design and required limits of maximum permissible error, in accordance </w:t>
      </w:r>
      <w:r w:rsidRPr="00A36E5E">
        <w:t>with Table 1 and Table 2.</w:t>
      </w:r>
    </w:p>
    <w:p w14:paraId="69024868" w14:textId="77777777" w:rsidR="001B27A0" w:rsidRDefault="001B27A0" w:rsidP="001B27A0">
      <w:pPr>
        <w:pStyle w:val="Caption"/>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1</w:t>
      </w:r>
      <w:r w:rsidR="00F23ADF">
        <w:rPr>
          <w:noProof/>
        </w:rPr>
        <w:fldChar w:fldCharType="end"/>
      </w:r>
      <w:r>
        <w:t xml:space="preserve">. Percentage error </w:t>
      </w:r>
      <w:r w:rsidRPr="001B27A0">
        <w:t>limits</w:t>
      </w:r>
      <w:r>
        <w:t xml:space="preserve"> for single phase and polyphase direct-connected meters with balanced loads</w:t>
      </w:r>
    </w:p>
    <w:tbl>
      <w:tblPr>
        <w:tblStyle w:val="TableGrid"/>
        <w:tblW w:w="5000" w:type="pct"/>
        <w:tblLook w:val="0020" w:firstRow="1" w:lastRow="0" w:firstColumn="0" w:lastColumn="0" w:noHBand="0" w:noVBand="0"/>
      </w:tblPr>
      <w:tblGrid>
        <w:gridCol w:w="2348"/>
        <w:gridCol w:w="2321"/>
        <w:gridCol w:w="2439"/>
        <w:gridCol w:w="2634"/>
      </w:tblGrid>
      <w:tr w:rsidR="00B17511" w:rsidRPr="00B17511" w14:paraId="5B66EB67" w14:textId="77777777" w:rsidTr="00B43AE5">
        <w:tc>
          <w:tcPr>
            <w:tcW w:w="1205" w:type="pct"/>
            <w:vMerge w:val="restart"/>
            <w:shd w:val="clear" w:color="auto" w:fill="F0DCDC"/>
          </w:tcPr>
          <w:p w14:paraId="17A0AFE6" w14:textId="77777777" w:rsidR="00B17511" w:rsidRPr="00B17511" w:rsidRDefault="00B17511" w:rsidP="00B17511">
            <w:pPr>
              <w:pStyle w:val="TableText"/>
            </w:pPr>
            <w:r w:rsidRPr="00B17511">
              <w:t>Range for test current</w:t>
            </w:r>
          </w:p>
        </w:tc>
        <w:tc>
          <w:tcPr>
            <w:tcW w:w="1191" w:type="pct"/>
            <w:vMerge w:val="restart"/>
            <w:shd w:val="clear" w:color="auto" w:fill="F0DCDC"/>
          </w:tcPr>
          <w:p w14:paraId="0A88D689" w14:textId="77777777" w:rsidR="00B17511" w:rsidRPr="00B17511" w:rsidRDefault="00B17511" w:rsidP="00B17511">
            <w:pPr>
              <w:pStyle w:val="TableText"/>
            </w:pPr>
            <w:r w:rsidRPr="00B17511">
              <w:t>Power factor</w:t>
            </w:r>
          </w:p>
        </w:tc>
        <w:tc>
          <w:tcPr>
            <w:tcW w:w="2604" w:type="pct"/>
            <w:gridSpan w:val="2"/>
            <w:shd w:val="clear" w:color="auto" w:fill="F0DCDC"/>
          </w:tcPr>
          <w:p w14:paraId="3E9B004A" w14:textId="77777777" w:rsidR="00B17511" w:rsidRPr="00B17511" w:rsidRDefault="00B17511" w:rsidP="00B17511">
            <w:pPr>
              <w:pStyle w:val="TableText"/>
            </w:pPr>
            <w:r w:rsidRPr="00B17511">
              <w:t>Percentage error limits for meters of class</w:t>
            </w:r>
            <w:r w:rsidRPr="001B27A0">
              <w:rPr>
                <w:vertAlign w:val="superscript"/>
              </w:rPr>
              <w:t>1</w:t>
            </w:r>
          </w:p>
        </w:tc>
      </w:tr>
      <w:tr w:rsidR="00B17511" w:rsidRPr="00B17511" w14:paraId="16D21DEB" w14:textId="77777777" w:rsidTr="00B43AE5">
        <w:tc>
          <w:tcPr>
            <w:tcW w:w="1205" w:type="pct"/>
            <w:vMerge/>
            <w:shd w:val="clear" w:color="auto" w:fill="F0DCDC"/>
          </w:tcPr>
          <w:p w14:paraId="1661A410" w14:textId="77777777" w:rsidR="00B17511" w:rsidRPr="00B17511" w:rsidRDefault="00B17511" w:rsidP="00B17511">
            <w:pPr>
              <w:pStyle w:val="TableText"/>
            </w:pPr>
          </w:p>
        </w:tc>
        <w:tc>
          <w:tcPr>
            <w:tcW w:w="1191" w:type="pct"/>
            <w:vMerge/>
            <w:shd w:val="clear" w:color="auto" w:fill="F0DCDC"/>
          </w:tcPr>
          <w:p w14:paraId="3ADFC4E4" w14:textId="77777777" w:rsidR="00B17511" w:rsidRPr="00B17511" w:rsidRDefault="00B17511" w:rsidP="00B17511">
            <w:pPr>
              <w:pStyle w:val="TableText"/>
            </w:pPr>
          </w:p>
        </w:tc>
        <w:tc>
          <w:tcPr>
            <w:tcW w:w="1252" w:type="pct"/>
            <w:shd w:val="clear" w:color="auto" w:fill="F0DCDC"/>
          </w:tcPr>
          <w:p w14:paraId="359138D1" w14:textId="77777777" w:rsidR="00B17511" w:rsidRPr="00B17511" w:rsidRDefault="00B17511" w:rsidP="00B17511">
            <w:pPr>
              <w:pStyle w:val="TableText"/>
            </w:pPr>
            <w:r w:rsidRPr="00B17511">
              <w:t>1</w:t>
            </w:r>
          </w:p>
        </w:tc>
        <w:tc>
          <w:tcPr>
            <w:tcW w:w="1352" w:type="pct"/>
            <w:shd w:val="clear" w:color="auto" w:fill="F0DCDC"/>
          </w:tcPr>
          <w:p w14:paraId="1F3D8989" w14:textId="77777777" w:rsidR="00B17511" w:rsidRPr="00B17511" w:rsidRDefault="00B17511" w:rsidP="00B17511">
            <w:pPr>
              <w:pStyle w:val="TableText"/>
            </w:pPr>
            <w:r w:rsidRPr="00B17511">
              <w:t>1.5</w:t>
            </w:r>
          </w:p>
        </w:tc>
      </w:tr>
      <w:tr w:rsidR="00B17511" w:rsidRPr="00B17511" w14:paraId="5DF5F247" w14:textId="77777777" w:rsidTr="00B21092">
        <w:tc>
          <w:tcPr>
            <w:tcW w:w="1205" w:type="pct"/>
          </w:tcPr>
          <w:p w14:paraId="15D28F59" w14:textId="77777777" w:rsidR="00B17511" w:rsidRPr="008A52F7" w:rsidRDefault="00B17511" w:rsidP="001B27A0">
            <w:pPr>
              <w:pStyle w:val="TableT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0.1 </w:t>
            </w:r>
            <w:r w:rsidR="001B27A0" w:rsidRPr="008A52F7">
              <w:rPr>
                <w:rFonts w:ascii="Cambria Math" w:hAnsi="Cambria Math"/>
                <w:i/>
              </w:rPr>
              <w:t>I</w:t>
            </w:r>
            <w:r w:rsidR="001B27A0" w:rsidRPr="008A52F7">
              <w:rPr>
                <w:rFonts w:ascii="Cambria Math" w:hAnsi="Cambria Math"/>
                <w:vertAlign w:val="subscript"/>
              </w:rPr>
              <w:t>b</w:t>
            </w:r>
          </w:p>
        </w:tc>
        <w:tc>
          <w:tcPr>
            <w:tcW w:w="1191" w:type="pct"/>
          </w:tcPr>
          <w:p w14:paraId="49D20E0A" w14:textId="77777777" w:rsidR="00B17511" w:rsidRPr="008A52F7" w:rsidRDefault="00B17511" w:rsidP="00B17511">
            <w:pPr>
              <w:pStyle w:val="TableText"/>
              <w:rPr>
                <w:rFonts w:ascii="Cambria Math" w:hAnsi="Cambria Math"/>
              </w:rPr>
            </w:pPr>
            <w:r w:rsidRPr="008A52F7">
              <w:rPr>
                <w:rFonts w:ascii="Cambria Math" w:hAnsi="Cambria Math"/>
              </w:rPr>
              <w:t>1</w:t>
            </w:r>
          </w:p>
        </w:tc>
        <w:tc>
          <w:tcPr>
            <w:tcW w:w="1252" w:type="pct"/>
          </w:tcPr>
          <w:p w14:paraId="1A718521"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100D0142"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60D6E01B" w14:textId="77777777" w:rsidTr="00B21092">
        <w:tc>
          <w:tcPr>
            <w:tcW w:w="1205" w:type="pct"/>
          </w:tcPr>
          <w:p w14:paraId="3F5C7B90" w14:textId="77777777" w:rsidR="00B17511" w:rsidRPr="008A52F7" w:rsidRDefault="00B17511" w:rsidP="001B27A0">
            <w:pPr>
              <w:pStyle w:val="TableText"/>
              <w:rPr>
                <w:rFonts w:ascii="Cambria Math" w:hAnsi="Cambria Math"/>
              </w:rPr>
            </w:pPr>
            <w:r w:rsidRPr="008A52F7">
              <w:rPr>
                <w:rFonts w:ascii="Cambria Math" w:hAnsi="Cambria Math"/>
              </w:rPr>
              <w:t xml:space="preserve">0.1 </w:t>
            </w:r>
            <w:r w:rsidR="001B27A0" w:rsidRPr="008A52F7">
              <w:rPr>
                <w:rFonts w:ascii="Cambria Math" w:hAnsi="Cambria Math"/>
                <w:i/>
              </w:rPr>
              <w:t>I</w:t>
            </w:r>
            <w:r w:rsidR="001B27A0"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1191" w:type="pct"/>
          </w:tcPr>
          <w:p w14:paraId="59FD211F" w14:textId="77777777" w:rsidR="00B17511" w:rsidRPr="008A52F7" w:rsidRDefault="00B17511" w:rsidP="00B17511">
            <w:pPr>
              <w:pStyle w:val="TableText"/>
              <w:rPr>
                <w:rFonts w:ascii="Cambria Math" w:hAnsi="Cambria Math"/>
              </w:rPr>
            </w:pPr>
            <w:r w:rsidRPr="008A52F7">
              <w:rPr>
                <w:rFonts w:ascii="Cambria Math" w:hAnsi="Cambria Math"/>
              </w:rPr>
              <w:t>1</w:t>
            </w:r>
          </w:p>
        </w:tc>
        <w:tc>
          <w:tcPr>
            <w:tcW w:w="1252" w:type="pct"/>
          </w:tcPr>
          <w:p w14:paraId="5EEC8BFC"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33C327B3"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7D9D953C" w14:textId="77777777" w:rsidTr="00B21092">
        <w:tc>
          <w:tcPr>
            <w:tcW w:w="1205" w:type="pct"/>
            <w:vMerge w:val="restart"/>
          </w:tcPr>
          <w:p w14:paraId="2E606319" w14:textId="77777777" w:rsidR="00B17511" w:rsidRPr="008A52F7" w:rsidRDefault="00B17511" w:rsidP="001B27A0">
            <w:pPr>
              <w:pStyle w:val="TableText"/>
              <w:rPr>
                <w:rFonts w:ascii="Cambria Math" w:hAnsi="Cambria Math"/>
              </w:rPr>
            </w:pPr>
            <w:r w:rsidRPr="008A52F7">
              <w:rPr>
                <w:rFonts w:ascii="Cambria Math" w:hAnsi="Cambria Math"/>
              </w:rPr>
              <w:t xml:space="preserve">0.1 </w:t>
            </w:r>
            <w:r w:rsidR="001B27A0" w:rsidRPr="008A52F7">
              <w:rPr>
                <w:rFonts w:ascii="Cambria Math" w:hAnsi="Cambria Math"/>
                <w:i/>
              </w:rPr>
              <w:t>I</w:t>
            </w:r>
            <w:r w:rsidR="001B27A0"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r w:rsidRPr="008A52F7">
              <w:rPr>
                <w:rFonts w:ascii="Cambria Math" w:hAnsi="Cambria Math"/>
                <w:i/>
              </w:rPr>
              <w:t>I</w:t>
            </w:r>
            <w:r w:rsidRPr="008A52F7">
              <w:rPr>
                <w:rFonts w:ascii="Cambria Math" w:hAnsi="Cambria Math"/>
                <w:vertAlign w:val="subscript"/>
              </w:rPr>
              <w:t>b</w:t>
            </w:r>
          </w:p>
        </w:tc>
        <w:tc>
          <w:tcPr>
            <w:tcW w:w="1191" w:type="pct"/>
          </w:tcPr>
          <w:p w14:paraId="42C67027" w14:textId="77777777" w:rsidR="00B17511" w:rsidRPr="008A52F7" w:rsidRDefault="00B17511" w:rsidP="00B17511">
            <w:pPr>
              <w:pStyle w:val="TableText"/>
              <w:rPr>
                <w:rFonts w:ascii="Cambria Math" w:hAnsi="Cambria Math"/>
              </w:rPr>
            </w:pPr>
            <w:r w:rsidRPr="008A52F7">
              <w:rPr>
                <w:rFonts w:ascii="Cambria Math" w:hAnsi="Cambria Math"/>
              </w:rPr>
              <w:t>0.5 inductive</w:t>
            </w:r>
          </w:p>
        </w:tc>
        <w:tc>
          <w:tcPr>
            <w:tcW w:w="1252" w:type="pct"/>
          </w:tcPr>
          <w:p w14:paraId="51C9593D"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34716788"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3CD61DC5" w14:textId="77777777" w:rsidTr="00B21092">
        <w:tc>
          <w:tcPr>
            <w:tcW w:w="1205" w:type="pct"/>
            <w:vMerge/>
          </w:tcPr>
          <w:p w14:paraId="21730DEB" w14:textId="77777777" w:rsidR="00B17511" w:rsidRPr="008A52F7" w:rsidRDefault="00B17511" w:rsidP="001B27A0">
            <w:pPr>
              <w:pStyle w:val="TableText"/>
              <w:rPr>
                <w:rFonts w:ascii="Cambria Math" w:hAnsi="Cambria Math"/>
              </w:rPr>
            </w:pPr>
          </w:p>
        </w:tc>
        <w:tc>
          <w:tcPr>
            <w:tcW w:w="1191" w:type="pct"/>
          </w:tcPr>
          <w:p w14:paraId="55E9B23B" w14:textId="77777777" w:rsidR="00B17511" w:rsidRPr="008A52F7" w:rsidRDefault="00B17511" w:rsidP="00B17511">
            <w:pPr>
              <w:pStyle w:val="TableText"/>
              <w:rPr>
                <w:rFonts w:ascii="Cambria Math" w:hAnsi="Cambria Math"/>
              </w:rPr>
            </w:pPr>
            <w:r w:rsidRPr="008A52F7">
              <w:rPr>
                <w:rFonts w:ascii="Cambria Math" w:hAnsi="Cambria Math"/>
              </w:rPr>
              <w:t>0.8 capacitive</w:t>
            </w:r>
          </w:p>
        </w:tc>
        <w:tc>
          <w:tcPr>
            <w:tcW w:w="1252" w:type="pct"/>
          </w:tcPr>
          <w:p w14:paraId="016774AD"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78F3D242" w14:textId="77777777" w:rsidR="00B17511" w:rsidRPr="008A52F7" w:rsidRDefault="00B17511" w:rsidP="00B17511">
            <w:pPr>
              <w:pStyle w:val="TableText"/>
              <w:rPr>
                <w:rFonts w:ascii="Cambria Math" w:hAnsi="Cambria Math"/>
              </w:rPr>
            </w:pPr>
            <w:r w:rsidRPr="008A52F7">
              <w:rPr>
                <w:rFonts w:ascii="Cambria Math" w:hAnsi="Cambria Math"/>
              </w:rPr>
              <w:t>—</w:t>
            </w:r>
          </w:p>
        </w:tc>
      </w:tr>
      <w:tr w:rsidR="00B17511" w:rsidRPr="00B17511" w14:paraId="1818CFE8" w14:textId="77777777" w:rsidTr="00B21092">
        <w:tc>
          <w:tcPr>
            <w:tcW w:w="1205" w:type="pct"/>
            <w:vMerge w:val="restart"/>
          </w:tcPr>
          <w:p w14:paraId="7D40F43E" w14:textId="77777777" w:rsidR="00B17511" w:rsidRPr="008A52F7" w:rsidRDefault="00B17511" w:rsidP="001B27A0">
            <w:pPr>
              <w:pStyle w:val="TableText"/>
              <w:rPr>
                <w:rFonts w:ascii="Cambria Math" w:hAnsi="Cambria Math"/>
              </w:rPr>
            </w:pPr>
            <w:r w:rsidRPr="008A52F7">
              <w:rPr>
                <w:rFonts w:ascii="Cambria Math" w:hAnsi="Cambria Math"/>
              </w:rPr>
              <w:t xml:space="preserve">0.2 </w:t>
            </w:r>
            <w:r w:rsidR="001B27A0" w:rsidRPr="008A52F7">
              <w:rPr>
                <w:rFonts w:ascii="Cambria Math" w:hAnsi="Cambria Math"/>
                <w:i/>
              </w:rPr>
              <w:t>I</w:t>
            </w:r>
            <w:r w:rsidR="001B27A0"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1191" w:type="pct"/>
          </w:tcPr>
          <w:p w14:paraId="3FE6DB05" w14:textId="77777777" w:rsidR="00B17511" w:rsidRPr="008A52F7" w:rsidRDefault="00B17511" w:rsidP="00B17511">
            <w:pPr>
              <w:pStyle w:val="TableText"/>
              <w:rPr>
                <w:rFonts w:ascii="Cambria Math" w:hAnsi="Cambria Math"/>
              </w:rPr>
            </w:pPr>
            <w:r w:rsidRPr="008A52F7">
              <w:rPr>
                <w:rFonts w:ascii="Cambria Math" w:hAnsi="Cambria Math"/>
              </w:rPr>
              <w:t>0.5 inductive</w:t>
            </w:r>
          </w:p>
        </w:tc>
        <w:tc>
          <w:tcPr>
            <w:tcW w:w="1252" w:type="pct"/>
          </w:tcPr>
          <w:p w14:paraId="166D2942"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74D485AA"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7B8E99F0" w14:textId="77777777" w:rsidTr="00B21092">
        <w:tc>
          <w:tcPr>
            <w:tcW w:w="1205" w:type="pct"/>
            <w:vMerge/>
          </w:tcPr>
          <w:p w14:paraId="0AECC895" w14:textId="77777777" w:rsidR="00B17511" w:rsidRPr="00B17511" w:rsidRDefault="00B17511" w:rsidP="00B17511">
            <w:pPr>
              <w:pStyle w:val="TableText"/>
            </w:pPr>
          </w:p>
        </w:tc>
        <w:tc>
          <w:tcPr>
            <w:tcW w:w="1191" w:type="pct"/>
          </w:tcPr>
          <w:p w14:paraId="38D7B2AD" w14:textId="77777777" w:rsidR="00B17511" w:rsidRPr="008A52F7" w:rsidRDefault="00B17511" w:rsidP="00B17511">
            <w:pPr>
              <w:pStyle w:val="TableText"/>
              <w:rPr>
                <w:rFonts w:ascii="Cambria Math" w:hAnsi="Cambria Math"/>
              </w:rPr>
            </w:pPr>
            <w:r w:rsidRPr="008A52F7">
              <w:rPr>
                <w:rFonts w:ascii="Cambria Math" w:hAnsi="Cambria Math"/>
              </w:rPr>
              <w:t>0.8 capacitive</w:t>
            </w:r>
          </w:p>
        </w:tc>
        <w:tc>
          <w:tcPr>
            <w:tcW w:w="1252" w:type="pct"/>
          </w:tcPr>
          <w:p w14:paraId="45EE79AE"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68BED217" w14:textId="77777777" w:rsidR="00B17511" w:rsidRPr="008A52F7" w:rsidRDefault="00B17511" w:rsidP="00B17511">
            <w:pPr>
              <w:pStyle w:val="TableText"/>
              <w:rPr>
                <w:rFonts w:ascii="Cambria Math" w:hAnsi="Cambria Math"/>
              </w:rPr>
            </w:pPr>
            <w:r w:rsidRPr="008A52F7">
              <w:rPr>
                <w:rFonts w:ascii="Cambria Math" w:hAnsi="Cambria Math"/>
              </w:rPr>
              <w:t>—</w:t>
            </w:r>
          </w:p>
        </w:tc>
      </w:tr>
    </w:tbl>
    <w:p w14:paraId="28B4875F" w14:textId="77777777" w:rsidR="00B17511" w:rsidRPr="00F31C05" w:rsidRDefault="001B27A0" w:rsidP="0079225E">
      <w:pPr>
        <w:pStyle w:val="Note"/>
      </w:pPr>
      <w:r>
        <w:t>Note 1:</w:t>
      </w:r>
      <w:r>
        <w:tab/>
        <w:t>Requirements based on AS 1284.1 [5] and AS 62053.21 [7].</w:t>
      </w:r>
    </w:p>
    <w:p w14:paraId="30BA12AB" w14:textId="77777777" w:rsidR="0079225E" w:rsidRDefault="0079225E" w:rsidP="0079225E">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2</w:t>
      </w:r>
      <w:r w:rsidR="00F23ADF">
        <w:rPr>
          <w:noProof/>
        </w:rPr>
        <w:fldChar w:fldCharType="end"/>
      </w:r>
      <w:r>
        <w:t>.</w:t>
      </w:r>
      <w:r w:rsidRPr="0079225E">
        <w:t xml:space="preserve"> </w:t>
      </w:r>
      <w:r>
        <w:t>Percentage error limits for single phase and polyphase transformer-operated meters with balanced loads</w:t>
      </w:r>
    </w:p>
    <w:tbl>
      <w:tblPr>
        <w:tblW w:w="5000" w:type="pct"/>
        <w:jc w:val="center"/>
        <w:tblCellMar>
          <w:left w:w="107" w:type="dxa"/>
          <w:right w:w="107" w:type="dxa"/>
        </w:tblCellMar>
        <w:tblLook w:val="0000" w:firstRow="0" w:lastRow="0" w:firstColumn="0" w:lastColumn="0" w:noHBand="0" w:noVBand="0"/>
      </w:tblPr>
      <w:tblGrid>
        <w:gridCol w:w="2347"/>
        <w:gridCol w:w="2321"/>
        <w:gridCol w:w="1738"/>
        <w:gridCol w:w="1740"/>
        <w:gridCol w:w="1596"/>
      </w:tblGrid>
      <w:tr w:rsidR="001B27A0" w:rsidRPr="00931D8C" w14:paraId="00D2BABA" w14:textId="77777777" w:rsidTr="00B43AE5">
        <w:trPr>
          <w:jc w:val="center"/>
        </w:trPr>
        <w:tc>
          <w:tcPr>
            <w:tcW w:w="1205" w:type="pct"/>
            <w:vMerge w:val="restart"/>
            <w:tcBorders>
              <w:top w:val="single" w:sz="4" w:space="0" w:color="auto"/>
              <w:left w:val="single" w:sz="4" w:space="0" w:color="auto"/>
              <w:right w:val="single" w:sz="4" w:space="0" w:color="auto"/>
            </w:tcBorders>
            <w:shd w:val="clear" w:color="auto" w:fill="F0DCDC"/>
            <w:tcMar>
              <w:left w:w="28" w:type="dxa"/>
              <w:right w:w="28" w:type="dxa"/>
            </w:tcMar>
            <w:vAlign w:val="center"/>
          </w:tcPr>
          <w:p w14:paraId="6D6AE4B6" w14:textId="77777777" w:rsidR="001B27A0" w:rsidRPr="00931D8C" w:rsidRDefault="001B27A0" w:rsidP="001B27A0">
            <w:pPr>
              <w:pStyle w:val="TableText"/>
              <w:keepNext/>
              <w:rPr>
                <w:szCs w:val="22"/>
              </w:rPr>
            </w:pPr>
            <w:r w:rsidRPr="00931D8C">
              <w:rPr>
                <w:szCs w:val="22"/>
              </w:rPr>
              <w:t>Range for test current</w:t>
            </w:r>
          </w:p>
        </w:tc>
        <w:tc>
          <w:tcPr>
            <w:tcW w:w="1191" w:type="pct"/>
            <w:vMerge w:val="restart"/>
            <w:tcBorders>
              <w:top w:val="single" w:sz="4" w:space="0" w:color="auto"/>
              <w:left w:val="single" w:sz="4" w:space="0" w:color="auto"/>
              <w:right w:val="single" w:sz="4" w:space="0" w:color="auto"/>
            </w:tcBorders>
            <w:shd w:val="clear" w:color="auto" w:fill="F0DCDC"/>
            <w:tcMar>
              <w:left w:w="28" w:type="dxa"/>
              <w:right w:w="28" w:type="dxa"/>
            </w:tcMar>
            <w:vAlign w:val="center"/>
          </w:tcPr>
          <w:p w14:paraId="38D51BF8" w14:textId="77777777" w:rsidR="001B27A0" w:rsidRPr="00931D8C" w:rsidRDefault="001B27A0" w:rsidP="001B27A0">
            <w:pPr>
              <w:pStyle w:val="TableText"/>
              <w:keepNext/>
              <w:rPr>
                <w:szCs w:val="22"/>
              </w:rPr>
            </w:pPr>
            <w:r w:rsidRPr="00931D8C">
              <w:rPr>
                <w:szCs w:val="22"/>
              </w:rPr>
              <w:t>Power factor</w:t>
            </w:r>
          </w:p>
        </w:tc>
        <w:tc>
          <w:tcPr>
            <w:tcW w:w="2604" w:type="pct"/>
            <w:gridSpan w:val="3"/>
            <w:tcBorders>
              <w:top w:val="single" w:sz="4" w:space="0" w:color="auto"/>
              <w:left w:val="single" w:sz="4" w:space="0" w:color="auto"/>
              <w:bottom w:val="single" w:sz="4" w:space="0" w:color="auto"/>
              <w:right w:val="single" w:sz="4" w:space="0" w:color="auto"/>
            </w:tcBorders>
            <w:shd w:val="clear" w:color="auto" w:fill="F0DCDC"/>
            <w:tcMar>
              <w:left w:w="28" w:type="dxa"/>
              <w:right w:w="28" w:type="dxa"/>
            </w:tcMar>
            <w:vAlign w:val="center"/>
          </w:tcPr>
          <w:p w14:paraId="629ECAB0" w14:textId="77777777" w:rsidR="001B27A0" w:rsidRPr="00931D8C" w:rsidRDefault="001B27A0" w:rsidP="001B27A0">
            <w:pPr>
              <w:pStyle w:val="TableText"/>
              <w:keepNext/>
              <w:rPr>
                <w:szCs w:val="22"/>
                <w:vertAlign w:val="superscript"/>
              </w:rPr>
            </w:pPr>
            <w:r w:rsidRPr="00931D8C">
              <w:rPr>
                <w:szCs w:val="22"/>
              </w:rPr>
              <w:t>Percentage error limits for meters of class</w:t>
            </w:r>
            <w:r w:rsidRPr="00931D8C">
              <w:rPr>
                <w:szCs w:val="22"/>
                <w:vertAlign w:val="superscript"/>
              </w:rPr>
              <w:t>1</w:t>
            </w:r>
          </w:p>
        </w:tc>
      </w:tr>
      <w:tr w:rsidR="001B27A0" w:rsidRPr="00931D8C" w14:paraId="5181844D" w14:textId="77777777" w:rsidTr="00B43AE5">
        <w:trPr>
          <w:jc w:val="center"/>
        </w:trPr>
        <w:tc>
          <w:tcPr>
            <w:tcW w:w="1205" w:type="pct"/>
            <w:vMerge/>
            <w:tcBorders>
              <w:left w:val="single" w:sz="4" w:space="0" w:color="auto"/>
              <w:bottom w:val="single" w:sz="6" w:space="0" w:color="000000"/>
              <w:right w:val="single" w:sz="4" w:space="0" w:color="auto"/>
            </w:tcBorders>
            <w:shd w:val="clear" w:color="auto" w:fill="F0DCDC"/>
            <w:vAlign w:val="center"/>
          </w:tcPr>
          <w:p w14:paraId="2F521D8E" w14:textId="77777777" w:rsidR="001B27A0" w:rsidRPr="00931D8C" w:rsidRDefault="001B27A0" w:rsidP="001B27A0">
            <w:pPr>
              <w:pStyle w:val="TableText"/>
              <w:keepNext/>
              <w:rPr>
                <w:szCs w:val="22"/>
              </w:rPr>
            </w:pPr>
          </w:p>
        </w:tc>
        <w:tc>
          <w:tcPr>
            <w:tcW w:w="1191" w:type="pct"/>
            <w:vMerge/>
            <w:tcBorders>
              <w:left w:val="single" w:sz="4" w:space="0" w:color="auto"/>
              <w:bottom w:val="single" w:sz="6" w:space="0" w:color="000000"/>
              <w:right w:val="single" w:sz="4" w:space="0" w:color="auto"/>
            </w:tcBorders>
            <w:shd w:val="clear" w:color="auto" w:fill="F0DCDC"/>
            <w:vAlign w:val="center"/>
          </w:tcPr>
          <w:p w14:paraId="7C449BF6" w14:textId="77777777" w:rsidR="001B27A0" w:rsidRPr="00931D8C" w:rsidRDefault="001B27A0" w:rsidP="001B27A0">
            <w:pPr>
              <w:pStyle w:val="TableText"/>
              <w:keepNext/>
              <w:rPr>
                <w:szCs w:val="22"/>
              </w:rPr>
            </w:pPr>
          </w:p>
        </w:tc>
        <w:tc>
          <w:tcPr>
            <w:tcW w:w="892" w:type="pct"/>
            <w:tcBorders>
              <w:top w:val="single" w:sz="4" w:space="0" w:color="auto"/>
              <w:left w:val="single" w:sz="4" w:space="0" w:color="auto"/>
              <w:bottom w:val="single" w:sz="6" w:space="0" w:color="000000"/>
              <w:right w:val="single" w:sz="6" w:space="0" w:color="000000"/>
            </w:tcBorders>
            <w:shd w:val="clear" w:color="auto" w:fill="F0DCDC"/>
            <w:vAlign w:val="center"/>
          </w:tcPr>
          <w:p w14:paraId="6F202DBA" w14:textId="77777777" w:rsidR="001B27A0" w:rsidRPr="00931D8C" w:rsidRDefault="001B27A0" w:rsidP="001B27A0">
            <w:pPr>
              <w:pStyle w:val="TableText"/>
              <w:keepNext/>
              <w:rPr>
                <w:szCs w:val="22"/>
              </w:rPr>
            </w:pPr>
            <w:r w:rsidRPr="00931D8C">
              <w:rPr>
                <w:szCs w:val="22"/>
              </w:rPr>
              <w:t>0.2</w:t>
            </w:r>
          </w:p>
        </w:tc>
        <w:tc>
          <w:tcPr>
            <w:tcW w:w="893" w:type="pct"/>
            <w:tcBorders>
              <w:top w:val="single" w:sz="4" w:space="0" w:color="auto"/>
              <w:left w:val="single" w:sz="6" w:space="0" w:color="000000"/>
              <w:bottom w:val="single" w:sz="6" w:space="0" w:color="000000"/>
              <w:right w:val="single" w:sz="6" w:space="0" w:color="000000"/>
            </w:tcBorders>
            <w:shd w:val="clear" w:color="auto" w:fill="F0DCDC"/>
            <w:vAlign w:val="center"/>
          </w:tcPr>
          <w:p w14:paraId="40873CD2" w14:textId="77777777" w:rsidR="001B27A0" w:rsidRPr="00931D8C" w:rsidRDefault="001B27A0" w:rsidP="001B27A0">
            <w:pPr>
              <w:pStyle w:val="TableText"/>
              <w:keepNext/>
              <w:rPr>
                <w:szCs w:val="22"/>
              </w:rPr>
            </w:pPr>
            <w:r w:rsidRPr="00931D8C">
              <w:rPr>
                <w:szCs w:val="22"/>
              </w:rPr>
              <w:t>0.5</w:t>
            </w:r>
          </w:p>
        </w:tc>
        <w:tc>
          <w:tcPr>
            <w:tcW w:w="819" w:type="pct"/>
            <w:tcBorders>
              <w:top w:val="single" w:sz="4" w:space="0" w:color="auto"/>
              <w:left w:val="single" w:sz="6" w:space="0" w:color="000000"/>
              <w:bottom w:val="single" w:sz="6" w:space="0" w:color="000000"/>
              <w:right w:val="single" w:sz="6" w:space="0" w:color="000000"/>
            </w:tcBorders>
            <w:shd w:val="clear" w:color="auto" w:fill="F0DCDC"/>
            <w:vAlign w:val="center"/>
          </w:tcPr>
          <w:p w14:paraId="1F350EB2" w14:textId="77777777" w:rsidR="001B27A0" w:rsidRPr="00931D8C" w:rsidRDefault="001B27A0" w:rsidP="001B27A0">
            <w:pPr>
              <w:pStyle w:val="TableText"/>
              <w:keepNext/>
              <w:rPr>
                <w:szCs w:val="22"/>
              </w:rPr>
            </w:pPr>
            <w:r w:rsidRPr="00931D8C">
              <w:rPr>
                <w:szCs w:val="22"/>
              </w:rPr>
              <w:t>1</w:t>
            </w:r>
          </w:p>
        </w:tc>
      </w:tr>
      <w:tr w:rsidR="001B27A0" w:rsidRPr="00931D8C" w14:paraId="47134F5C"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0" w:type="dxa"/>
            </w:tcMar>
            <w:vAlign w:val="center"/>
          </w:tcPr>
          <w:p w14:paraId="70BD5C4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0.01</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4" w:space="0" w:color="auto"/>
              <w:left w:val="single" w:sz="6" w:space="0" w:color="000000"/>
              <w:bottom w:val="single" w:sz="6" w:space="0" w:color="000000"/>
              <w:right w:val="single" w:sz="6" w:space="0" w:color="000000"/>
            </w:tcBorders>
            <w:vAlign w:val="center"/>
          </w:tcPr>
          <w:p w14:paraId="2B8B107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1103E0C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±0.4</w:t>
            </w:r>
          </w:p>
        </w:tc>
        <w:tc>
          <w:tcPr>
            <w:tcW w:w="893" w:type="pct"/>
            <w:tcBorders>
              <w:top w:val="single" w:sz="6" w:space="0" w:color="000000"/>
              <w:left w:val="single" w:sz="6" w:space="0" w:color="000000"/>
              <w:bottom w:val="single" w:sz="6" w:space="0" w:color="000000"/>
              <w:right w:val="single" w:sz="6" w:space="0" w:color="000000"/>
            </w:tcBorders>
            <w:vAlign w:val="center"/>
          </w:tcPr>
          <w:p w14:paraId="5CD2FE9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257CFD6F"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7D259C66"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0" w:type="dxa"/>
            </w:tcMar>
            <w:vAlign w:val="center"/>
          </w:tcPr>
          <w:p w14:paraId="4AD8539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0.02</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4" w:space="0" w:color="auto"/>
              <w:left w:val="single" w:sz="6" w:space="0" w:color="000000"/>
              <w:bottom w:val="single" w:sz="6" w:space="0" w:color="000000"/>
              <w:right w:val="single" w:sz="6" w:space="0" w:color="000000"/>
            </w:tcBorders>
            <w:vAlign w:val="center"/>
          </w:tcPr>
          <w:p w14:paraId="680A9EA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7A75DA6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1648FB9D"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08E9671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7DD07BFA"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26EDDF3B"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0.05</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vertAlign w:val="subscript"/>
              </w:rPr>
              <w:t>max</w:t>
            </w:r>
          </w:p>
        </w:tc>
        <w:tc>
          <w:tcPr>
            <w:tcW w:w="1191" w:type="pct"/>
            <w:tcBorders>
              <w:top w:val="single" w:sz="6" w:space="0" w:color="000000"/>
              <w:left w:val="single" w:sz="6" w:space="0" w:color="000000"/>
              <w:bottom w:val="single" w:sz="6" w:space="0" w:color="000000"/>
              <w:right w:val="single" w:sz="6" w:space="0" w:color="000000"/>
            </w:tcBorders>
            <w:vAlign w:val="center"/>
          </w:tcPr>
          <w:p w14:paraId="0E999CC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361F1BB6"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±0.2</w:t>
            </w:r>
          </w:p>
        </w:tc>
        <w:tc>
          <w:tcPr>
            <w:tcW w:w="893" w:type="pct"/>
            <w:tcBorders>
              <w:top w:val="single" w:sz="6" w:space="0" w:color="000000"/>
              <w:left w:val="single" w:sz="6" w:space="0" w:color="000000"/>
              <w:bottom w:val="single" w:sz="6" w:space="0" w:color="000000"/>
              <w:right w:val="single" w:sz="6" w:space="0" w:color="000000"/>
            </w:tcBorders>
            <w:vAlign w:val="center"/>
          </w:tcPr>
          <w:p w14:paraId="6276E42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19" w:type="pct"/>
            <w:tcBorders>
              <w:top w:val="single" w:sz="6" w:space="0" w:color="000000"/>
              <w:left w:val="single" w:sz="6" w:space="0" w:color="000000"/>
              <w:bottom w:val="single" w:sz="6" w:space="0" w:color="000000"/>
              <w:right w:val="single" w:sz="6" w:space="0" w:color="000000"/>
            </w:tcBorders>
            <w:vAlign w:val="center"/>
          </w:tcPr>
          <w:p w14:paraId="061C114D"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r w:rsidR="001B27A0" w:rsidRPr="00931D8C" w14:paraId="1AEE5567"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4231313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0.02</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6" w:space="0" w:color="000000"/>
              <w:left w:val="single" w:sz="6" w:space="0" w:color="000000"/>
              <w:bottom w:val="single" w:sz="6" w:space="0" w:color="000000"/>
              <w:right w:val="single" w:sz="6" w:space="0" w:color="000000"/>
            </w:tcBorders>
            <w:vAlign w:val="center"/>
          </w:tcPr>
          <w:p w14:paraId="7438D294"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42F3774B"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93" w:type="pct"/>
            <w:tcBorders>
              <w:top w:val="single" w:sz="6" w:space="0" w:color="000000"/>
              <w:left w:val="single" w:sz="6" w:space="0" w:color="000000"/>
              <w:bottom w:val="single" w:sz="6" w:space="0" w:color="000000"/>
              <w:right w:val="single" w:sz="6" w:space="0" w:color="000000"/>
            </w:tcBorders>
            <w:vAlign w:val="center"/>
          </w:tcPr>
          <w:p w14:paraId="11345815" w14:textId="77777777" w:rsidR="001B27A0" w:rsidRPr="008A52F7" w:rsidDel="00DF3F7C"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2023DD5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35E2C417" w14:textId="77777777" w:rsidTr="0079225E">
        <w:trPr>
          <w:jc w:val="center"/>
        </w:trPr>
        <w:tc>
          <w:tcPr>
            <w:tcW w:w="1205" w:type="pct"/>
            <w:vMerge/>
            <w:tcBorders>
              <w:left w:val="single" w:sz="6" w:space="0" w:color="000000"/>
              <w:right w:val="single" w:sz="6" w:space="0" w:color="000000"/>
            </w:tcBorders>
            <w:tcMar>
              <w:left w:w="28" w:type="dxa"/>
              <w:right w:w="28" w:type="dxa"/>
            </w:tcMar>
            <w:vAlign w:val="center"/>
          </w:tcPr>
          <w:p w14:paraId="444F1640"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29157A2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7FD03E3"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93" w:type="pct"/>
            <w:tcBorders>
              <w:top w:val="single" w:sz="6" w:space="0" w:color="000000"/>
              <w:left w:val="single" w:sz="6" w:space="0" w:color="000000"/>
              <w:bottom w:val="single" w:sz="6" w:space="0" w:color="000000"/>
              <w:right w:val="single" w:sz="6" w:space="0" w:color="000000"/>
            </w:tcBorders>
            <w:vAlign w:val="center"/>
          </w:tcPr>
          <w:p w14:paraId="008AF8C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6E75BD0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7522A7AD"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57896B1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6" w:space="0" w:color="000000"/>
              <w:left w:val="single" w:sz="6" w:space="0" w:color="000000"/>
              <w:bottom w:val="single" w:sz="6" w:space="0" w:color="000000"/>
              <w:right w:val="single" w:sz="6" w:space="0" w:color="000000"/>
            </w:tcBorders>
            <w:vAlign w:val="center"/>
          </w:tcPr>
          <w:p w14:paraId="4DDD344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A2C78F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5729736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6C3CD77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0C2DB47B" w14:textId="77777777" w:rsidTr="0079225E">
        <w:trPr>
          <w:jc w:val="center"/>
        </w:trPr>
        <w:tc>
          <w:tcPr>
            <w:tcW w:w="1205" w:type="pct"/>
            <w:vMerge/>
            <w:tcBorders>
              <w:left w:val="single" w:sz="6" w:space="0" w:color="000000"/>
              <w:bottom w:val="single" w:sz="6" w:space="0" w:color="000000"/>
              <w:right w:val="single" w:sz="6" w:space="0" w:color="000000"/>
            </w:tcBorders>
            <w:tcMar>
              <w:left w:w="28" w:type="dxa"/>
              <w:right w:w="28" w:type="dxa"/>
            </w:tcMar>
            <w:vAlign w:val="center"/>
          </w:tcPr>
          <w:p w14:paraId="4D878192"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6282A344"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48BE50C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482CC8E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792499D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4DD944F6"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50718629"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vertAlign w:val="subscript"/>
              </w:rPr>
              <w:t>max</w:t>
            </w:r>
          </w:p>
        </w:tc>
        <w:tc>
          <w:tcPr>
            <w:tcW w:w="1191" w:type="pct"/>
            <w:tcBorders>
              <w:top w:val="single" w:sz="6" w:space="0" w:color="000000"/>
              <w:left w:val="single" w:sz="6" w:space="0" w:color="000000"/>
              <w:bottom w:val="single" w:sz="6" w:space="0" w:color="000000"/>
              <w:right w:val="single" w:sz="6" w:space="0" w:color="000000"/>
            </w:tcBorders>
            <w:vAlign w:val="center"/>
          </w:tcPr>
          <w:p w14:paraId="2E34A49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49A281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±0.3</w:t>
            </w:r>
          </w:p>
        </w:tc>
        <w:tc>
          <w:tcPr>
            <w:tcW w:w="893" w:type="pct"/>
            <w:tcBorders>
              <w:top w:val="single" w:sz="6" w:space="0" w:color="000000"/>
              <w:left w:val="single" w:sz="6" w:space="0" w:color="000000"/>
              <w:bottom w:val="single" w:sz="6" w:space="0" w:color="000000"/>
              <w:right w:val="single" w:sz="6" w:space="0" w:color="000000"/>
            </w:tcBorders>
            <w:vAlign w:val="center"/>
          </w:tcPr>
          <w:p w14:paraId="18FFE26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±0.6</w:t>
            </w:r>
          </w:p>
        </w:tc>
        <w:tc>
          <w:tcPr>
            <w:tcW w:w="819" w:type="pct"/>
            <w:tcBorders>
              <w:top w:val="single" w:sz="6" w:space="0" w:color="000000"/>
              <w:left w:val="single" w:sz="6" w:space="0" w:color="000000"/>
              <w:bottom w:val="single" w:sz="6" w:space="0" w:color="000000"/>
              <w:right w:val="single" w:sz="6" w:space="0" w:color="000000"/>
            </w:tcBorders>
            <w:vAlign w:val="center"/>
          </w:tcPr>
          <w:p w14:paraId="2B9D552C"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r w:rsidR="001B27A0" w:rsidRPr="00931D8C" w14:paraId="12F7B248" w14:textId="77777777" w:rsidTr="0079225E">
        <w:trPr>
          <w:jc w:val="center"/>
        </w:trPr>
        <w:tc>
          <w:tcPr>
            <w:tcW w:w="1205" w:type="pct"/>
            <w:vMerge/>
            <w:tcBorders>
              <w:left w:val="single" w:sz="6" w:space="0" w:color="000000"/>
              <w:bottom w:val="single" w:sz="6" w:space="0" w:color="000000"/>
              <w:right w:val="single" w:sz="6" w:space="0" w:color="000000"/>
            </w:tcBorders>
            <w:tcMar>
              <w:left w:w="28" w:type="dxa"/>
              <w:right w:w="28" w:type="dxa"/>
            </w:tcMar>
            <w:vAlign w:val="center"/>
          </w:tcPr>
          <w:p w14:paraId="23377240"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2126D5C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69E3BC3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±0.3</w:t>
            </w:r>
          </w:p>
        </w:tc>
        <w:tc>
          <w:tcPr>
            <w:tcW w:w="893" w:type="pct"/>
            <w:tcBorders>
              <w:top w:val="single" w:sz="6" w:space="0" w:color="000000"/>
              <w:left w:val="single" w:sz="6" w:space="0" w:color="000000"/>
              <w:bottom w:val="single" w:sz="6" w:space="0" w:color="000000"/>
              <w:right w:val="single" w:sz="6" w:space="0" w:color="000000"/>
            </w:tcBorders>
            <w:vAlign w:val="center"/>
          </w:tcPr>
          <w:p w14:paraId="60B82EB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±0.6</w:t>
            </w:r>
          </w:p>
        </w:tc>
        <w:tc>
          <w:tcPr>
            <w:tcW w:w="819" w:type="pct"/>
            <w:tcBorders>
              <w:top w:val="single" w:sz="6" w:space="0" w:color="000000"/>
              <w:left w:val="single" w:sz="6" w:space="0" w:color="000000"/>
              <w:bottom w:val="single" w:sz="6" w:space="0" w:color="000000"/>
              <w:right w:val="single" w:sz="6" w:space="0" w:color="000000"/>
            </w:tcBorders>
            <w:vAlign w:val="center"/>
          </w:tcPr>
          <w:p w14:paraId="14E43CA8"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bl>
    <w:p w14:paraId="437F1EF1" w14:textId="77777777" w:rsidR="001B27A0" w:rsidRDefault="0079225E" w:rsidP="0079225E">
      <w:pPr>
        <w:pStyle w:val="Note"/>
      </w:pPr>
      <w:r w:rsidRPr="0079225E">
        <w:t>Note 1:</w:t>
      </w:r>
      <w:r w:rsidRPr="0079225E">
        <w:tab/>
        <w:t>Requirements based on AS 62053.21 [7] and AS 62053.22 [8].</w:t>
      </w:r>
    </w:p>
    <w:p w14:paraId="7ED2D286" w14:textId="77777777" w:rsidR="0079225E" w:rsidRDefault="0079225E" w:rsidP="0079225E">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3</w:t>
      </w:r>
      <w:r w:rsidR="00F23ADF">
        <w:rPr>
          <w:noProof/>
        </w:rPr>
        <w:fldChar w:fldCharType="end"/>
      </w:r>
      <w:r>
        <w:t>. Percentage error limits for polyphase meters carrying a single-phase load, but with balanced polyphase voltages applied to voltage circuits</w:t>
      </w:r>
    </w:p>
    <w:tbl>
      <w:tblPr>
        <w:tblW w:w="5000" w:type="pct"/>
        <w:jc w:val="center"/>
        <w:tblLook w:val="0000" w:firstRow="0" w:lastRow="0" w:firstColumn="0" w:lastColumn="0" w:noHBand="0" w:noVBand="0"/>
      </w:tblPr>
      <w:tblGrid>
        <w:gridCol w:w="1434"/>
        <w:gridCol w:w="2013"/>
        <w:gridCol w:w="1725"/>
        <w:gridCol w:w="1141"/>
        <w:gridCol w:w="1141"/>
        <w:gridCol w:w="1141"/>
        <w:gridCol w:w="1141"/>
      </w:tblGrid>
      <w:tr w:rsidR="0079225E" w:rsidRPr="0079225E" w14:paraId="6EC72F3D" w14:textId="77777777" w:rsidTr="00B43AE5">
        <w:trPr>
          <w:trHeight w:val="300"/>
          <w:jc w:val="center"/>
        </w:trPr>
        <w:tc>
          <w:tcPr>
            <w:tcW w:w="736" w:type="pct"/>
            <w:vMerge w:val="restart"/>
            <w:tcBorders>
              <w:top w:val="single" w:sz="6" w:space="0" w:color="000000"/>
              <w:left w:val="single" w:sz="6" w:space="0" w:color="000000"/>
              <w:right w:val="single" w:sz="6" w:space="0" w:color="000000"/>
            </w:tcBorders>
            <w:shd w:val="clear" w:color="auto" w:fill="F0DCDC"/>
            <w:noWrap/>
            <w:vAlign w:val="center"/>
          </w:tcPr>
          <w:p w14:paraId="78E349C0" w14:textId="77777777" w:rsidR="0079225E" w:rsidRPr="0079225E" w:rsidRDefault="0079225E" w:rsidP="0079225E">
            <w:pPr>
              <w:pStyle w:val="TableText"/>
              <w:keepNext/>
            </w:pPr>
            <w:r w:rsidRPr="0079225E">
              <w:t>Meter type</w:t>
            </w:r>
          </w:p>
        </w:tc>
        <w:tc>
          <w:tcPr>
            <w:tcW w:w="1034" w:type="pct"/>
            <w:vMerge w:val="restart"/>
            <w:tcBorders>
              <w:top w:val="single" w:sz="6" w:space="0" w:color="000000"/>
              <w:left w:val="single" w:sz="6" w:space="0" w:color="000000"/>
              <w:right w:val="single" w:sz="6" w:space="0" w:color="000000"/>
            </w:tcBorders>
            <w:shd w:val="clear" w:color="auto" w:fill="F0DCDC"/>
            <w:vAlign w:val="center"/>
          </w:tcPr>
          <w:p w14:paraId="42913A52" w14:textId="77777777" w:rsidR="0079225E" w:rsidRPr="0079225E" w:rsidRDefault="0079225E" w:rsidP="0079225E">
            <w:pPr>
              <w:pStyle w:val="TableText"/>
              <w:keepNext/>
            </w:pPr>
            <w:r w:rsidRPr="0079225E">
              <w:t>Range for test current</w:t>
            </w:r>
          </w:p>
        </w:tc>
        <w:tc>
          <w:tcPr>
            <w:tcW w:w="886" w:type="pct"/>
            <w:vMerge w:val="restart"/>
            <w:tcBorders>
              <w:top w:val="single" w:sz="6" w:space="0" w:color="000000"/>
              <w:left w:val="single" w:sz="6" w:space="0" w:color="000000"/>
              <w:right w:val="single" w:sz="6" w:space="0" w:color="000000"/>
            </w:tcBorders>
            <w:shd w:val="clear" w:color="auto" w:fill="F0DCDC"/>
            <w:vAlign w:val="center"/>
          </w:tcPr>
          <w:p w14:paraId="58772119" w14:textId="77777777" w:rsidR="0079225E" w:rsidRPr="0079225E" w:rsidRDefault="0079225E" w:rsidP="0079225E">
            <w:pPr>
              <w:pStyle w:val="TableText"/>
              <w:keepNext/>
            </w:pPr>
            <w:r w:rsidRPr="0079225E">
              <w:t>Power factor</w:t>
            </w:r>
          </w:p>
        </w:tc>
        <w:tc>
          <w:tcPr>
            <w:tcW w:w="2345" w:type="pct"/>
            <w:gridSpan w:val="4"/>
            <w:tcBorders>
              <w:top w:val="single" w:sz="6" w:space="0" w:color="000000"/>
              <w:left w:val="single" w:sz="6" w:space="0" w:color="000000"/>
              <w:right w:val="single" w:sz="6" w:space="0" w:color="000000"/>
            </w:tcBorders>
            <w:shd w:val="clear" w:color="auto" w:fill="F0DCDC"/>
          </w:tcPr>
          <w:p w14:paraId="6D3D9698" w14:textId="77777777" w:rsidR="0079225E" w:rsidRPr="0079225E" w:rsidRDefault="0079225E" w:rsidP="0079225E">
            <w:pPr>
              <w:pStyle w:val="TableText"/>
              <w:keepNext/>
            </w:pPr>
            <w:r w:rsidRPr="0079225E">
              <w:t>Percentage error limits for meters of class1</w:t>
            </w:r>
          </w:p>
        </w:tc>
      </w:tr>
      <w:tr w:rsidR="0079225E" w:rsidRPr="0079225E" w14:paraId="0D374645" w14:textId="77777777" w:rsidTr="00B43AE5">
        <w:trPr>
          <w:trHeight w:val="300"/>
          <w:jc w:val="center"/>
        </w:trPr>
        <w:tc>
          <w:tcPr>
            <w:tcW w:w="736" w:type="pct"/>
            <w:vMerge/>
            <w:tcBorders>
              <w:left w:val="single" w:sz="6" w:space="0" w:color="000000"/>
              <w:bottom w:val="single" w:sz="6" w:space="0" w:color="000000"/>
              <w:right w:val="single" w:sz="6" w:space="0" w:color="000000"/>
            </w:tcBorders>
            <w:shd w:val="clear" w:color="auto" w:fill="F0DCDC"/>
          </w:tcPr>
          <w:p w14:paraId="6A6C3842" w14:textId="77777777" w:rsidR="0079225E" w:rsidRPr="0079225E" w:rsidRDefault="0079225E" w:rsidP="0079225E">
            <w:pPr>
              <w:pStyle w:val="TableText"/>
              <w:keepNext/>
            </w:pPr>
          </w:p>
        </w:tc>
        <w:tc>
          <w:tcPr>
            <w:tcW w:w="1034" w:type="pct"/>
            <w:vMerge/>
            <w:tcBorders>
              <w:left w:val="single" w:sz="6" w:space="0" w:color="000000"/>
              <w:bottom w:val="single" w:sz="6" w:space="0" w:color="000000"/>
              <w:right w:val="single" w:sz="6" w:space="0" w:color="000000"/>
            </w:tcBorders>
            <w:shd w:val="clear" w:color="auto" w:fill="F0DCDC"/>
            <w:vAlign w:val="center"/>
          </w:tcPr>
          <w:p w14:paraId="54B73AFB" w14:textId="77777777" w:rsidR="0079225E" w:rsidRPr="0079225E" w:rsidRDefault="0079225E" w:rsidP="0079225E">
            <w:pPr>
              <w:pStyle w:val="TableText"/>
              <w:keepNext/>
            </w:pPr>
          </w:p>
        </w:tc>
        <w:tc>
          <w:tcPr>
            <w:tcW w:w="886" w:type="pct"/>
            <w:vMerge/>
            <w:tcBorders>
              <w:left w:val="single" w:sz="6" w:space="0" w:color="000000"/>
              <w:bottom w:val="single" w:sz="6" w:space="0" w:color="000000"/>
              <w:right w:val="single" w:sz="6" w:space="0" w:color="000000"/>
            </w:tcBorders>
            <w:shd w:val="clear" w:color="auto" w:fill="F0DCDC"/>
            <w:vAlign w:val="center"/>
          </w:tcPr>
          <w:p w14:paraId="145E8474" w14:textId="77777777" w:rsidR="0079225E" w:rsidRPr="0079225E" w:rsidRDefault="0079225E" w:rsidP="0079225E">
            <w:pPr>
              <w:pStyle w:val="TableText"/>
              <w:keepNext/>
            </w:pP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090C24BE" w14:textId="77777777" w:rsidR="0079225E" w:rsidRPr="0079225E" w:rsidRDefault="0079225E" w:rsidP="0079225E">
            <w:pPr>
              <w:pStyle w:val="TableText"/>
              <w:keepNext/>
            </w:pPr>
            <w:r w:rsidRPr="0079225E">
              <w:t>0.2</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31EA5541" w14:textId="77777777" w:rsidR="0079225E" w:rsidRPr="0079225E" w:rsidRDefault="0079225E" w:rsidP="0079225E">
            <w:pPr>
              <w:pStyle w:val="TableText"/>
              <w:keepNext/>
            </w:pPr>
            <w:r w:rsidRPr="0079225E">
              <w:t>0.5</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05D57C5A" w14:textId="77777777" w:rsidR="0079225E" w:rsidRPr="0079225E" w:rsidRDefault="0079225E" w:rsidP="0079225E">
            <w:pPr>
              <w:pStyle w:val="TableText"/>
              <w:keepNext/>
            </w:pPr>
            <w:r w:rsidRPr="0079225E">
              <w:t>1</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6A104516" w14:textId="77777777" w:rsidR="0079225E" w:rsidRPr="0079225E" w:rsidRDefault="0079225E" w:rsidP="0079225E">
            <w:pPr>
              <w:pStyle w:val="TableText"/>
              <w:keepNext/>
            </w:pPr>
            <w:r w:rsidRPr="0079225E">
              <w:t>1.5</w:t>
            </w:r>
          </w:p>
        </w:tc>
      </w:tr>
      <w:tr w:rsidR="0079225E" w:rsidRPr="0079225E" w14:paraId="49D5E2BC" w14:textId="77777777" w:rsidTr="0079225E">
        <w:trPr>
          <w:jc w:val="center"/>
        </w:trPr>
        <w:tc>
          <w:tcPr>
            <w:tcW w:w="736" w:type="pct"/>
            <w:vMerge w:val="restart"/>
            <w:tcBorders>
              <w:top w:val="single" w:sz="6" w:space="0" w:color="000000"/>
              <w:left w:val="single" w:sz="6" w:space="0" w:color="000000"/>
              <w:right w:val="single" w:sz="6" w:space="0" w:color="000000"/>
            </w:tcBorders>
            <w:vAlign w:val="center"/>
          </w:tcPr>
          <w:p w14:paraId="1C8F8069" w14:textId="77777777" w:rsidR="0079225E" w:rsidRPr="0079225E" w:rsidRDefault="0079225E" w:rsidP="0079225E">
            <w:pPr>
              <w:pStyle w:val="TableText"/>
              <w:keepNext/>
            </w:pPr>
            <w:r w:rsidRPr="0079225E">
              <w:t>Direct-connected</w:t>
            </w:r>
          </w:p>
        </w:tc>
        <w:tc>
          <w:tcPr>
            <w:tcW w:w="1034" w:type="pct"/>
            <w:tcBorders>
              <w:top w:val="single" w:sz="6" w:space="0" w:color="000000"/>
              <w:left w:val="single" w:sz="6" w:space="0" w:color="000000"/>
              <w:bottom w:val="single" w:sz="6" w:space="0" w:color="000000"/>
              <w:right w:val="single" w:sz="6" w:space="0" w:color="000000"/>
            </w:tcBorders>
            <w:vAlign w:val="center"/>
          </w:tcPr>
          <w:p w14:paraId="483E1097"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100F3F89" w14:textId="77777777" w:rsidR="0079225E" w:rsidRPr="008A52F7" w:rsidRDefault="0079225E" w:rsidP="0079225E">
            <w:pPr>
              <w:pStyle w:val="TableText"/>
              <w:keepNext/>
              <w:rPr>
                <w:rFonts w:ascii="Cambria Math" w:hAnsi="Cambria Math"/>
              </w:rPr>
            </w:pPr>
            <w:r w:rsidRPr="008A52F7">
              <w:rPr>
                <w:rFonts w:ascii="Cambria Math" w:hAnsi="Cambria Math"/>
              </w:rPr>
              <w:t>1</w:t>
            </w:r>
          </w:p>
        </w:tc>
        <w:tc>
          <w:tcPr>
            <w:tcW w:w="586" w:type="pct"/>
            <w:tcBorders>
              <w:top w:val="single" w:sz="6" w:space="0" w:color="000000"/>
              <w:left w:val="single" w:sz="6" w:space="0" w:color="000000"/>
              <w:bottom w:val="single" w:sz="6" w:space="0" w:color="000000"/>
              <w:right w:val="single" w:sz="6" w:space="0" w:color="000000"/>
            </w:tcBorders>
            <w:vAlign w:val="center"/>
          </w:tcPr>
          <w:p w14:paraId="3405139B"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41CDFAEC"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162012DE"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67808E09" w14:textId="77777777" w:rsidR="0079225E" w:rsidRPr="008A52F7" w:rsidRDefault="0079225E" w:rsidP="0079225E">
            <w:pPr>
              <w:pStyle w:val="TableText"/>
              <w:keepNext/>
              <w:rPr>
                <w:rFonts w:ascii="Cambria Math" w:hAnsi="Cambria Math"/>
              </w:rPr>
            </w:pPr>
            <w:r w:rsidRPr="008A52F7">
              <w:rPr>
                <w:rFonts w:ascii="Cambria Math" w:hAnsi="Cambria Math"/>
              </w:rPr>
              <w:t>±2.5</w:t>
            </w:r>
          </w:p>
        </w:tc>
      </w:tr>
      <w:tr w:rsidR="0079225E" w:rsidRPr="0079225E" w14:paraId="1A04DDE5" w14:textId="77777777" w:rsidTr="0079225E">
        <w:trPr>
          <w:jc w:val="center"/>
        </w:trPr>
        <w:tc>
          <w:tcPr>
            <w:tcW w:w="736" w:type="pct"/>
            <w:vMerge/>
            <w:tcBorders>
              <w:left w:val="single" w:sz="6" w:space="0" w:color="000000"/>
              <w:bottom w:val="single" w:sz="6" w:space="0" w:color="000000"/>
              <w:right w:val="single" w:sz="6" w:space="0" w:color="000000"/>
            </w:tcBorders>
            <w:vAlign w:val="center"/>
          </w:tcPr>
          <w:p w14:paraId="2D681C9E" w14:textId="77777777" w:rsidR="0079225E" w:rsidRPr="0079225E" w:rsidRDefault="0079225E" w:rsidP="0079225E">
            <w:pPr>
              <w:pStyle w:val="TableText"/>
              <w:keepNext/>
            </w:pPr>
          </w:p>
        </w:tc>
        <w:tc>
          <w:tcPr>
            <w:tcW w:w="1034" w:type="pct"/>
            <w:tcBorders>
              <w:top w:val="single" w:sz="6" w:space="0" w:color="000000"/>
              <w:left w:val="single" w:sz="6" w:space="0" w:color="000000"/>
              <w:bottom w:val="single" w:sz="6" w:space="0" w:color="000000"/>
              <w:right w:val="single" w:sz="6" w:space="0" w:color="000000"/>
            </w:tcBorders>
            <w:vAlign w:val="center"/>
          </w:tcPr>
          <w:p w14:paraId="0E1E9678"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0.2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467F2E7E" w14:textId="77777777" w:rsidR="0079225E" w:rsidRPr="008A52F7" w:rsidRDefault="0079225E" w:rsidP="0079225E">
            <w:pPr>
              <w:pStyle w:val="TableText"/>
              <w:keepNext/>
              <w:rPr>
                <w:rFonts w:ascii="Cambria Math" w:hAnsi="Cambria Math"/>
              </w:rPr>
            </w:pPr>
            <w:r w:rsidRPr="008A52F7">
              <w:rPr>
                <w:rFonts w:ascii="Cambria Math" w:hAnsi="Cambria Math"/>
              </w:rPr>
              <w:t>0.5 inductive</w:t>
            </w:r>
          </w:p>
        </w:tc>
        <w:tc>
          <w:tcPr>
            <w:tcW w:w="586" w:type="pct"/>
            <w:tcBorders>
              <w:top w:val="single" w:sz="6" w:space="0" w:color="000000"/>
              <w:left w:val="single" w:sz="6" w:space="0" w:color="000000"/>
              <w:bottom w:val="single" w:sz="6" w:space="0" w:color="000000"/>
              <w:right w:val="single" w:sz="6" w:space="0" w:color="000000"/>
            </w:tcBorders>
            <w:vAlign w:val="center"/>
          </w:tcPr>
          <w:p w14:paraId="18277AC2"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3D9D15EE"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4E5F20CE"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327A5468" w14:textId="77777777" w:rsidR="0079225E" w:rsidRPr="008A52F7" w:rsidRDefault="0079225E" w:rsidP="0079225E">
            <w:pPr>
              <w:pStyle w:val="TableText"/>
              <w:keepNext/>
              <w:rPr>
                <w:rFonts w:ascii="Cambria Math" w:hAnsi="Cambria Math"/>
              </w:rPr>
            </w:pPr>
            <w:r w:rsidRPr="008A52F7">
              <w:rPr>
                <w:rFonts w:ascii="Cambria Math" w:hAnsi="Cambria Math"/>
              </w:rPr>
              <w:t>±2.5</w:t>
            </w:r>
          </w:p>
        </w:tc>
      </w:tr>
      <w:tr w:rsidR="0079225E" w:rsidRPr="0079225E" w14:paraId="52C0D20D" w14:textId="77777777" w:rsidTr="0079225E">
        <w:trPr>
          <w:jc w:val="center"/>
        </w:trPr>
        <w:tc>
          <w:tcPr>
            <w:tcW w:w="736" w:type="pct"/>
            <w:vMerge w:val="restart"/>
            <w:tcBorders>
              <w:top w:val="single" w:sz="6" w:space="0" w:color="000000"/>
              <w:left w:val="single" w:sz="6" w:space="0" w:color="000000"/>
              <w:right w:val="single" w:sz="6" w:space="0" w:color="000000"/>
            </w:tcBorders>
            <w:vAlign w:val="center"/>
          </w:tcPr>
          <w:p w14:paraId="47C151F0" w14:textId="77777777" w:rsidR="0079225E" w:rsidRPr="0079225E" w:rsidRDefault="0079225E" w:rsidP="0079225E">
            <w:pPr>
              <w:pStyle w:val="TableText"/>
              <w:keepNext/>
            </w:pPr>
            <w:r w:rsidRPr="0079225E">
              <w:t>Transformer-operated</w:t>
            </w:r>
          </w:p>
        </w:tc>
        <w:tc>
          <w:tcPr>
            <w:tcW w:w="1034" w:type="pct"/>
            <w:tcBorders>
              <w:top w:val="single" w:sz="6" w:space="0" w:color="000000"/>
              <w:left w:val="single" w:sz="6" w:space="0" w:color="000000"/>
              <w:bottom w:val="single" w:sz="6" w:space="0" w:color="000000"/>
              <w:right w:val="single" w:sz="6" w:space="0" w:color="000000"/>
            </w:tcBorders>
            <w:vAlign w:val="center"/>
          </w:tcPr>
          <w:p w14:paraId="5E71436B"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3A345AE7" w14:textId="77777777" w:rsidR="0079225E" w:rsidRPr="008A52F7" w:rsidRDefault="0079225E" w:rsidP="0079225E">
            <w:pPr>
              <w:pStyle w:val="TableText"/>
              <w:keepNext/>
              <w:rPr>
                <w:rFonts w:ascii="Cambria Math" w:hAnsi="Cambria Math"/>
              </w:rPr>
            </w:pPr>
            <w:r w:rsidRPr="008A52F7">
              <w:rPr>
                <w:rFonts w:ascii="Cambria Math" w:hAnsi="Cambria Math"/>
              </w:rPr>
              <w:t>1</w:t>
            </w:r>
          </w:p>
        </w:tc>
        <w:tc>
          <w:tcPr>
            <w:tcW w:w="586" w:type="pct"/>
            <w:tcBorders>
              <w:top w:val="single" w:sz="6" w:space="0" w:color="000000"/>
              <w:left w:val="single" w:sz="6" w:space="0" w:color="000000"/>
              <w:bottom w:val="single" w:sz="6" w:space="0" w:color="000000"/>
              <w:right w:val="single" w:sz="6" w:space="0" w:color="000000"/>
            </w:tcBorders>
            <w:vAlign w:val="center"/>
          </w:tcPr>
          <w:p w14:paraId="05903380" w14:textId="77777777" w:rsidR="0079225E" w:rsidRPr="008A52F7" w:rsidRDefault="0079225E" w:rsidP="0079225E">
            <w:pPr>
              <w:pStyle w:val="TableText"/>
              <w:keepNext/>
              <w:rPr>
                <w:rFonts w:ascii="Cambria Math" w:hAnsi="Cambria Math"/>
              </w:rPr>
            </w:pPr>
            <w:r w:rsidRPr="008A52F7">
              <w:rPr>
                <w:rFonts w:ascii="Cambria Math" w:hAnsi="Cambria Math"/>
              </w:rPr>
              <w:t>±0.3</w:t>
            </w:r>
          </w:p>
        </w:tc>
        <w:tc>
          <w:tcPr>
            <w:tcW w:w="586" w:type="pct"/>
            <w:tcBorders>
              <w:top w:val="single" w:sz="6" w:space="0" w:color="000000"/>
              <w:left w:val="single" w:sz="6" w:space="0" w:color="000000"/>
              <w:bottom w:val="single" w:sz="6" w:space="0" w:color="000000"/>
              <w:right w:val="single" w:sz="6" w:space="0" w:color="000000"/>
            </w:tcBorders>
            <w:vAlign w:val="center"/>
          </w:tcPr>
          <w:p w14:paraId="08147857" w14:textId="77777777" w:rsidR="0079225E" w:rsidRPr="008A52F7" w:rsidRDefault="0079225E" w:rsidP="0079225E">
            <w:pPr>
              <w:pStyle w:val="TableText"/>
              <w:keepNext/>
              <w:rPr>
                <w:rFonts w:ascii="Cambria Math" w:hAnsi="Cambria Math"/>
              </w:rPr>
            </w:pPr>
            <w:r w:rsidRPr="008A52F7">
              <w:rPr>
                <w:rFonts w:ascii="Cambria Math" w:hAnsi="Cambria Math"/>
              </w:rPr>
              <w:t>±0.6</w:t>
            </w:r>
          </w:p>
        </w:tc>
        <w:tc>
          <w:tcPr>
            <w:tcW w:w="586" w:type="pct"/>
            <w:tcBorders>
              <w:top w:val="single" w:sz="6" w:space="0" w:color="000000"/>
              <w:left w:val="single" w:sz="6" w:space="0" w:color="000000"/>
              <w:bottom w:val="single" w:sz="6" w:space="0" w:color="000000"/>
              <w:right w:val="single" w:sz="6" w:space="0" w:color="000000"/>
            </w:tcBorders>
            <w:vAlign w:val="center"/>
          </w:tcPr>
          <w:p w14:paraId="145955FC"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424456C0" w14:textId="77777777" w:rsidR="0079225E" w:rsidRPr="008A52F7" w:rsidRDefault="0079225E" w:rsidP="0079225E">
            <w:pPr>
              <w:pStyle w:val="TableText"/>
              <w:keepNext/>
              <w:rPr>
                <w:rFonts w:ascii="Cambria Math" w:hAnsi="Cambria Math"/>
              </w:rPr>
            </w:pPr>
            <w:r w:rsidRPr="008A52F7">
              <w:rPr>
                <w:rFonts w:ascii="Cambria Math" w:hAnsi="Cambria Math"/>
              </w:rPr>
              <w:t>—</w:t>
            </w:r>
          </w:p>
        </w:tc>
      </w:tr>
      <w:tr w:rsidR="0079225E" w:rsidRPr="0079225E" w14:paraId="5EEA6286" w14:textId="77777777" w:rsidTr="0079225E">
        <w:trPr>
          <w:jc w:val="center"/>
        </w:trPr>
        <w:tc>
          <w:tcPr>
            <w:tcW w:w="736" w:type="pct"/>
            <w:vMerge/>
            <w:tcBorders>
              <w:left w:val="single" w:sz="6" w:space="0" w:color="000000"/>
              <w:bottom w:val="single" w:sz="6" w:space="0" w:color="000000"/>
              <w:right w:val="single" w:sz="6" w:space="0" w:color="000000"/>
            </w:tcBorders>
          </w:tcPr>
          <w:p w14:paraId="4A470F71" w14:textId="77777777" w:rsidR="0079225E" w:rsidRPr="0079225E" w:rsidRDefault="0079225E" w:rsidP="0079225E">
            <w:pPr>
              <w:pStyle w:val="TableText"/>
              <w:keepNext/>
            </w:pPr>
          </w:p>
        </w:tc>
        <w:tc>
          <w:tcPr>
            <w:tcW w:w="1034" w:type="pct"/>
            <w:tcBorders>
              <w:top w:val="single" w:sz="6" w:space="0" w:color="000000"/>
              <w:left w:val="single" w:sz="6" w:space="0" w:color="000000"/>
              <w:bottom w:val="single" w:sz="6" w:space="0" w:color="000000"/>
              <w:right w:val="single" w:sz="6" w:space="0" w:color="000000"/>
            </w:tcBorders>
            <w:vAlign w:val="center"/>
          </w:tcPr>
          <w:p w14:paraId="23285046"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5C9C4852" w14:textId="77777777" w:rsidR="0079225E" w:rsidRPr="008A52F7" w:rsidRDefault="0079225E" w:rsidP="0079225E">
            <w:pPr>
              <w:pStyle w:val="TableText"/>
              <w:keepNext/>
              <w:rPr>
                <w:rFonts w:ascii="Cambria Math" w:hAnsi="Cambria Math"/>
              </w:rPr>
            </w:pPr>
            <w:r w:rsidRPr="008A52F7">
              <w:rPr>
                <w:rFonts w:ascii="Cambria Math" w:hAnsi="Cambria Math"/>
              </w:rPr>
              <w:t>0.5 inductive</w:t>
            </w:r>
          </w:p>
        </w:tc>
        <w:tc>
          <w:tcPr>
            <w:tcW w:w="586" w:type="pct"/>
            <w:tcBorders>
              <w:top w:val="single" w:sz="6" w:space="0" w:color="000000"/>
              <w:left w:val="single" w:sz="6" w:space="0" w:color="000000"/>
              <w:bottom w:val="single" w:sz="6" w:space="0" w:color="000000"/>
              <w:right w:val="single" w:sz="6" w:space="0" w:color="000000"/>
            </w:tcBorders>
            <w:vAlign w:val="center"/>
          </w:tcPr>
          <w:p w14:paraId="728F6926" w14:textId="77777777" w:rsidR="0079225E" w:rsidRPr="008A52F7" w:rsidRDefault="0079225E" w:rsidP="0079225E">
            <w:pPr>
              <w:pStyle w:val="TableText"/>
              <w:keepNext/>
              <w:rPr>
                <w:rFonts w:ascii="Cambria Math" w:hAnsi="Cambria Math"/>
              </w:rPr>
            </w:pPr>
            <w:r w:rsidRPr="008A52F7">
              <w:rPr>
                <w:rFonts w:ascii="Cambria Math" w:hAnsi="Cambria Math"/>
              </w:rPr>
              <w:t>±0.4</w:t>
            </w:r>
          </w:p>
        </w:tc>
        <w:tc>
          <w:tcPr>
            <w:tcW w:w="586" w:type="pct"/>
            <w:tcBorders>
              <w:top w:val="single" w:sz="6" w:space="0" w:color="000000"/>
              <w:left w:val="single" w:sz="6" w:space="0" w:color="000000"/>
              <w:bottom w:val="single" w:sz="6" w:space="0" w:color="000000"/>
              <w:right w:val="single" w:sz="6" w:space="0" w:color="000000"/>
            </w:tcBorders>
            <w:vAlign w:val="center"/>
          </w:tcPr>
          <w:p w14:paraId="02C1BE36" w14:textId="77777777" w:rsidR="0079225E" w:rsidRPr="008A52F7" w:rsidRDefault="0079225E" w:rsidP="0079225E">
            <w:pPr>
              <w:pStyle w:val="TableText"/>
              <w:keepNext/>
              <w:rPr>
                <w:rFonts w:ascii="Cambria Math" w:hAnsi="Cambria Math"/>
              </w:rPr>
            </w:pPr>
            <w:r w:rsidRPr="008A52F7">
              <w:rPr>
                <w:rFonts w:ascii="Cambria Math" w:hAnsi="Cambria Math"/>
              </w:rPr>
              <w:t>±1.0</w:t>
            </w:r>
          </w:p>
        </w:tc>
        <w:tc>
          <w:tcPr>
            <w:tcW w:w="586" w:type="pct"/>
            <w:tcBorders>
              <w:top w:val="single" w:sz="6" w:space="0" w:color="000000"/>
              <w:left w:val="single" w:sz="6" w:space="0" w:color="000000"/>
              <w:bottom w:val="single" w:sz="6" w:space="0" w:color="000000"/>
              <w:right w:val="single" w:sz="6" w:space="0" w:color="000000"/>
            </w:tcBorders>
            <w:vAlign w:val="center"/>
          </w:tcPr>
          <w:p w14:paraId="5DAAC434"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7B35EDA2" w14:textId="77777777" w:rsidR="0079225E" w:rsidRPr="008A52F7" w:rsidRDefault="0079225E" w:rsidP="0079225E">
            <w:pPr>
              <w:pStyle w:val="TableText"/>
              <w:keepNext/>
              <w:rPr>
                <w:rFonts w:ascii="Cambria Math" w:hAnsi="Cambria Math"/>
              </w:rPr>
            </w:pPr>
            <w:r w:rsidRPr="008A52F7">
              <w:rPr>
                <w:rFonts w:ascii="Cambria Math" w:hAnsi="Cambria Math"/>
              </w:rPr>
              <w:t>—</w:t>
            </w:r>
          </w:p>
        </w:tc>
      </w:tr>
    </w:tbl>
    <w:p w14:paraId="60D2A67D" w14:textId="77777777" w:rsidR="0079225E" w:rsidRDefault="0079225E" w:rsidP="0079225E">
      <w:pPr>
        <w:pStyle w:val="Note"/>
      </w:pPr>
      <w:r w:rsidRPr="0079225E">
        <w:t>Note 1:</w:t>
      </w:r>
      <w:r w:rsidRPr="0079225E">
        <w:tab/>
        <w:t>Requirements based on AS 1284.1 [5], AS 62053.21 [7] and AS 62053.22 [8]</w:t>
      </w:r>
    </w:p>
    <w:p w14:paraId="0C49F443" w14:textId="77777777" w:rsidR="003142C0" w:rsidRDefault="003142C0" w:rsidP="003142C0">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4</w:t>
      </w:r>
      <w:r w:rsidR="00F23ADF">
        <w:rPr>
          <w:noProof/>
        </w:rPr>
        <w:fldChar w:fldCharType="end"/>
      </w:r>
      <w:r>
        <w:t xml:space="preserve">. </w:t>
      </w:r>
      <w:r w:rsidRPr="004D23A4">
        <w:rPr>
          <w:bCs w:val="0"/>
        </w:rPr>
        <w:t>Influence factors (I) and disturbances (D)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533"/>
        <w:gridCol w:w="1348"/>
        <w:gridCol w:w="770"/>
        <w:gridCol w:w="1734"/>
        <w:gridCol w:w="1027"/>
        <w:gridCol w:w="602"/>
        <w:gridCol w:w="604"/>
        <w:gridCol w:w="604"/>
        <w:gridCol w:w="520"/>
      </w:tblGrid>
      <w:tr w:rsidR="003142C0" w:rsidRPr="007B78B3" w14:paraId="1806E734" w14:textId="77777777" w:rsidTr="00B43AE5">
        <w:trPr>
          <w:cantSplit/>
        </w:trPr>
        <w:tc>
          <w:tcPr>
            <w:tcW w:w="1300" w:type="pct"/>
            <w:vMerge w:val="restart"/>
            <w:tcBorders>
              <w:top w:val="single" w:sz="4" w:space="0" w:color="auto"/>
              <w:left w:val="single" w:sz="4" w:space="0" w:color="auto"/>
            </w:tcBorders>
            <w:shd w:val="clear" w:color="auto" w:fill="F0DCDC"/>
            <w:tcMar>
              <w:left w:w="28" w:type="dxa"/>
              <w:right w:w="28" w:type="dxa"/>
            </w:tcMar>
            <w:vAlign w:val="center"/>
          </w:tcPr>
          <w:p w14:paraId="0C2C6291" w14:textId="77777777" w:rsidR="003142C0" w:rsidRPr="007B78B3" w:rsidRDefault="003142C0" w:rsidP="003142C0">
            <w:pPr>
              <w:pStyle w:val="TableText"/>
              <w:keepNext/>
            </w:pPr>
            <w:r w:rsidRPr="007B78B3">
              <w:t>Influence factors and disturbances</w:t>
            </w:r>
          </w:p>
        </w:tc>
        <w:tc>
          <w:tcPr>
            <w:tcW w:w="692" w:type="pct"/>
            <w:vMerge w:val="restart"/>
            <w:tcBorders>
              <w:top w:val="single" w:sz="4" w:space="0" w:color="auto"/>
              <w:bottom w:val="single" w:sz="4" w:space="0" w:color="auto"/>
            </w:tcBorders>
            <w:shd w:val="clear" w:color="auto" w:fill="F0DCDC"/>
            <w:vAlign w:val="center"/>
          </w:tcPr>
          <w:p w14:paraId="1DCE1F4F" w14:textId="77777777" w:rsidR="003142C0" w:rsidRPr="007B78B3" w:rsidRDefault="003142C0" w:rsidP="003142C0">
            <w:pPr>
              <w:pStyle w:val="TableText"/>
              <w:keepNext/>
            </w:pPr>
            <w:r w:rsidRPr="007B78B3">
              <w:t>Test clause or reference</w:t>
            </w:r>
          </w:p>
        </w:tc>
        <w:tc>
          <w:tcPr>
            <w:tcW w:w="395" w:type="pct"/>
            <w:vMerge w:val="restart"/>
            <w:tcBorders>
              <w:top w:val="single" w:sz="4" w:space="0" w:color="auto"/>
            </w:tcBorders>
            <w:shd w:val="clear" w:color="auto" w:fill="F0DCDC"/>
            <w:vAlign w:val="center"/>
          </w:tcPr>
          <w:p w14:paraId="0793C9E2" w14:textId="77777777" w:rsidR="003142C0" w:rsidRPr="007B78B3" w:rsidRDefault="003142C0" w:rsidP="003142C0">
            <w:pPr>
              <w:pStyle w:val="TableText"/>
              <w:keepNext/>
            </w:pPr>
            <w:r w:rsidRPr="007B78B3">
              <w:t>I/D</w:t>
            </w:r>
          </w:p>
        </w:tc>
        <w:tc>
          <w:tcPr>
            <w:tcW w:w="890" w:type="pct"/>
            <w:vMerge w:val="restart"/>
            <w:tcBorders>
              <w:top w:val="single" w:sz="4" w:space="0" w:color="auto"/>
            </w:tcBorders>
            <w:shd w:val="clear" w:color="auto" w:fill="F0DCDC"/>
            <w:vAlign w:val="center"/>
          </w:tcPr>
          <w:p w14:paraId="4BB48EB6" w14:textId="77777777" w:rsidR="003142C0" w:rsidRPr="007B78B3" w:rsidRDefault="003142C0" w:rsidP="003142C0">
            <w:pPr>
              <w:pStyle w:val="TableText"/>
              <w:keepNext/>
            </w:pPr>
            <w:r w:rsidRPr="007B78B3">
              <w:t>Range for test current (balanced load)</w:t>
            </w:r>
          </w:p>
        </w:tc>
        <w:tc>
          <w:tcPr>
            <w:tcW w:w="527" w:type="pct"/>
            <w:vMerge w:val="restart"/>
            <w:tcBorders>
              <w:top w:val="single" w:sz="4" w:space="0" w:color="auto"/>
            </w:tcBorders>
            <w:shd w:val="clear" w:color="auto" w:fill="F0DCDC"/>
            <w:vAlign w:val="center"/>
          </w:tcPr>
          <w:p w14:paraId="68D3AB04" w14:textId="77777777" w:rsidR="003142C0" w:rsidRPr="007B78B3" w:rsidRDefault="003142C0" w:rsidP="003142C0">
            <w:pPr>
              <w:pStyle w:val="TableText"/>
              <w:keepNext/>
            </w:pPr>
            <w:r w:rsidRPr="007B78B3">
              <w:t>Power factor</w:t>
            </w:r>
          </w:p>
        </w:tc>
        <w:tc>
          <w:tcPr>
            <w:tcW w:w="1197" w:type="pct"/>
            <w:gridSpan w:val="4"/>
            <w:tcBorders>
              <w:top w:val="single" w:sz="4" w:space="0" w:color="auto"/>
              <w:right w:val="single" w:sz="4" w:space="0" w:color="auto"/>
            </w:tcBorders>
            <w:shd w:val="clear" w:color="auto" w:fill="F0DCDC"/>
            <w:vAlign w:val="center"/>
          </w:tcPr>
          <w:p w14:paraId="1B549C8F" w14:textId="77777777" w:rsidR="003142C0" w:rsidRPr="007B78B3" w:rsidRDefault="003142C0" w:rsidP="003142C0">
            <w:pPr>
              <w:pStyle w:val="TableText"/>
              <w:keepNext/>
            </w:pPr>
            <w:r w:rsidRPr="007B78B3">
              <w:t>Limits of variation in percentage error for meters of class</w:t>
            </w:r>
          </w:p>
        </w:tc>
      </w:tr>
      <w:tr w:rsidR="003142C0" w:rsidRPr="007B78B3" w14:paraId="0C2AB7EF" w14:textId="77777777" w:rsidTr="00B43AE5">
        <w:trPr>
          <w:cantSplit/>
          <w:tblHeader/>
        </w:trPr>
        <w:tc>
          <w:tcPr>
            <w:tcW w:w="1300" w:type="pct"/>
            <w:vMerge/>
            <w:tcBorders>
              <w:left w:val="single" w:sz="4" w:space="0" w:color="auto"/>
              <w:bottom w:val="single" w:sz="4" w:space="0" w:color="auto"/>
            </w:tcBorders>
            <w:shd w:val="clear" w:color="auto" w:fill="F0DCDC"/>
            <w:tcMar>
              <w:left w:w="28" w:type="dxa"/>
              <w:right w:w="28" w:type="dxa"/>
            </w:tcMar>
            <w:vAlign w:val="center"/>
          </w:tcPr>
          <w:p w14:paraId="5BE073C8" w14:textId="77777777" w:rsidR="003142C0" w:rsidRPr="007B78B3" w:rsidRDefault="003142C0" w:rsidP="003142C0">
            <w:pPr>
              <w:pStyle w:val="TableText"/>
              <w:keepNext/>
            </w:pPr>
          </w:p>
        </w:tc>
        <w:tc>
          <w:tcPr>
            <w:tcW w:w="692" w:type="pct"/>
            <w:vMerge/>
            <w:tcBorders>
              <w:bottom w:val="single" w:sz="4" w:space="0" w:color="auto"/>
            </w:tcBorders>
            <w:shd w:val="clear" w:color="auto" w:fill="F0DCDC"/>
            <w:vAlign w:val="center"/>
          </w:tcPr>
          <w:p w14:paraId="4CC69AD8" w14:textId="77777777" w:rsidR="003142C0" w:rsidRPr="007B78B3" w:rsidRDefault="003142C0" w:rsidP="003142C0">
            <w:pPr>
              <w:pStyle w:val="TableText"/>
              <w:keepNext/>
            </w:pPr>
          </w:p>
        </w:tc>
        <w:tc>
          <w:tcPr>
            <w:tcW w:w="395" w:type="pct"/>
            <w:vMerge/>
            <w:tcBorders>
              <w:bottom w:val="single" w:sz="4" w:space="0" w:color="auto"/>
            </w:tcBorders>
            <w:shd w:val="clear" w:color="auto" w:fill="F0DCDC"/>
            <w:vAlign w:val="center"/>
          </w:tcPr>
          <w:p w14:paraId="7A2F2C7A" w14:textId="77777777" w:rsidR="003142C0" w:rsidRPr="007B78B3" w:rsidRDefault="003142C0" w:rsidP="003142C0">
            <w:pPr>
              <w:pStyle w:val="TableText"/>
              <w:keepNext/>
            </w:pPr>
          </w:p>
        </w:tc>
        <w:tc>
          <w:tcPr>
            <w:tcW w:w="890" w:type="pct"/>
            <w:vMerge/>
            <w:tcBorders>
              <w:bottom w:val="single" w:sz="4" w:space="0" w:color="auto"/>
            </w:tcBorders>
            <w:shd w:val="clear" w:color="auto" w:fill="F0DCDC"/>
            <w:vAlign w:val="center"/>
          </w:tcPr>
          <w:p w14:paraId="7ECA469E" w14:textId="77777777" w:rsidR="003142C0" w:rsidRPr="007B78B3" w:rsidRDefault="003142C0" w:rsidP="003142C0">
            <w:pPr>
              <w:pStyle w:val="TableText"/>
              <w:keepNext/>
            </w:pPr>
          </w:p>
        </w:tc>
        <w:tc>
          <w:tcPr>
            <w:tcW w:w="527" w:type="pct"/>
            <w:vMerge/>
            <w:tcBorders>
              <w:bottom w:val="single" w:sz="4" w:space="0" w:color="auto"/>
            </w:tcBorders>
            <w:shd w:val="clear" w:color="auto" w:fill="F0DCDC"/>
            <w:vAlign w:val="center"/>
          </w:tcPr>
          <w:p w14:paraId="310416CE" w14:textId="77777777" w:rsidR="003142C0" w:rsidRPr="007B78B3" w:rsidRDefault="003142C0" w:rsidP="003142C0">
            <w:pPr>
              <w:pStyle w:val="TableText"/>
              <w:keepNext/>
            </w:pPr>
          </w:p>
        </w:tc>
        <w:tc>
          <w:tcPr>
            <w:tcW w:w="309" w:type="pct"/>
            <w:tcBorders>
              <w:bottom w:val="single" w:sz="4" w:space="0" w:color="auto"/>
            </w:tcBorders>
            <w:shd w:val="clear" w:color="auto" w:fill="F0DCDC"/>
            <w:vAlign w:val="center"/>
          </w:tcPr>
          <w:p w14:paraId="04EBBCF9" w14:textId="77777777" w:rsidR="003142C0" w:rsidRPr="007B78B3" w:rsidRDefault="003142C0" w:rsidP="003142C0">
            <w:pPr>
              <w:pStyle w:val="TableText"/>
              <w:keepNext/>
            </w:pPr>
            <w:r w:rsidRPr="007B78B3">
              <w:t>0.2</w:t>
            </w:r>
          </w:p>
        </w:tc>
        <w:tc>
          <w:tcPr>
            <w:tcW w:w="310" w:type="pct"/>
            <w:tcBorders>
              <w:bottom w:val="single" w:sz="4" w:space="0" w:color="auto"/>
            </w:tcBorders>
            <w:shd w:val="clear" w:color="auto" w:fill="F0DCDC"/>
            <w:vAlign w:val="center"/>
          </w:tcPr>
          <w:p w14:paraId="62BD51A8" w14:textId="77777777" w:rsidR="003142C0" w:rsidRPr="007B78B3" w:rsidRDefault="003142C0" w:rsidP="003142C0">
            <w:pPr>
              <w:pStyle w:val="TableText"/>
              <w:keepNext/>
            </w:pPr>
            <w:r w:rsidRPr="007B78B3">
              <w:t>0.5</w:t>
            </w:r>
          </w:p>
        </w:tc>
        <w:tc>
          <w:tcPr>
            <w:tcW w:w="310" w:type="pct"/>
            <w:tcBorders>
              <w:bottom w:val="single" w:sz="4" w:space="0" w:color="auto"/>
            </w:tcBorders>
            <w:shd w:val="clear" w:color="auto" w:fill="F0DCDC"/>
            <w:vAlign w:val="center"/>
          </w:tcPr>
          <w:p w14:paraId="13F27286" w14:textId="77777777" w:rsidR="003142C0" w:rsidRPr="007B78B3" w:rsidRDefault="003142C0" w:rsidP="003142C0">
            <w:pPr>
              <w:pStyle w:val="TableText"/>
              <w:keepNext/>
            </w:pPr>
            <w:r w:rsidRPr="007B78B3">
              <w:t>1</w:t>
            </w:r>
          </w:p>
        </w:tc>
        <w:tc>
          <w:tcPr>
            <w:tcW w:w="267" w:type="pct"/>
            <w:tcBorders>
              <w:bottom w:val="single" w:sz="4" w:space="0" w:color="auto"/>
              <w:right w:val="single" w:sz="4" w:space="0" w:color="auto"/>
            </w:tcBorders>
            <w:shd w:val="clear" w:color="auto" w:fill="F0DCDC"/>
            <w:vAlign w:val="center"/>
          </w:tcPr>
          <w:p w14:paraId="57204603" w14:textId="77777777" w:rsidR="003142C0" w:rsidRPr="007B78B3" w:rsidRDefault="003142C0" w:rsidP="003142C0">
            <w:pPr>
              <w:pStyle w:val="TableText"/>
              <w:keepNext/>
            </w:pPr>
            <w:r w:rsidRPr="007B78B3">
              <w:t>1.5</w:t>
            </w:r>
          </w:p>
        </w:tc>
      </w:tr>
      <w:tr w:rsidR="003142C0" w:rsidRPr="007B78B3" w14:paraId="68E3F835" w14:textId="77777777" w:rsidTr="003142C0">
        <w:trPr>
          <w:cantSplit/>
        </w:trPr>
        <w:tc>
          <w:tcPr>
            <w:tcW w:w="1300" w:type="pct"/>
            <w:vMerge w:val="restart"/>
            <w:tcBorders>
              <w:top w:val="single" w:sz="4" w:space="0" w:color="auto"/>
            </w:tcBorders>
            <w:tcMar>
              <w:left w:w="28" w:type="dxa"/>
              <w:right w:w="28" w:type="dxa"/>
            </w:tcMar>
            <w:vAlign w:val="center"/>
          </w:tcPr>
          <w:p w14:paraId="5DDF134E" w14:textId="77777777" w:rsidR="003142C0" w:rsidRPr="007B78B3" w:rsidRDefault="003142C0" w:rsidP="003142C0">
            <w:pPr>
              <w:pStyle w:val="TableText"/>
              <w:keepNext/>
              <w:jc w:val="left"/>
            </w:pPr>
            <w:r w:rsidRPr="007B78B3">
              <w:t>Voltage variation</w:t>
            </w:r>
            <w:r w:rsidRPr="007B78B3">
              <w:rPr>
                <w:vertAlign w:val="superscript"/>
              </w:rPr>
              <w:t>1</w:t>
            </w:r>
          </w:p>
        </w:tc>
        <w:tc>
          <w:tcPr>
            <w:tcW w:w="692" w:type="pct"/>
            <w:vMerge w:val="restart"/>
            <w:tcBorders>
              <w:top w:val="single" w:sz="4" w:space="0" w:color="auto"/>
            </w:tcBorders>
            <w:shd w:val="clear" w:color="auto" w:fill="auto"/>
            <w:vAlign w:val="center"/>
          </w:tcPr>
          <w:p w14:paraId="51F47C1D" w14:textId="77777777" w:rsidR="003142C0" w:rsidRPr="007B78B3" w:rsidRDefault="003142C0" w:rsidP="003142C0">
            <w:pPr>
              <w:pStyle w:val="TableText"/>
              <w:keepNext/>
            </w:pPr>
            <w:r w:rsidRPr="007B78B3">
              <w:t>A.2.12</w:t>
            </w:r>
          </w:p>
        </w:tc>
        <w:tc>
          <w:tcPr>
            <w:tcW w:w="395" w:type="pct"/>
            <w:vMerge w:val="restart"/>
            <w:tcBorders>
              <w:top w:val="single" w:sz="4" w:space="0" w:color="auto"/>
            </w:tcBorders>
            <w:vAlign w:val="center"/>
          </w:tcPr>
          <w:p w14:paraId="2B4A4A24" w14:textId="77777777" w:rsidR="003142C0" w:rsidRPr="007B78B3" w:rsidRDefault="003142C0" w:rsidP="003142C0">
            <w:pPr>
              <w:pStyle w:val="TableText"/>
              <w:keepNext/>
              <w:rPr>
                <w:vertAlign w:val="superscript"/>
              </w:rPr>
            </w:pPr>
            <w:r w:rsidRPr="007B78B3">
              <w:t xml:space="preserve">I </w:t>
            </w:r>
            <w:r w:rsidRPr="007B78B3">
              <w:rPr>
                <w:vertAlign w:val="superscript"/>
              </w:rPr>
              <w:t>1</w:t>
            </w:r>
          </w:p>
        </w:tc>
        <w:tc>
          <w:tcPr>
            <w:tcW w:w="890" w:type="pct"/>
            <w:tcBorders>
              <w:top w:val="single" w:sz="4" w:space="0" w:color="auto"/>
            </w:tcBorders>
            <w:vAlign w:val="center"/>
          </w:tcPr>
          <w:p w14:paraId="5C0B063E"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tcBorders>
              <w:top w:val="single" w:sz="4" w:space="0" w:color="auto"/>
            </w:tcBorders>
            <w:vAlign w:val="center"/>
          </w:tcPr>
          <w:p w14:paraId="2DFB5716" w14:textId="77777777" w:rsidR="003142C0" w:rsidRPr="007B78B3" w:rsidRDefault="003142C0" w:rsidP="003142C0">
            <w:pPr>
              <w:pStyle w:val="TableText"/>
              <w:keepNext/>
            </w:pPr>
            <w:r w:rsidRPr="007B78B3">
              <w:t>1</w:t>
            </w:r>
          </w:p>
        </w:tc>
        <w:tc>
          <w:tcPr>
            <w:tcW w:w="309" w:type="pct"/>
            <w:tcBorders>
              <w:top w:val="single" w:sz="4" w:space="0" w:color="auto"/>
            </w:tcBorders>
            <w:vAlign w:val="center"/>
          </w:tcPr>
          <w:p w14:paraId="1E48A35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tcBorders>
              <w:top w:val="single" w:sz="4" w:space="0" w:color="auto"/>
            </w:tcBorders>
            <w:vAlign w:val="center"/>
          </w:tcPr>
          <w:p w14:paraId="63ADF00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tcBorders>
              <w:top w:val="single" w:sz="4" w:space="0" w:color="auto"/>
            </w:tcBorders>
            <w:vAlign w:val="center"/>
          </w:tcPr>
          <w:p w14:paraId="22DD3C31"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tcBorders>
              <w:top w:val="single" w:sz="4" w:space="0" w:color="auto"/>
            </w:tcBorders>
            <w:vAlign w:val="center"/>
          </w:tcPr>
          <w:p w14:paraId="1C5AF7DF"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6EFDB29F" w14:textId="77777777" w:rsidTr="003142C0">
        <w:trPr>
          <w:cantSplit/>
        </w:trPr>
        <w:tc>
          <w:tcPr>
            <w:tcW w:w="1300" w:type="pct"/>
            <w:vMerge/>
            <w:tcMar>
              <w:left w:w="28" w:type="dxa"/>
              <w:right w:w="28" w:type="dxa"/>
            </w:tcMar>
            <w:vAlign w:val="center"/>
          </w:tcPr>
          <w:p w14:paraId="0CB5ED10" w14:textId="77777777" w:rsidR="003142C0" w:rsidRPr="007B78B3" w:rsidRDefault="003142C0" w:rsidP="003142C0">
            <w:pPr>
              <w:pStyle w:val="TableText"/>
              <w:keepNext/>
              <w:jc w:val="left"/>
            </w:pPr>
          </w:p>
        </w:tc>
        <w:tc>
          <w:tcPr>
            <w:tcW w:w="692" w:type="pct"/>
            <w:vMerge/>
            <w:shd w:val="clear" w:color="auto" w:fill="auto"/>
            <w:vAlign w:val="center"/>
          </w:tcPr>
          <w:p w14:paraId="3A543031" w14:textId="77777777" w:rsidR="003142C0" w:rsidRPr="007B78B3" w:rsidRDefault="003142C0" w:rsidP="003142C0">
            <w:pPr>
              <w:pStyle w:val="TableText"/>
              <w:keepNext/>
            </w:pPr>
          </w:p>
        </w:tc>
        <w:tc>
          <w:tcPr>
            <w:tcW w:w="395" w:type="pct"/>
            <w:vMerge/>
            <w:vAlign w:val="center"/>
          </w:tcPr>
          <w:p w14:paraId="4AC9962D" w14:textId="77777777" w:rsidR="003142C0" w:rsidRPr="007B78B3" w:rsidRDefault="003142C0" w:rsidP="003142C0">
            <w:pPr>
              <w:pStyle w:val="TableText"/>
              <w:keepNext/>
            </w:pPr>
          </w:p>
        </w:tc>
        <w:tc>
          <w:tcPr>
            <w:tcW w:w="890" w:type="pct"/>
            <w:vAlign w:val="center"/>
          </w:tcPr>
          <w:p w14:paraId="3293160A"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4FC1415E" w14:textId="77777777" w:rsidR="003142C0" w:rsidRPr="007B78B3" w:rsidRDefault="003142C0" w:rsidP="003142C0">
            <w:pPr>
              <w:pStyle w:val="TableText"/>
              <w:keepNext/>
            </w:pPr>
            <w:r w:rsidRPr="007B78B3">
              <w:t>0.5 ind.</w:t>
            </w:r>
          </w:p>
        </w:tc>
        <w:tc>
          <w:tcPr>
            <w:tcW w:w="309" w:type="pct"/>
            <w:vAlign w:val="center"/>
          </w:tcPr>
          <w:p w14:paraId="43F594C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F598A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9150D25"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267" w:type="pct"/>
            <w:vAlign w:val="center"/>
          </w:tcPr>
          <w:p w14:paraId="67A639A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438A0828" w14:textId="77777777" w:rsidTr="003142C0">
        <w:trPr>
          <w:cantSplit/>
        </w:trPr>
        <w:tc>
          <w:tcPr>
            <w:tcW w:w="1300" w:type="pct"/>
            <w:vMerge/>
            <w:tcMar>
              <w:left w:w="28" w:type="dxa"/>
              <w:right w:w="28" w:type="dxa"/>
            </w:tcMar>
            <w:vAlign w:val="center"/>
          </w:tcPr>
          <w:p w14:paraId="15BA7580" w14:textId="77777777" w:rsidR="003142C0" w:rsidRPr="007B78B3" w:rsidRDefault="003142C0" w:rsidP="003142C0">
            <w:pPr>
              <w:pStyle w:val="TableText"/>
              <w:keepNext/>
              <w:jc w:val="left"/>
            </w:pPr>
          </w:p>
        </w:tc>
        <w:tc>
          <w:tcPr>
            <w:tcW w:w="692" w:type="pct"/>
            <w:vMerge/>
            <w:shd w:val="clear" w:color="auto" w:fill="auto"/>
            <w:vAlign w:val="center"/>
          </w:tcPr>
          <w:p w14:paraId="2D3A6D2B" w14:textId="77777777" w:rsidR="003142C0" w:rsidRPr="007B78B3" w:rsidRDefault="003142C0" w:rsidP="003142C0">
            <w:pPr>
              <w:pStyle w:val="TableText"/>
              <w:keepNext/>
            </w:pPr>
          </w:p>
        </w:tc>
        <w:tc>
          <w:tcPr>
            <w:tcW w:w="395" w:type="pct"/>
            <w:vMerge/>
            <w:vAlign w:val="center"/>
          </w:tcPr>
          <w:p w14:paraId="357AD0E8" w14:textId="77777777" w:rsidR="003142C0" w:rsidRPr="007B78B3" w:rsidRDefault="003142C0" w:rsidP="003142C0">
            <w:pPr>
              <w:pStyle w:val="TableText"/>
              <w:keepNext/>
            </w:pPr>
          </w:p>
        </w:tc>
        <w:tc>
          <w:tcPr>
            <w:tcW w:w="890" w:type="pct"/>
            <w:vAlign w:val="center"/>
          </w:tcPr>
          <w:p w14:paraId="43AD164B"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0.02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23D160F" w14:textId="77777777" w:rsidR="003142C0" w:rsidRPr="007B78B3" w:rsidRDefault="003142C0" w:rsidP="003142C0">
            <w:pPr>
              <w:pStyle w:val="TableText"/>
              <w:keepNext/>
            </w:pPr>
            <w:r w:rsidRPr="007B78B3">
              <w:t>1</w:t>
            </w:r>
          </w:p>
        </w:tc>
        <w:tc>
          <w:tcPr>
            <w:tcW w:w="309" w:type="pct"/>
            <w:vAlign w:val="center"/>
          </w:tcPr>
          <w:p w14:paraId="5C841CF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358B9B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DD9E7AB"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7B994F7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7572F53" w14:textId="77777777" w:rsidTr="003142C0">
        <w:trPr>
          <w:cantSplit/>
        </w:trPr>
        <w:tc>
          <w:tcPr>
            <w:tcW w:w="1300" w:type="pct"/>
            <w:vMerge/>
            <w:tcMar>
              <w:left w:w="28" w:type="dxa"/>
              <w:right w:w="28" w:type="dxa"/>
            </w:tcMar>
            <w:vAlign w:val="center"/>
          </w:tcPr>
          <w:p w14:paraId="2167B97B" w14:textId="77777777" w:rsidR="003142C0" w:rsidRPr="007B78B3" w:rsidRDefault="003142C0" w:rsidP="003142C0">
            <w:pPr>
              <w:pStyle w:val="TableText"/>
              <w:keepNext/>
              <w:jc w:val="left"/>
            </w:pPr>
          </w:p>
        </w:tc>
        <w:tc>
          <w:tcPr>
            <w:tcW w:w="692" w:type="pct"/>
            <w:vMerge/>
            <w:shd w:val="clear" w:color="auto" w:fill="auto"/>
            <w:vAlign w:val="center"/>
          </w:tcPr>
          <w:p w14:paraId="23435A15" w14:textId="77777777" w:rsidR="003142C0" w:rsidRPr="007B78B3" w:rsidRDefault="003142C0" w:rsidP="003142C0">
            <w:pPr>
              <w:pStyle w:val="TableText"/>
              <w:keepNext/>
            </w:pPr>
          </w:p>
        </w:tc>
        <w:tc>
          <w:tcPr>
            <w:tcW w:w="395" w:type="pct"/>
            <w:vMerge/>
            <w:vAlign w:val="center"/>
          </w:tcPr>
          <w:p w14:paraId="69E3AC85" w14:textId="77777777" w:rsidR="003142C0" w:rsidRPr="007B78B3" w:rsidRDefault="003142C0" w:rsidP="003142C0">
            <w:pPr>
              <w:pStyle w:val="TableText"/>
              <w:keepNext/>
            </w:pPr>
          </w:p>
        </w:tc>
        <w:tc>
          <w:tcPr>
            <w:tcW w:w="890" w:type="pct"/>
            <w:vAlign w:val="center"/>
          </w:tcPr>
          <w:p w14:paraId="5E5E62CD"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6012F4F" w14:textId="77777777" w:rsidR="003142C0" w:rsidRPr="007B78B3" w:rsidRDefault="003142C0" w:rsidP="003142C0">
            <w:pPr>
              <w:pStyle w:val="TableText"/>
              <w:keepNext/>
            </w:pPr>
            <w:r w:rsidRPr="007B78B3">
              <w:t>0.5 ind.</w:t>
            </w:r>
          </w:p>
        </w:tc>
        <w:tc>
          <w:tcPr>
            <w:tcW w:w="309" w:type="pct"/>
            <w:vAlign w:val="center"/>
          </w:tcPr>
          <w:p w14:paraId="5680C58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527F35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8AE214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267" w:type="pct"/>
            <w:vAlign w:val="center"/>
          </w:tcPr>
          <w:p w14:paraId="1B3F52C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07F5063E" w14:textId="77777777" w:rsidTr="003142C0">
        <w:trPr>
          <w:cantSplit/>
        </w:trPr>
        <w:tc>
          <w:tcPr>
            <w:tcW w:w="1300" w:type="pct"/>
            <w:vMerge/>
            <w:tcMar>
              <w:left w:w="28" w:type="dxa"/>
              <w:right w:w="28" w:type="dxa"/>
            </w:tcMar>
            <w:vAlign w:val="center"/>
          </w:tcPr>
          <w:p w14:paraId="16BF623D" w14:textId="77777777" w:rsidR="003142C0" w:rsidRPr="007B78B3" w:rsidRDefault="003142C0" w:rsidP="003142C0">
            <w:pPr>
              <w:pStyle w:val="TableText"/>
              <w:keepNext/>
              <w:jc w:val="left"/>
            </w:pPr>
          </w:p>
        </w:tc>
        <w:tc>
          <w:tcPr>
            <w:tcW w:w="692" w:type="pct"/>
            <w:vMerge/>
            <w:shd w:val="clear" w:color="auto" w:fill="auto"/>
            <w:vAlign w:val="center"/>
          </w:tcPr>
          <w:p w14:paraId="472884E4" w14:textId="77777777" w:rsidR="003142C0" w:rsidRPr="007B78B3" w:rsidRDefault="003142C0" w:rsidP="003142C0">
            <w:pPr>
              <w:pStyle w:val="TableText"/>
              <w:keepNext/>
            </w:pPr>
          </w:p>
        </w:tc>
        <w:tc>
          <w:tcPr>
            <w:tcW w:w="395" w:type="pct"/>
            <w:vMerge/>
            <w:vAlign w:val="center"/>
          </w:tcPr>
          <w:p w14:paraId="787F0AA6" w14:textId="77777777" w:rsidR="003142C0" w:rsidRPr="007B78B3" w:rsidRDefault="003142C0" w:rsidP="003142C0">
            <w:pPr>
              <w:pStyle w:val="TableText"/>
              <w:keepNext/>
            </w:pPr>
          </w:p>
        </w:tc>
        <w:tc>
          <w:tcPr>
            <w:tcW w:w="890" w:type="pct"/>
            <w:vAlign w:val="center"/>
          </w:tcPr>
          <w:p w14:paraId="3CC86AC1"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FB4500B" w14:textId="77777777" w:rsidR="003142C0" w:rsidRPr="007B78B3" w:rsidRDefault="003142C0" w:rsidP="003142C0">
            <w:pPr>
              <w:pStyle w:val="TableText"/>
              <w:keepNext/>
            </w:pPr>
            <w:r w:rsidRPr="007B78B3">
              <w:t>1</w:t>
            </w:r>
          </w:p>
        </w:tc>
        <w:tc>
          <w:tcPr>
            <w:tcW w:w="309" w:type="pct"/>
            <w:vAlign w:val="center"/>
          </w:tcPr>
          <w:p w14:paraId="736F9F58"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C40DBCC"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7F3CD91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5C60C86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E753EA0" w14:textId="77777777" w:rsidTr="003142C0">
        <w:trPr>
          <w:cantSplit/>
        </w:trPr>
        <w:tc>
          <w:tcPr>
            <w:tcW w:w="1300" w:type="pct"/>
            <w:vMerge/>
            <w:tcMar>
              <w:left w:w="28" w:type="dxa"/>
              <w:right w:w="28" w:type="dxa"/>
            </w:tcMar>
            <w:vAlign w:val="center"/>
          </w:tcPr>
          <w:p w14:paraId="5DFD1E70" w14:textId="77777777" w:rsidR="003142C0" w:rsidRPr="007B78B3" w:rsidRDefault="003142C0" w:rsidP="003142C0">
            <w:pPr>
              <w:pStyle w:val="TableText"/>
              <w:keepNext/>
              <w:jc w:val="left"/>
            </w:pPr>
          </w:p>
        </w:tc>
        <w:tc>
          <w:tcPr>
            <w:tcW w:w="692" w:type="pct"/>
            <w:vMerge/>
            <w:shd w:val="clear" w:color="auto" w:fill="auto"/>
            <w:vAlign w:val="center"/>
          </w:tcPr>
          <w:p w14:paraId="52858514" w14:textId="77777777" w:rsidR="003142C0" w:rsidRPr="007B78B3" w:rsidRDefault="003142C0" w:rsidP="003142C0">
            <w:pPr>
              <w:pStyle w:val="TableText"/>
              <w:keepNext/>
            </w:pPr>
          </w:p>
        </w:tc>
        <w:tc>
          <w:tcPr>
            <w:tcW w:w="395" w:type="pct"/>
            <w:vMerge/>
            <w:vAlign w:val="center"/>
          </w:tcPr>
          <w:p w14:paraId="674F3AA9" w14:textId="77777777" w:rsidR="003142C0" w:rsidRPr="007B78B3" w:rsidRDefault="003142C0" w:rsidP="003142C0">
            <w:pPr>
              <w:pStyle w:val="TableText"/>
              <w:keepNext/>
            </w:pPr>
          </w:p>
        </w:tc>
        <w:tc>
          <w:tcPr>
            <w:tcW w:w="890" w:type="pct"/>
            <w:vAlign w:val="center"/>
          </w:tcPr>
          <w:p w14:paraId="658A62E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0900F4EA" w14:textId="77777777" w:rsidR="003142C0" w:rsidRPr="007B78B3" w:rsidRDefault="003142C0" w:rsidP="003142C0">
            <w:pPr>
              <w:pStyle w:val="TableText"/>
              <w:keepNext/>
            </w:pPr>
            <w:r w:rsidRPr="007B78B3">
              <w:t>0.5 ind.</w:t>
            </w:r>
          </w:p>
        </w:tc>
        <w:tc>
          <w:tcPr>
            <w:tcW w:w="309" w:type="pct"/>
            <w:vAlign w:val="center"/>
          </w:tcPr>
          <w:p w14:paraId="04C062F1"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63A07849"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1E33865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39B4F70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570FC43F" w14:textId="77777777" w:rsidTr="003142C0">
        <w:trPr>
          <w:cantSplit/>
        </w:trPr>
        <w:tc>
          <w:tcPr>
            <w:tcW w:w="1300" w:type="pct"/>
            <w:vMerge w:val="restart"/>
            <w:tcMar>
              <w:left w:w="28" w:type="dxa"/>
              <w:right w:w="28" w:type="dxa"/>
            </w:tcMar>
            <w:vAlign w:val="center"/>
          </w:tcPr>
          <w:p w14:paraId="22F068BA" w14:textId="77777777" w:rsidR="003142C0" w:rsidRPr="007B78B3" w:rsidRDefault="003142C0" w:rsidP="003142C0">
            <w:pPr>
              <w:pStyle w:val="TableText"/>
              <w:keepNext/>
              <w:jc w:val="left"/>
            </w:pPr>
            <w:r w:rsidRPr="007B78B3">
              <w:t>Frequency variation</w:t>
            </w:r>
          </w:p>
        </w:tc>
        <w:tc>
          <w:tcPr>
            <w:tcW w:w="692" w:type="pct"/>
            <w:vMerge w:val="restart"/>
            <w:shd w:val="clear" w:color="auto" w:fill="auto"/>
            <w:vAlign w:val="center"/>
          </w:tcPr>
          <w:p w14:paraId="7BEE70EC" w14:textId="77777777" w:rsidR="003142C0" w:rsidRPr="007B78B3" w:rsidRDefault="003142C0" w:rsidP="003142C0">
            <w:pPr>
              <w:pStyle w:val="TableText"/>
              <w:keepNext/>
            </w:pPr>
            <w:r w:rsidRPr="007B78B3">
              <w:t>A.2.13</w:t>
            </w:r>
          </w:p>
        </w:tc>
        <w:tc>
          <w:tcPr>
            <w:tcW w:w="395" w:type="pct"/>
            <w:vMerge w:val="restart"/>
            <w:vAlign w:val="center"/>
          </w:tcPr>
          <w:p w14:paraId="056F0746" w14:textId="77777777" w:rsidR="003142C0" w:rsidRPr="007B78B3" w:rsidRDefault="003142C0" w:rsidP="003142C0">
            <w:pPr>
              <w:pStyle w:val="TableText"/>
              <w:keepNext/>
            </w:pPr>
            <w:r w:rsidRPr="007B78B3">
              <w:t>I</w:t>
            </w:r>
          </w:p>
        </w:tc>
        <w:tc>
          <w:tcPr>
            <w:tcW w:w="890" w:type="pct"/>
            <w:vAlign w:val="center"/>
          </w:tcPr>
          <w:p w14:paraId="0F76AD8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56EB9DC8" w14:textId="77777777" w:rsidR="003142C0" w:rsidRPr="007B78B3" w:rsidRDefault="003142C0" w:rsidP="003142C0">
            <w:pPr>
              <w:pStyle w:val="TableText"/>
              <w:keepNext/>
            </w:pPr>
            <w:r w:rsidRPr="007B78B3">
              <w:t>1</w:t>
            </w:r>
          </w:p>
        </w:tc>
        <w:tc>
          <w:tcPr>
            <w:tcW w:w="309" w:type="pct"/>
            <w:vAlign w:val="center"/>
          </w:tcPr>
          <w:p w14:paraId="2810F30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D48003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E3C8842"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33441CC0"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268EA8C1" w14:textId="77777777" w:rsidTr="003142C0">
        <w:trPr>
          <w:cantSplit/>
        </w:trPr>
        <w:tc>
          <w:tcPr>
            <w:tcW w:w="1300" w:type="pct"/>
            <w:vMerge/>
            <w:tcMar>
              <w:left w:w="28" w:type="dxa"/>
              <w:right w:w="28" w:type="dxa"/>
            </w:tcMar>
            <w:vAlign w:val="center"/>
          </w:tcPr>
          <w:p w14:paraId="12E87E34" w14:textId="77777777" w:rsidR="003142C0" w:rsidRPr="007B78B3" w:rsidRDefault="003142C0" w:rsidP="003142C0">
            <w:pPr>
              <w:pStyle w:val="TableText"/>
              <w:keepNext/>
              <w:jc w:val="left"/>
            </w:pPr>
          </w:p>
        </w:tc>
        <w:tc>
          <w:tcPr>
            <w:tcW w:w="692" w:type="pct"/>
            <w:vMerge/>
            <w:shd w:val="clear" w:color="auto" w:fill="auto"/>
            <w:vAlign w:val="center"/>
          </w:tcPr>
          <w:p w14:paraId="7C3E5825" w14:textId="77777777" w:rsidR="003142C0" w:rsidRPr="007B78B3" w:rsidRDefault="003142C0" w:rsidP="003142C0">
            <w:pPr>
              <w:pStyle w:val="TableText"/>
              <w:keepNext/>
              <w:rPr>
                <w:i/>
                <w:iCs/>
              </w:rPr>
            </w:pPr>
          </w:p>
        </w:tc>
        <w:tc>
          <w:tcPr>
            <w:tcW w:w="395" w:type="pct"/>
            <w:vMerge/>
            <w:vAlign w:val="center"/>
          </w:tcPr>
          <w:p w14:paraId="7EC879AD" w14:textId="77777777" w:rsidR="003142C0" w:rsidRPr="007B78B3" w:rsidRDefault="003142C0" w:rsidP="003142C0">
            <w:pPr>
              <w:pStyle w:val="TableText"/>
              <w:keepNext/>
              <w:rPr>
                <w:i/>
                <w:iCs/>
              </w:rPr>
            </w:pPr>
          </w:p>
        </w:tc>
        <w:tc>
          <w:tcPr>
            <w:tcW w:w="890" w:type="pct"/>
            <w:vAlign w:val="center"/>
          </w:tcPr>
          <w:p w14:paraId="6BF0D3F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110076C9" w14:textId="77777777" w:rsidR="003142C0" w:rsidRPr="007B78B3" w:rsidRDefault="003142C0" w:rsidP="003142C0">
            <w:pPr>
              <w:pStyle w:val="TableText"/>
              <w:keepNext/>
            </w:pPr>
            <w:r w:rsidRPr="007B78B3">
              <w:t>0.5 ind.</w:t>
            </w:r>
          </w:p>
        </w:tc>
        <w:tc>
          <w:tcPr>
            <w:tcW w:w="309" w:type="pct"/>
            <w:vAlign w:val="center"/>
          </w:tcPr>
          <w:p w14:paraId="59D9BE9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1171318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E84A709"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0208CC34"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080301E0" w14:textId="77777777" w:rsidTr="003142C0">
        <w:trPr>
          <w:cantSplit/>
        </w:trPr>
        <w:tc>
          <w:tcPr>
            <w:tcW w:w="1300" w:type="pct"/>
            <w:vMerge/>
            <w:tcMar>
              <w:left w:w="28" w:type="dxa"/>
              <w:right w:w="28" w:type="dxa"/>
            </w:tcMar>
            <w:vAlign w:val="center"/>
          </w:tcPr>
          <w:p w14:paraId="49ECC0FE" w14:textId="77777777" w:rsidR="003142C0" w:rsidRPr="007B78B3" w:rsidRDefault="003142C0" w:rsidP="003142C0">
            <w:pPr>
              <w:pStyle w:val="TableText"/>
              <w:keepNext/>
              <w:jc w:val="left"/>
            </w:pPr>
          </w:p>
        </w:tc>
        <w:tc>
          <w:tcPr>
            <w:tcW w:w="692" w:type="pct"/>
            <w:vMerge/>
            <w:shd w:val="clear" w:color="auto" w:fill="auto"/>
            <w:vAlign w:val="center"/>
          </w:tcPr>
          <w:p w14:paraId="1AB4A8B1" w14:textId="77777777" w:rsidR="003142C0" w:rsidRPr="007B78B3" w:rsidRDefault="003142C0" w:rsidP="003142C0">
            <w:pPr>
              <w:pStyle w:val="TableText"/>
              <w:keepNext/>
            </w:pPr>
          </w:p>
        </w:tc>
        <w:tc>
          <w:tcPr>
            <w:tcW w:w="395" w:type="pct"/>
            <w:vMerge/>
            <w:vAlign w:val="center"/>
          </w:tcPr>
          <w:p w14:paraId="1FB84EAB" w14:textId="77777777" w:rsidR="003142C0" w:rsidRPr="007B78B3" w:rsidRDefault="003142C0" w:rsidP="003142C0">
            <w:pPr>
              <w:pStyle w:val="TableText"/>
              <w:keepNext/>
            </w:pPr>
          </w:p>
        </w:tc>
        <w:tc>
          <w:tcPr>
            <w:tcW w:w="890" w:type="pct"/>
            <w:vAlign w:val="center"/>
          </w:tcPr>
          <w:p w14:paraId="7CAEAAB8"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0.02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53D84250" w14:textId="77777777" w:rsidR="003142C0" w:rsidRPr="007B78B3" w:rsidRDefault="003142C0" w:rsidP="003142C0">
            <w:pPr>
              <w:pStyle w:val="TableText"/>
              <w:keepNext/>
            </w:pPr>
            <w:r w:rsidRPr="007B78B3">
              <w:t>1</w:t>
            </w:r>
          </w:p>
        </w:tc>
        <w:tc>
          <w:tcPr>
            <w:tcW w:w="309" w:type="pct"/>
            <w:vAlign w:val="center"/>
          </w:tcPr>
          <w:p w14:paraId="2A74DF7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0ACA68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A7C5C08"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6FE38F7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72AE4F90" w14:textId="77777777" w:rsidTr="003142C0">
        <w:trPr>
          <w:cantSplit/>
        </w:trPr>
        <w:tc>
          <w:tcPr>
            <w:tcW w:w="1300" w:type="pct"/>
            <w:vMerge/>
            <w:tcMar>
              <w:left w:w="28" w:type="dxa"/>
              <w:right w:w="28" w:type="dxa"/>
            </w:tcMar>
            <w:vAlign w:val="center"/>
          </w:tcPr>
          <w:p w14:paraId="766BB2C8" w14:textId="77777777" w:rsidR="003142C0" w:rsidRPr="007B78B3" w:rsidRDefault="003142C0" w:rsidP="003142C0">
            <w:pPr>
              <w:pStyle w:val="TableText"/>
              <w:keepNext/>
              <w:jc w:val="left"/>
            </w:pPr>
          </w:p>
        </w:tc>
        <w:tc>
          <w:tcPr>
            <w:tcW w:w="692" w:type="pct"/>
            <w:vMerge/>
            <w:shd w:val="clear" w:color="auto" w:fill="auto"/>
            <w:vAlign w:val="center"/>
          </w:tcPr>
          <w:p w14:paraId="1CB69CA4" w14:textId="77777777" w:rsidR="003142C0" w:rsidRPr="007B78B3" w:rsidRDefault="003142C0" w:rsidP="003142C0">
            <w:pPr>
              <w:pStyle w:val="TableText"/>
              <w:keepNext/>
            </w:pPr>
          </w:p>
        </w:tc>
        <w:tc>
          <w:tcPr>
            <w:tcW w:w="395" w:type="pct"/>
            <w:vMerge/>
            <w:vAlign w:val="center"/>
          </w:tcPr>
          <w:p w14:paraId="24A40E54" w14:textId="77777777" w:rsidR="003142C0" w:rsidRPr="007B78B3" w:rsidRDefault="003142C0" w:rsidP="003142C0">
            <w:pPr>
              <w:pStyle w:val="TableText"/>
              <w:keepNext/>
            </w:pPr>
          </w:p>
        </w:tc>
        <w:tc>
          <w:tcPr>
            <w:tcW w:w="890" w:type="pct"/>
            <w:vAlign w:val="center"/>
          </w:tcPr>
          <w:p w14:paraId="44C682AF"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0E904912" w14:textId="77777777" w:rsidR="003142C0" w:rsidRPr="007B78B3" w:rsidRDefault="003142C0" w:rsidP="003142C0">
            <w:pPr>
              <w:pStyle w:val="TableText"/>
              <w:keepNext/>
            </w:pPr>
            <w:r w:rsidRPr="007B78B3">
              <w:t>0.5 ind.</w:t>
            </w:r>
          </w:p>
        </w:tc>
        <w:tc>
          <w:tcPr>
            <w:tcW w:w="309" w:type="pct"/>
            <w:vAlign w:val="center"/>
          </w:tcPr>
          <w:p w14:paraId="504FF4A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66A997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28D62E9"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65185CD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1CA65818" w14:textId="77777777" w:rsidTr="003142C0">
        <w:trPr>
          <w:cantSplit/>
        </w:trPr>
        <w:tc>
          <w:tcPr>
            <w:tcW w:w="1300" w:type="pct"/>
            <w:vMerge/>
            <w:tcMar>
              <w:left w:w="28" w:type="dxa"/>
              <w:right w:w="28" w:type="dxa"/>
            </w:tcMar>
            <w:vAlign w:val="center"/>
          </w:tcPr>
          <w:p w14:paraId="242F2EA4" w14:textId="77777777" w:rsidR="003142C0" w:rsidRPr="007B78B3" w:rsidRDefault="003142C0" w:rsidP="003142C0">
            <w:pPr>
              <w:pStyle w:val="TableText"/>
              <w:keepNext/>
              <w:jc w:val="left"/>
            </w:pPr>
          </w:p>
        </w:tc>
        <w:tc>
          <w:tcPr>
            <w:tcW w:w="692" w:type="pct"/>
            <w:vMerge/>
            <w:shd w:val="clear" w:color="auto" w:fill="auto"/>
            <w:vAlign w:val="center"/>
          </w:tcPr>
          <w:p w14:paraId="411D0FA3" w14:textId="77777777" w:rsidR="003142C0" w:rsidRPr="007B78B3" w:rsidRDefault="003142C0" w:rsidP="003142C0">
            <w:pPr>
              <w:pStyle w:val="TableText"/>
              <w:keepNext/>
            </w:pPr>
          </w:p>
        </w:tc>
        <w:tc>
          <w:tcPr>
            <w:tcW w:w="395" w:type="pct"/>
            <w:vMerge/>
            <w:vAlign w:val="center"/>
          </w:tcPr>
          <w:p w14:paraId="12EDB3B0" w14:textId="77777777" w:rsidR="003142C0" w:rsidRPr="007B78B3" w:rsidRDefault="003142C0" w:rsidP="003142C0">
            <w:pPr>
              <w:pStyle w:val="TableText"/>
              <w:keepNext/>
            </w:pPr>
          </w:p>
        </w:tc>
        <w:tc>
          <w:tcPr>
            <w:tcW w:w="890" w:type="pct"/>
            <w:vAlign w:val="center"/>
          </w:tcPr>
          <w:p w14:paraId="441327C0"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2DE8CF29" w14:textId="77777777" w:rsidR="003142C0" w:rsidRPr="007B78B3" w:rsidRDefault="003142C0" w:rsidP="003142C0">
            <w:pPr>
              <w:pStyle w:val="TableText"/>
              <w:keepNext/>
            </w:pPr>
            <w:r w:rsidRPr="007B78B3">
              <w:t>1</w:t>
            </w:r>
          </w:p>
        </w:tc>
        <w:tc>
          <w:tcPr>
            <w:tcW w:w="309" w:type="pct"/>
            <w:vAlign w:val="center"/>
          </w:tcPr>
          <w:p w14:paraId="57602CA3"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F9D53C4"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71A344E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F97C67C"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5FC9C8E" w14:textId="77777777" w:rsidTr="003142C0">
        <w:trPr>
          <w:cantSplit/>
        </w:trPr>
        <w:tc>
          <w:tcPr>
            <w:tcW w:w="1300" w:type="pct"/>
            <w:vMerge/>
            <w:tcMar>
              <w:left w:w="28" w:type="dxa"/>
              <w:right w:w="28" w:type="dxa"/>
            </w:tcMar>
            <w:vAlign w:val="center"/>
          </w:tcPr>
          <w:p w14:paraId="348E4A6A" w14:textId="77777777" w:rsidR="003142C0" w:rsidRPr="007B78B3" w:rsidRDefault="003142C0" w:rsidP="003142C0">
            <w:pPr>
              <w:pStyle w:val="TableText"/>
              <w:keepNext/>
              <w:jc w:val="left"/>
            </w:pPr>
          </w:p>
        </w:tc>
        <w:tc>
          <w:tcPr>
            <w:tcW w:w="692" w:type="pct"/>
            <w:vMerge/>
            <w:shd w:val="clear" w:color="auto" w:fill="auto"/>
            <w:vAlign w:val="center"/>
          </w:tcPr>
          <w:p w14:paraId="51C9991A" w14:textId="77777777" w:rsidR="003142C0" w:rsidRPr="007B78B3" w:rsidRDefault="003142C0" w:rsidP="003142C0">
            <w:pPr>
              <w:pStyle w:val="TableText"/>
              <w:keepNext/>
            </w:pPr>
          </w:p>
        </w:tc>
        <w:tc>
          <w:tcPr>
            <w:tcW w:w="395" w:type="pct"/>
            <w:vMerge/>
            <w:vAlign w:val="center"/>
          </w:tcPr>
          <w:p w14:paraId="3E03570F" w14:textId="77777777" w:rsidR="003142C0" w:rsidRPr="007B78B3" w:rsidRDefault="003142C0" w:rsidP="003142C0">
            <w:pPr>
              <w:pStyle w:val="TableText"/>
              <w:keepNext/>
            </w:pPr>
          </w:p>
        </w:tc>
        <w:tc>
          <w:tcPr>
            <w:tcW w:w="890" w:type="pct"/>
            <w:vAlign w:val="center"/>
          </w:tcPr>
          <w:p w14:paraId="212FA16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3B4FED25" w14:textId="77777777" w:rsidR="003142C0" w:rsidRPr="007B78B3" w:rsidRDefault="003142C0" w:rsidP="003142C0">
            <w:pPr>
              <w:pStyle w:val="TableText"/>
              <w:keepNext/>
            </w:pPr>
            <w:r w:rsidRPr="007B78B3">
              <w:t>0.5 ind.</w:t>
            </w:r>
          </w:p>
        </w:tc>
        <w:tc>
          <w:tcPr>
            <w:tcW w:w="309" w:type="pct"/>
            <w:vAlign w:val="center"/>
          </w:tcPr>
          <w:p w14:paraId="04498088"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2D49DF4"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01BC442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E8E591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341A85EA" w14:textId="77777777" w:rsidTr="003142C0">
        <w:trPr>
          <w:cantSplit/>
        </w:trPr>
        <w:tc>
          <w:tcPr>
            <w:tcW w:w="1300" w:type="pct"/>
            <w:tcMar>
              <w:left w:w="28" w:type="dxa"/>
              <w:right w:w="28" w:type="dxa"/>
            </w:tcMar>
            <w:vAlign w:val="center"/>
          </w:tcPr>
          <w:p w14:paraId="670EABDB" w14:textId="77777777" w:rsidR="003142C0" w:rsidRPr="007B78B3" w:rsidRDefault="003142C0" w:rsidP="003142C0">
            <w:pPr>
              <w:pStyle w:val="TableText"/>
              <w:keepNext/>
              <w:jc w:val="left"/>
            </w:pPr>
            <w:r w:rsidRPr="007B78B3">
              <w:t>Harmonic components in the current and voltage circuits</w:t>
            </w:r>
          </w:p>
        </w:tc>
        <w:tc>
          <w:tcPr>
            <w:tcW w:w="692" w:type="pct"/>
            <w:shd w:val="clear" w:color="auto" w:fill="auto"/>
            <w:vAlign w:val="center"/>
          </w:tcPr>
          <w:p w14:paraId="38E3DA35" w14:textId="77777777" w:rsidR="003142C0" w:rsidRPr="007B78B3" w:rsidRDefault="003142C0" w:rsidP="003142C0">
            <w:pPr>
              <w:pStyle w:val="TableText"/>
              <w:keepNext/>
            </w:pPr>
            <w:r w:rsidRPr="007B78B3">
              <w:t>A.2.21</w:t>
            </w:r>
          </w:p>
        </w:tc>
        <w:tc>
          <w:tcPr>
            <w:tcW w:w="395" w:type="pct"/>
            <w:vAlign w:val="center"/>
          </w:tcPr>
          <w:p w14:paraId="18370171" w14:textId="77777777" w:rsidR="003142C0" w:rsidRPr="007B78B3" w:rsidRDefault="003142C0" w:rsidP="003142C0">
            <w:pPr>
              <w:pStyle w:val="TableText"/>
              <w:keepNext/>
            </w:pPr>
            <w:r w:rsidRPr="007B78B3">
              <w:t>I</w:t>
            </w:r>
          </w:p>
        </w:tc>
        <w:tc>
          <w:tcPr>
            <w:tcW w:w="890" w:type="pct"/>
            <w:vAlign w:val="center"/>
          </w:tcPr>
          <w:p w14:paraId="113F0BE5"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3AB7FA60" w14:textId="77777777" w:rsidR="003142C0" w:rsidRPr="007B78B3" w:rsidRDefault="003142C0" w:rsidP="003142C0">
            <w:pPr>
              <w:pStyle w:val="TableText"/>
              <w:keepNext/>
            </w:pPr>
            <w:r w:rsidRPr="007B78B3">
              <w:t>1</w:t>
            </w:r>
          </w:p>
        </w:tc>
        <w:tc>
          <w:tcPr>
            <w:tcW w:w="309" w:type="pct"/>
            <w:vAlign w:val="center"/>
          </w:tcPr>
          <w:p w14:paraId="3F0D18D4"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747E62B1"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2F9D0CCC"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c>
          <w:tcPr>
            <w:tcW w:w="267" w:type="pct"/>
            <w:vAlign w:val="center"/>
          </w:tcPr>
          <w:p w14:paraId="3700C88C"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34D21D03" w14:textId="77777777" w:rsidTr="003142C0">
        <w:trPr>
          <w:cantSplit/>
        </w:trPr>
        <w:tc>
          <w:tcPr>
            <w:tcW w:w="1300" w:type="pct"/>
            <w:tcMar>
              <w:left w:w="28" w:type="dxa"/>
              <w:right w:w="28" w:type="dxa"/>
            </w:tcMar>
            <w:vAlign w:val="center"/>
          </w:tcPr>
          <w:p w14:paraId="789040CA" w14:textId="77777777" w:rsidR="003142C0" w:rsidRPr="007B78B3" w:rsidRDefault="003142C0" w:rsidP="003142C0">
            <w:pPr>
              <w:pStyle w:val="TableText"/>
              <w:keepNext/>
              <w:jc w:val="left"/>
            </w:pPr>
            <w:r w:rsidRPr="007B78B3">
              <w:t>Reversed phase sequence</w:t>
            </w:r>
          </w:p>
        </w:tc>
        <w:tc>
          <w:tcPr>
            <w:tcW w:w="692" w:type="pct"/>
            <w:shd w:val="clear" w:color="auto" w:fill="auto"/>
            <w:vAlign w:val="center"/>
          </w:tcPr>
          <w:p w14:paraId="51127CF8" w14:textId="77777777" w:rsidR="003142C0" w:rsidRPr="007B78B3" w:rsidRDefault="003142C0" w:rsidP="003142C0">
            <w:pPr>
              <w:pStyle w:val="TableText"/>
              <w:keepNext/>
            </w:pPr>
            <w:r w:rsidRPr="007B78B3">
              <w:t>—</w:t>
            </w:r>
          </w:p>
        </w:tc>
        <w:tc>
          <w:tcPr>
            <w:tcW w:w="395" w:type="pct"/>
            <w:vAlign w:val="center"/>
          </w:tcPr>
          <w:p w14:paraId="4D510C09" w14:textId="77777777" w:rsidR="003142C0" w:rsidRPr="007B78B3" w:rsidRDefault="003142C0" w:rsidP="003142C0">
            <w:pPr>
              <w:pStyle w:val="TableText"/>
              <w:keepNext/>
            </w:pPr>
            <w:r w:rsidRPr="007B78B3">
              <w:t>D</w:t>
            </w:r>
          </w:p>
        </w:tc>
        <w:tc>
          <w:tcPr>
            <w:tcW w:w="890" w:type="pct"/>
            <w:vAlign w:val="center"/>
          </w:tcPr>
          <w:p w14:paraId="39479C3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B410037" w14:textId="77777777" w:rsidR="003142C0" w:rsidRPr="007B78B3" w:rsidRDefault="003142C0" w:rsidP="003142C0">
            <w:pPr>
              <w:pStyle w:val="TableText"/>
              <w:keepNext/>
            </w:pPr>
            <w:r w:rsidRPr="007B78B3">
              <w:t>1</w:t>
            </w:r>
          </w:p>
        </w:tc>
        <w:tc>
          <w:tcPr>
            <w:tcW w:w="309" w:type="pct"/>
            <w:vAlign w:val="center"/>
          </w:tcPr>
          <w:p w14:paraId="57B1F8B9"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619FBAA1"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47C7A222"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50A3BE8E"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r>
      <w:tr w:rsidR="003142C0" w:rsidRPr="007B78B3" w14:paraId="2337FF01" w14:textId="77777777" w:rsidTr="003142C0">
        <w:trPr>
          <w:cantSplit/>
        </w:trPr>
        <w:tc>
          <w:tcPr>
            <w:tcW w:w="1300" w:type="pct"/>
            <w:tcMar>
              <w:left w:w="28" w:type="dxa"/>
              <w:right w:w="28" w:type="dxa"/>
            </w:tcMar>
            <w:vAlign w:val="center"/>
          </w:tcPr>
          <w:p w14:paraId="7BAFC43E" w14:textId="77777777" w:rsidR="003142C0" w:rsidRPr="007B78B3" w:rsidRDefault="003142C0" w:rsidP="003142C0">
            <w:pPr>
              <w:pStyle w:val="TableText"/>
              <w:keepNext/>
              <w:jc w:val="left"/>
            </w:pPr>
            <w:r w:rsidRPr="007B78B3">
              <w:t>Voltage unbalance</w:t>
            </w:r>
            <w:r w:rsidRPr="007B78B3">
              <w:rPr>
                <w:vertAlign w:val="superscript"/>
              </w:rPr>
              <w:t>2</w:t>
            </w:r>
          </w:p>
        </w:tc>
        <w:tc>
          <w:tcPr>
            <w:tcW w:w="692" w:type="pct"/>
            <w:shd w:val="clear" w:color="auto" w:fill="auto"/>
            <w:vAlign w:val="center"/>
          </w:tcPr>
          <w:p w14:paraId="21087BA8" w14:textId="77777777" w:rsidR="003142C0" w:rsidRPr="007B78B3" w:rsidRDefault="003142C0" w:rsidP="003142C0">
            <w:pPr>
              <w:pStyle w:val="TableText"/>
              <w:keepNext/>
            </w:pPr>
            <w:r w:rsidRPr="007B78B3">
              <w:rPr>
                <w:vertAlign w:val="superscript"/>
              </w:rPr>
              <w:t>2</w:t>
            </w:r>
          </w:p>
        </w:tc>
        <w:tc>
          <w:tcPr>
            <w:tcW w:w="395" w:type="pct"/>
            <w:vAlign w:val="center"/>
          </w:tcPr>
          <w:p w14:paraId="5D7C9CB1" w14:textId="77777777" w:rsidR="003142C0" w:rsidRPr="007B78B3" w:rsidRDefault="003142C0" w:rsidP="003142C0">
            <w:pPr>
              <w:pStyle w:val="TableText"/>
              <w:keepNext/>
            </w:pPr>
            <w:r w:rsidRPr="007B78B3">
              <w:t>I</w:t>
            </w:r>
          </w:p>
        </w:tc>
        <w:tc>
          <w:tcPr>
            <w:tcW w:w="890" w:type="pct"/>
            <w:vAlign w:val="center"/>
          </w:tcPr>
          <w:p w14:paraId="10942924"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1EFB00B4" w14:textId="77777777" w:rsidR="003142C0" w:rsidRPr="007B78B3" w:rsidRDefault="003142C0" w:rsidP="003142C0">
            <w:pPr>
              <w:pStyle w:val="TableText"/>
              <w:keepNext/>
            </w:pPr>
            <w:r w:rsidRPr="007B78B3">
              <w:t>1</w:t>
            </w:r>
          </w:p>
        </w:tc>
        <w:tc>
          <w:tcPr>
            <w:tcW w:w="309" w:type="pct"/>
            <w:vAlign w:val="center"/>
          </w:tcPr>
          <w:p w14:paraId="1E56BCD4"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0096D6C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35BA47E4"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4664C72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AC070FF" w14:textId="77777777" w:rsidTr="003142C0">
        <w:trPr>
          <w:cantSplit/>
        </w:trPr>
        <w:tc>
          <w:tcPr>
            <w:tcW w:w="1300" w:type="pct"/>
            <w:tcMar>
              <w:left w:w="28" w:type="dxa"/>
              <w:right w:w="28" w:type="dxa"/>
            </w:tcMar>
            <w:vAlign w:val="center"/>
          </w:tcPr>
          <w:p w14:paraId="363E7DD0" w14:textId="77777777" w:rsidR="003142C0" w:rsidRPr="007B78B3" w:rsidRDefault="003142C0" w:rsidP="003142C0">
            <w:pPr>
              <w:pStyle w:val="TableText"/>
              <w:keepNext/>
              <w:jc w:val="left"/>
            </w:pPr>
            <w:r w:rsidRPr="007B78B3">
              <w:t>Auxiliary voltage ±15%</w:t>
            </w:r>
            <w:r w:rsidRPr="007B78B3">
              <w:rPr>
                <w:vertAlign w:val="superscript"/>
              </w:rPr>
              <w:t>3</w:t>
            </w:r>
          </w:p>
        </w:tc>
        <w:tc>
          <w:tcPr>
            <w:tcW w:w="692" w:type="pct"/>
            <w:shd w:val="clear" w:color="auto" w:fill="auto"/>
            <w:vAlign w:val="center"/>
          </w:tcPr>
          <w:p w14:paraId="166D7419" w14:textId="77777777" w:rsidR="003142C0" w:rsidRPr="007B78B3" w:rsidRDefault="003142C0" w:rsidP="003142C0">
            <w:pPr>
              <w:pStyle w:val="TableText"/>
              <w:keepNext/>
            </w:pPr>
            <w:r w:rsidRPr="007B78B3">
              <w:t>AS 62053.22</w:t>
            </w:r>
          </w:p>
        </w:tc>
        <w:tc>
          <w:tcPr>
            <w:tcW w:w="395" w:type="pct"/>
            <w:vAlign w:val="center"/>
          </w:tcPr>
          <w:p w14:paraId="000BAD44" w14:textId="77777777" w:rsidR="003142C0" w:rsidRPr="007B78B3" w:rsidRDefault="003142C0" w:rsidP="003142C0">
            <w:pPr>
              <w:pStyle w:val="TableText"/>
              <w:keepNext/>
            </w:pPr>
            <w:r w:rsidRPr="007B78B3">
              <w:t>D</w:t>
            </w:r>
          </w:p>
        </w:tc>
        <w:tc>
          <w:tcPr>
            <w:tcW w:w="890" w:type="pct"/>
            <w:vAlign w:val="center"/>
          </w:tcPr>
          <w:p w14:paraId="5B02B66F"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121DAB07" w14:textId="77777777" w:rsidR="003142C0" w:rsidRPr="007B78B3" w:rsidRDefault="003142C0" w:rsidP="003142C0">
            <w:pPr>
              <w:pStyle w:val="TableText"/>
              <w:keepNext/>
            </w:pPr>
            <w:r w:rsidRPr="007B78B3">
              <w:t>1</w:t>
            </w:r>
          </w:p>
        </w:tc>
        <w:tc>
          <w:tcPr>
            <w:tcW w:w="309" w:type="pct"/>
            <w:vAlign w:val="center"/>
          </w:tcPr>
          <w:p w14:paraId="1736DF79"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2F27D3B7"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25F1D4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9645FE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5419EE19" w14:textId="77777777" w:rsidTr="003142C0">
        <w:trPr>
          <w:cantSplit/>
        </w:trPr>
        <w:tc>
          <w:tcPr>
            <w:tcW w:w="1300" w:type="pct"/>
            <w:tcMar>
              <w:left w:w="28" w:type="dxa"/>
              <w:right w:w="28" w:type="dxa"/>
            </w:tcMar>
            <w:vAlign w:val="center"/>
          </w:tcPr>
          <w:p w14:paraId="33BBAA13" w14:textId="77777777" w:rsidR="003142C0" w:rsidRPr="007B78B3" w:rsidRDefault="003142C0" w:rsidP="003142C0">
            <w:pPr>
              <w:pStyle w:val="TableText"/>
              <w:keepNext/>
              <w:jc w:val="left"/>
            </w:pPr>
            <w:r w:rsidRPr="007B78B3">
              <w:t>DC component in the AC circuit</w:t>
            </w:r>
            <w:r w:rsidRPr="007B78B3">
              <w:rPr>
                <w:vertAlign w:val="superscript"/>
              </w:rPr>
              <w:t>4</w:t>
            </w:r>
          </w:p>
        </w:tc>
        <w:tc>
          <w:tcPr>
            <w:tcW w:w="692" w:type="pct"/>
            <w:shd w:val="clear" w:color="auto" w:fill="auto"/>
            <w:vAlign w:val="center"/>
          </w:tcPr>
          <w:p w14:paraId="417860A9" w14:textId="77777777" w:rsidR="003142C0" w:rsidRPr="007B78B3" w:rsidRDefault="003142C0" w:rsidP="003142C0">
            <w:pPr>
              <w:pStyle w:val="TableText"/>
              <w:keepNext/>
              <w:rPr>
                <w:vertAlign w:val="superscript"/>
              </w:rPr>
            </w:pPr>
            <w:r w:rsidRPr="007B78B3">
              <w:t>AS 62053.21,</w:t>
            </w:r>
            <w:r w:rsidRPr="007B78B3">
              <w:br/>
              <w:t>Annex A</w:t>
            </w:r>
            <w:r w:rsidRPr="007B78B3">
              <w:rPr>
                <w:vertAlign w:val="superscript"/>
              </w:rPr>
              <w:t>5</w:t>
            </w:r>
          </w:p>
        </w:tc>
        <w:tc>
          <w:tcPr>
            <w:tcW w:w="395" w:type="pct"/>
            <w:vAlign w:val="center"/>
          </w:tcPr>
          <w:p w14:paraId="4221115B" w14:textId="77777777" w:rsidR="003142C0" w:rsidRPr="007B78B3" w:rsidRDefault="003142C0" w:rsidP="003142C0">
            <w:pPr>
              <w:pStyle w:val="TableText"/>
              <w:keepNext/>
            </w:pPr>
            <w:r w:rsidRPr="007B78B3">
              <w:t>D</w:t>
            </w:r>
          </w:p>
        </w:tc>
        <w:tc>
          <w:tcPr>
            <w:tcW w:w="890" w:type="pct"/>
            <w:vAlign w:val="center"/>
          </w:tcPr>
          <w:p w14:paraId="09A3A15C"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r w:rsidRPr="00FA46D9">
              <w:rPr>
                <w:rFonts w:ascii="Cambria Math" w:hAnsi="Cambria Math"/>
              </w:rPr>
              <w:t xml:space="preserve"> /√2</w:t>
            </w:r>
          </w:p>
        </w:tc>
        <w:tc>
          <w:tcPr>
            <w:tcW w:w="527" w:type="pct"/>
            <w:vAlign w:val="center"/>
          </w:tcPr>
          <w:p w14:paraId="6571FCF8" w14:textId="77777777" w:rsidR="003142C0" w:rsidRPr="007B78B3" w:rsidRDefault="003142C0" w:rsidP="003142C0">
            <w:pPr>
              <w:pStyle w:val="TableText"/>
              <w:keepNext/>
            </w:pPr>
            <w:r w:rsidRPr="007B78B3">
              <w:t>1</w:t>
            </w:r>
          </w:p>
        </w:tc>
        <w:tc>
          <w:tcPr>
            <w:tcW w:w="309" w:type="pct"/>
            <w:vAlign w:val="center"/>
          </w:tcPr>
          <w:p w14:paraId="610298EC" w14:textId="77777777" w:rsidR="003142C0" w:rsidRPr="00FA46D9" w:rsidRDefault="003142C0" w:rsidP="003142C0">
            <w:pPr>
              <w:pStyle w:val="TableText"/>
              <w:keepNext/>
              <w:rPr>
                <w:rFonts w:ascii="Cambria Math" w:hAnsi="Cambria Math"/>
              </w:rPr>
            </w:pPr>
            <w:bookmarkStart w:id="11" w:name="OLE_LINK10"/>
            <w:bookmarkStart w:id="12" w:name="OLE_LINK11"/>
            <w:r w:rsidRPr="00FA46D9">
              <w:rPr>
                <w:rFonts w:ascii="Cambria Math" w:hAnsi="Cambria Math"/>
              </w:rPr>
              <w:t>—</w:t>
            </w:r>
            <w:bookmarkEnd w:id="11"/>
            <w:bookmarkEnd w:id="12"/>
          </w:p>
        </w:tc>
        <w:tc>
          <w:tcPr>
            <w:tcW w:w="310" w:type="pct"/>
            <w:vAlign w:val="center"/>
          </w:tcPr>
          <w:p w14:paraId="3BB185F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46DA568"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c>
          <w:tcPr>
            <w:tcW w:w="267" w:type="pct"/>
            <w:vAlign w:val="center"/>
          </w:tcPr>
          <w:p w14:paraId="1D6F5B9A" w14:textId="77777777" w:rsidR="003142C0" w:rsidRPr="00FA46D9" w:rsidRDefault="003142C0" w:rsidP="003142C0">
            <w:pPr>
              <w:pStyle w:val="TableText"/>
              <w:keepNext/>
              <w:rPr>
                <w:rFonts w:ascii="Cambria Math" w:hAnsi="Cambria Math"/>
              </w:rPr>
            </w:pPr>
            <w:r w:rsidRPr="00FA46D9">
              <w:rPr>
                <w:rFonts w:ascii="Cambria Math" w:hAnsi="Cambria Math"/>
              </w:rPr>
              <w:t>6.0</w:t>
            </w:r>
          </w:p>
        </w:tc>
      </w:tr>
      <w:tr w:rsidR="003142C0" w:rsidRPr="007B78B3" w14:paraId="6DAF887F" w14:textId="77777777" w:rsidTr="003142C0">
        <w:trPr>
          <w:cantSplit/>
        </w:trPr>
        <w:tc>
          <w:tcPr>
            <w:tcW w:w="1300" w:type="pct"/>
            <w:tcMar>
              <w:left w:w="28" w:type="dxa"/>
              <w:right w:w="28" w:type="dxa"/>
            </w:tcMar>
            <w:vAlign w:val="center"/>
          </w:tcPr>
          <w:p w14:paraId="01D0160B" w14:textId="77777777" w:rsidR="003142C0" w:rsidRPr="007B78B3" w:rsidRDefault="003142C0" w:rsidP="003142C0">
            <w:pPr>
              <w:pStyle w:val="TableText"/>
              <w:keepNext/>
              <w:jc w:val="left"/>
            </w:pPr>
            <w:r w:rsidRPr="007B78B3">
              <w:t>Continuous magnetic induction of external origin</w:t>
            </w:r>
          </w:p>
        </w:tc>
        <w:tc>
          <w:tcPr>
            <w:tcW w:w="692" w:type="pct"/>
            <w:shd w:val="clear" w:color="auto" w:fill="auto"/>
            <w:vAlign w:val="center"/>
          </w:tcPr>
          <w:p w14:paraId="26EA591F" w14:textId="77777777" w:rsidR="003142C0" w:rsidRPr="007B78B3" w:rsidRDefault="003142C0" w:rsidP="003142C0">
            <w:pPr>
              <w:pStyle w:val="TableText"/>
              <w:keepNext/>
            </w:pPr>
            <w:r w:rsidRPr="007B78B3">
              <w:t xml:space="preserve">AS 62053.21, </w:t>
            </w:r>
            <w:r w:rsidRPr="007B78B3">
              <w:br/>
              <w:t>clause 8.2.4</w:t>
            </w:r>
          </w:p>
          <w:p w14:paraId="0769CBCA" w14:textId="77777777" w:rsidR="003142C0" w:rsidRPr="007B78B3" w:rsidRDefault="003142C0" w:rsidP="003142C0">
            <w:pPr>
              <w:pStyle w:val="TableText"/>
              <w:keepNext/>
            </w:pPr>
            <w:r w:rsidRPr="007B78B3">
              <w:t xml:space="preserve">AS 62053.22, </w:t>
            </w:r>
            <w:r w:rsidRPr="007B78B3">
              <w:br/>
              <w:t>clause 8.2.3</w:t>
            </w:r>
          </w:p>
        </w:tc>
        <w:tc>
          <w:tcPr>
            <w:tcW w:w="395" w:type="pct"/>
            <w:vAlign w:val="center"/>
          </w:tcPr>
          <w:p w14:paraId="00BBC07B" w14:textId="77777777" w:rsidR="003142C0" w:rsidRPr="007B78B3" w:rsidRDefault="003142C0" w:rsidP="003142C0">
            <w:pPr>
              <w:pStyle w:val="TableText"/>
              <w:keepNext/>
            </w:pPr>
            <w:r w:rsidRPr="007B78B3">
              <w:t>D</w:t>
            </w:r>
          </w:p>
        </w:tc>
        <w:tc>
          <w:tcPr>
            <w:tcW w:w="890" w:type="pct"/>
            <w:vAlign w:val="center"/>
          </w:tcPr>
          <w:p w14:paraId="3DD3D5B9"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2BAE60A" w14:textId="77777777" w:rsidR="003142C0" w:rsidRPr="007B78B3" w:rsidRDefault="003142C0" w:rsidP="003142C0">
            <w:pPr>
              <w:pStyle w:val="TableText"/>
              <w:keepNext/>
            </w:pPr>
            <w:r w:rsidRPr="007B78B3">
              <w:t>1</w:t>
            </w:r>
          </w:p>
        </w:tc>
        <w:tc>
          <w:tcPr>
            <w:tcW w:w="309" w:type="pct"/>
            <w:vAlign w:val="center"/>
          </w:tcPr>
          <w:p w14:paraId="5717C5AE"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460778F5"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27B82A32"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5F3775D0"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78972744" w14:textId="77777777" w:rsidTr="003142C0">
        <w:trPr>
          <w:cantSplit/>
        </w:trPr>
        <w:tc>
          <w:tcPr>
            <w:tcW w:w="1300" w:type="pct"/>
            <w:vMerge w:val="restart"/>
            <w:tcMar>
              <w:left w:w="28" w:type="dxa"/>
              <w:right w:w="28" w:type="dxa"/>
            </w:tcMar>
            <w:vAlign w:val="center"/>
          </w:tcPr>
          <w:p w14:paraId="02146B79" w14:textId="77777777" w:rsidR="003142C0" w:rsidRPr="007B78B3" w:rsidRDefault="003142C0" w:rsidP="003142C0">
            <w:pPr>
              <w:pStyle w:val="TableText"/>
              <w:keepNext/>
              <w:jc w:val="left"/>
            </w:pPr>
            <w:r w:rsidRPr="007B78B3">
              <w:t>Magnetic induction of external origin 0.5 mT</w:t>
            </w:r>
            <w:r w:rsidRPr="007B78B3">
              <w:rPr>
                <w:vertAlign w:val="superscript"/>
              </w:rPr>
              <w:t>6</w:t>
            </w:r>
          </w:p>
        </w:tc>
        <w:tc>
          <w:tcPr>
            <w:tcW w:w="692" w:type="pct"/>
            <w:vMerge w:val="restart"/>
            <w:shd w:val="clear" w:color="auto" w:fill="auto"/>
            <w:vAlign w:val="center"/>
          </w:tcPr>
          <w:p w14:paraId="646BB3D5" w14:textId="77777777" w:rsidR="003142C0" w:rsidRPr="007B78B3" w:rsidRDefault="003142C0" w:rsidP="003142C0">
            <w:pPr>
              <w:pStyle w:val="TableText"/>
              <w:keepNext/>
              <w:rPr>
                <w:vertAlign w:val="superscript"/>
              </w:rPr>
            </w:pPr>
            <w:r w:rsidRPr="007B78B3">
              <w:rPr>
                <w:vertAlign w:val="superscript"/>
              </w:rPr>
              <w:t>6</w:t>
            </w:r>
          </w:p>
        </w:tc>
        <w:tc>
          <w:tcPr>
            <w:tcW w:w="395" w:type="pct"/>
            <w:vMerge w:val="restart"/>
            <w:vAlign w:val="center"/>
          </w:tcPr>
          <w:p w14:paraId="12DED909" w14:textId="77777777" w:rsidR="003142C0" w:rsidRPr="007B78B3" w:rsidRDefault="003142C0" w:rsidP="003142C0">
            <w:pPr>
              <w:pStyle w:val="TableText"/>
              <w:keepNext/>
            </w:pPr>
            <w:r w:rsidRPr="007B78B3">
              <w:t>D</w:t>
            </w:r>
          </w:p>
        </w:tc>
        <w:tc>
          <w:tcPr>
            <w:tcW w:w="890" w:type="pct"/>
            <w:vAlign w:val="center"/>
          </w:tcPr>
          <w:p w14:paraId="0A38F2E8"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5CB7071" w14:textId="77777777" w:rsidR="003142C0" w:rsidRPr="007B78B3" w:rsidRDefault="003142C0" w:rsidP="003142C0">
            <w:pPr>
              <w:pStyle w:val="TableText"/>
              <w:keepNext/>
            </w:pPr>
            <w:r w:rsidRPr="007B78B3">
              <w:t>1</w:t>
            </w:r>
          </w:p>
        </w:tc>
        <w:tc>
          <w:tcPr>
            <w:tcW w:w="309" w:type="pct"/>
            <w:vAlign w:val="center"/>
          </w:tcPr>
          <w:p w14:paraId="28A587C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71579AC3"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48D91C22"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4C19106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7A536DB" w14:textId="77777777" w:rsidTr="003142C0">
        <w:trPr>
          <w:cantSplit/>
        </w:trPr>
        <w:tc>
          <w:tcPr>
            <w:tcW w:w="1300" w:type="pct"/>
            <w:vMerge/>
            <w:tcMar>
              <w:left w:w="28" w:type="dxa"/>
              <w:right w:w="28" w:type="dxa"/>
            </w:tcMar>
            <w:vAlign w:val="center"/>
          </w:tcPr>
          <w:p w14:paraId="59CA5277" w14:textId="77777777" w:rsidR="003142C0" w:rsidRPr="007B78B3" w:rsidRDefault="003142C0" w:rsidP="003142C0">
            <w:pPr>
              <w:pStyle w:val="TableText"/>
              <w:keepNext/>
              <w:jc w:val="left"/>
            </w:pPr>
          </w:p>
        </w:tc>
        <w:tc>
          <w:tcPr>
            <w:tcW w:w="692" w:type="pct"/>
            <w:vMerge/>
            <w:shd w:val="clear" w:color="auto" w:fill="auto"/>
            <w:vAlign w:val="center"/>
          </w:tcPr>
          <w:p w14:paraId="41CA7553" w14:textId="77777777" w:rsidR="003142C0" w:rsidRPr="007B78B3" w:rsidRDefault="003142C0" w:rsidP="003142C0">
            <w:pPr>
              <w:pStyle w:val="TableText"/>
              <w:keepNext/>
              <w:rPr>
                <w:iCs/>
              </w:rPr>
            </w:pPr>
          </w:p>
        </w:tc>
        <w:tc>
          <w:tcPr>
            <w:tcW w:w="395" w:type="pct"/>
            <w:vMerge/>
            <w:vAlign w:val="center"/>
          </w:tcPr>
          <w:p w14:paraId="0F03BFAE" w14:textId="77777777" w:rsidR="003142C0" w:rsidRPr="007B78B3" w:rsidRDefault="003142C0" w:rsidP="003142C0">
            <w:pPr>
              <w:pStyle w:val="TableText"/>
              <w:keepNext/>
              <w:rPr>
                <w:iCs/>
              </w:rPr>
            </w:pPr>
          </w:p>
        </w:tc>
        <w:tc>
          <w:tcPr>
            <w:tcW w:w="890" w:type="pct"/>
            <w:vAlign w:val="center"/>
          </w:tcPr>
          <w:p w14:paraId="1DDD377A"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A5FED0" w14:textId="77777777" w:rsidR="003142C0" w:rsidRPr="007B78B3" w:rsidRDefault="003142C0" w:rsidP="003142C0">
            <w:pPr>
              <w:pStyle w:val="TableText"/>
              <w:keepNext/>
            </w:pPr>
            <w:r w:rsidRPr="007B78B3">
              <w:t>1</w:t>
            </w:r>
          </w:p>
        </w:tc>
        <w:tc>
          <w:tcPr>
            <w:tcW w:w="309" w:type="pct"/>
            <w:vAlign w:val="center"/>
          </w:tcPr>
          <w:p w14:paraId="5D2D53F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EFA315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43F34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7CD8E3B9"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r>
      <w:tr w:rsidR="003142C0" w:rsidRPr="007B78B3" w14:paraId="08CB83E9" w14:textId="77777777" w:rsidTr="003142C0">
        <w:trPr>
          <w:cantSplit/>
        </w:trPr>
        <w:tc>
          <w:tcPr>
            <w:tcW w:w="1300" w:type="pct"/>
            <w:tcMar>
              <w:left w:w="28" w:type="dxa"/>
              <w:right w:w="28" w:type="dxa"/>
            </w:tcMar>
            <w:vAlign w:val="center"/>
          </w:tcPr>
          <w:p w14:paraId="083632C6" w14:textId="77777777" w:rsidR="003142C0" w:rsidRPr="007B78B3" w:rsidRDefault="003142C0" w:rsidP="003142C0">
            <w:pPr>
              <w:pStyle w:val="TableText"/>
              <w:keepNext/>
              <w:jc w:val="left"/>
            </w:pPr>
            <w:r w:rsidRPr="007B78B3">
              <w:t>Electromagnetic RF fields</w:t>
            </w:r>
            <w:r w:rsidRPr="007B78B3">
              <w:rPr>
                <w:vertAlign w:val="superscript"/>
              </w:rPr>
              <w:t>7</w:t>
            </w:r>
          </w:p>
        </w:tc>
        <w:tc>
          <w:tcPr>
            <w:tcW w:w="692" w:type="pct"/>
            <w:shd w:val="clear" w:color="auto" w:fill="auto"/>
            <w:vAlign w:val="center"/>
          </w:tcPr>
          <w:p w14:paraId="224686C9" w14:textId="77777777" w:rsidR="003142C0" w:rsidRPr="007B78B3" w:rsidRDefault="003142C0" w:rsidP="003142C0">
            <w:pPr>
              <w:pStyle w:val="TableText"/>
              <w:keepNext/>
            </w:pPr>
            <w:r w:rsidRPr="007B78B3">
              <w:t>A.2.9</w:t>
            </w:r>
          </w:p>
        </w:tc>
        <w:tc>
          <w:tcPr>
            <w:tcW w:w="395" w:type="pct"/>
            <w:vAlign w:val="center"/>
          </w:tcPr>
          <w:p w14:paraId="06AD90FC" w14:textId="77777777" w:rsidR="003142C0" w:rsidRPr="007B78B3" w:rsidRDefault="003142C0" w:rsidP="003142C0">
            <w:pPr>
              <w:pStyle w:val="TableText"/>
              <w:keepNext/>
            </w:pPr>
            <w:r w:rsidRPr="007B78B3">
              <w:t>D</w:t>
            </w:r>
          </w:p>
        </w:tc>
        <w:tc>
          <w:tcPr>
            <w:tcW w:w="890" w:type="pct"/>
            <w:vAlign w:val="center"/>
          </w:tcPr>
          <w:p w14:paraId="4B9FBD5B"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303389" w14:textId="77777777" w:rsidR="003142C0" w:rsidRPr="007B78B3" w:rsidRDefault="003142C0" w:rsidP="003142C0">
            <w:pPr>
              <w:pStyle w:val="TableText"/>
              <w:keepNext/>
            </w:pPr>
            <w:r w:rsidRPr="007B78B3">
              <w:t>1</w:t>
            </w:r>
          </w:p>
        </w:tc>
        <w:tc>
          <w:tcPr>
            <w:tcW w:w="309" w:type="pct"/>
            <w:vAlign w:val="center"/>
          </w:tcPr>
          <w:p w14:paraId="3635E2B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4C46648F"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438CADFF"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06FBE6A2"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3972DD59" w14:textId="77777777" w:rsidTr="003142C0">
        <w:trPr>
          <w:cantSplit/>
        </w:trPr>
        <w:tc>
          <w:tcPr>
            <w:tcW w:w="1300" w:type="pct"/>
            <w:tcMar>
              <w:left w:w="28" w:type="dxa"/>
              <w:right w:w="28" w:type="dxa"/>
            </w:tcMar>
            <w:vAlign w:val="center"/>
          </w:tcPr>
          <w:p w14:paraId="029037D2" w14:textId="77777777" w:rsidR="003142C0" w:rsidRPr="007B78B3" w:rsidRDefault="003142C0" w:rsidP="003142C0">
            <w:pPr>
              <w:pStyle w:val="TableText"/>
              <w:keepNext/>
              <w:jc w:val="left"/>
            </w:pPr>
            <w:r w:rsidRPr="007B78B3">
              <w:t>Conducted RF fields</w:t>
            </w:r>
            <w:r w:rsidRPr="007B78B3">
              <w:rPr>
                <w:vertAlign w:val="superscript"/>
              </w:rPr>
              <w:t>7</w:t>
            </w:r>
          </w:p>
        </w:tc>
        <w:tc>
          <w:tcPr>
            <w:tcW w:w="692" w:type="pct"/>
            <w:shd w:val="clear" w:color="auto" w:fill="auto"/>
            <w:vAlign w:val="center"/>
          </w:tcPr>
          <w:p w14:paraId="71BA3346" w14:textId="77777777" w:rsidR="003142C0" w:rsidRPr="007B78B3" w:rsidRDefault="003142C0" w:rsidP="003142C0">
            <w:pPr>
              <w:pStyle w:val="TableText"/>
              <w:keepNext/>
            </w:pPr>
            <w:r w:rsidRPr="007B78B3">
              <w:t>A.2.10</w:t>
            </w:r>
          </w:p>
        </w:tc>
        <w:tc>
          <w:tcPr>
            <w:tcW w:w="395" w:type="pct"/>
            <w:vAlign w:val="center"/>
          </w:tcPr>
          <w:p w14:paraId="0F4E0948" w14:textId="77777777" w:rsidR="003142C0" w:rsidRPr="007B78B3" w:rsidRDefault="003142C0" w:rsidP="003142C0">
            <w:pPr>
              <w:pStyle w:val="TableText"/>
              <w:keepNext/>
            </w:pPr>
            <w:r w:rsidRPr="007B78B3">
              <w:t>D</w:t>
            </w:r>
          </w:p>
        </w:tc>
        <w:tc>
          <w:tcPr>
            <w:tcW w:w="890" w:type="pct"/>
            <w:vAlign w:val="center"/>
          </w:tcPr>
          <w:p w14:paraId="3FC6DB82"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DFE796" w14:textId="77777777" w:rsidR="003142C0" w:rsidRPr="007B78B3" w:rsidRDefault="003142C0" w:rsidP="003142C0">
            <w:pPr>
              <w:pStyle w:val="TableText"/>
              <w:keepNext/>
            </w:pPr>
            <w:r w:rsidRPr="007B78B3">
              <w:t>1</w:t>
            </w:r>
          </w:p>
        </w:tc>
        <w:tc>
          <w:tcPr>
            <w:tcW w:w="309" w:type="pct"/>
            <w:vAlign w:val="center"/>
          </w:tcPr>
          <w:p w14:paraId="0AC44BC6"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279B9C16"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17BFB177"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3007E1EC"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5F0E3C18" w14:textId="77777777" w:rsidTr="003142C0">
        <w:trPr>
          <w:cantSplit/>
        </w:trPr>
        <w:tc>
          <w:tcPr>
            <w:tcW w:w="1300" w:type="pct"/>
            <w:tcMar>
              <w:left w:w="28" w:type="dxa"/>
              <w:right w:w="28" w:type="dxa"/>
            </w:tcMar>
            <w:vAlign w:val="center"/>
          </w:tcPr>
          <w:p w14:paraId="06A2652B" w14:textId="77777777" w:rsidR="003142C0" w:rsidRPr="007B78B3" w:rsidRDefault="003142C0" w:rsidP="003142C0">
            <w:pPr>
              <w:pStyle w:val="TableText"/>
              <w:keepNext/>
              <w:jc w:val="left"/>
            </w:pPr>
            <w:r w:rsidRPr="007B78B3">
              <w:t>Fast transient bursts</w:t>
            </w:r>
            <w:r w:rsidRPr="007B78B3">
              <w:rPr>
                <w:vertAlign w:val="superscript"/>
              </w:rPr>
              <w:t>7</w:t>
            </w:r>
          </w:p>
        </w:tc>
        <w:tc>
          <w:tcPr>
            <w:tcW w:w="692" w:type="pct"/>
            <w:shd w:val="clear" w:color="auto" w:fill="auto"/>
            <w:vAlign w:val="center"/>
          </w:tcPr>
          <w:p w14:paraId="1F0FE130" w14:textId="77777777" w:rsidR="003142C0" w:rsidRPr="007B78B3" w:rsidRDefault="003142C0" w:rsidP="003142C0">
            <w:pPr>
              <w:pStyle w:val="TableText"/>
              <w:keepNext/>
            </w:pPr>
            <w:r w:rsidRPr="007B78B3">
              <w:t>A.2.15</w:t>
            </w:r>
          </w:p>
        </w:tc>
        <w:tc>
          <w:tcPr>
            <w:tcW w:w="395" w:type="pct"/>
            <w:vAlign w:val="center"/>
          </w:tcPr>
          <w:p w14:paraId="3F3EBB9D" w14:textId="77777777" w:rsidR="003142C0" w:rsidRPr="007B78B3" w:rsidRDefault="003142C0" w:rsidP="003142C0">
            <w:pPr>
              <w:pStyle w:val="TableText"/>
              <w:keepNext/>
            </w:pPr>
            <w:r w:rsidRPr="007B78B3">
              <w:t>D</w:t>
            </w:r>
          </w:p>
        </w:tc>
        <w:tc>
          <w:tcPr>
            <w:tcW w:w="890" w:type="pct"/>
            <w:vAlign w:val="center"/>
          </w:tcPr>
          <w:p w14:paraId="64B05352"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5B795019" w14:textId="77777777" w:rsidR="003142C0" w:rsidRPr="007B78B3" w:rsidRDefault="003142C0" w:rsidP="003142C0">
            <w:pPr>
              <w:pStyle w:val="TableText"/>
              <w:keepNext/>
            </w:pPr>
            <w:r w:rsidRPr="007B78B3">
              <w:t>1</w:t>
            </w:r>
          </w:p>
        </w:tc>
        <w:tc>
          <w:tcPr>
            <w:tcW w:w="309" w:type="pct"/>
            <w:vAlign w:val="center"/>
          </w:tcPr>
          <w:p w14:paraId="5802AAB8"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795C344D"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614F578B" w14:textId="77777777" w:rsidR="003142C0" w:rsidRPr="00FA46D9" w:rsidRDefault="003142C0" w:rsidP="003142C0">
            <w:pPr>
              <w:pStyle w:val="TableText"/>
              <w:keepNext/>
              <w:rPr>
                <w:rFonts w:ascii="Cambria Math" w:hAnsi="Cambria Math"/>
              </w:rPr>
            </w:pPr>
            <w:r w:rsidRPr="00FA46D9">
              <w:rPr>
                <w:rFonts w:ascii="Cambria Math" w:hAnsi="Cambria Math"/>
              </w:rPr>
              <w:t>4.0</w:t>
            </w:r>
          </w:p>
        </w:tc>
        <w:tc>
          <w:tcPr>
            <w:tcW w:w="267" w:type="pct"/>
            <w:vAlign w:val="center"/>
          </w:tcPr>
          <w:p w14:paraId="3BDE6D27" w14:textId="77777777" w:rsidR="003142C0" w:rsidRPr="00FA46D9" w:rsidRDefault="003142C0" w:rsidP="003142C0">
            <w:pPr>
              <w:pStyle w:val="TableText"/>
              <w:keepNext/>
              <w:rPr>
                <w:rFonts w:ascii="Cambria Math" w:hAnsi="Cambria Math"/>
              </w:rPr>
            </w:pPr>
            <w:r w:rsidRPr="00FA46D9">
              <w:rPr>
                <w:rFonts w:ascii="Cambria Math" w:hAnsi="Cambria Math"/>
              </w:rPr>
              <w:t>6.0</w:t>
            </w:r>
          </w:p>
        </w:tc>
      </w:tr>
      <w:tr w:rsidR="003142C0" w:rsidRPr="007B78B3" w14:paraId="573F2E53" w14:textId="77777777" w:rsidTr="003142C0">
        <w:trPr>
          <w:cantSplit/>
        </w:trPr>
        <w:tc>
          <w:tcPr>
            <w:tcW w:w="1300" w:type="pct"/>
            <w:vMerge w:val="restart"/>
            <w:tcMar>
              <w:left w:w="28" w:type="dxa"/>
              <w:right w:w="28" w:type="dxa"/>
            </w:tcMar>
            <w:vAlign w:val="center"/>
          </w:tcPr>
          <w:p w14:paraId="40245722" w14:textId="76B58990" w:rsidR="003142C0" w:rsidRPr="007B78B3" w:rsidRDefault="003142C0" w:rsidP="007C1886">
            <w:pPr>
              <w:pStyle w:val="TableText"/>
              <w:keepNext/>
              <w:jc w:val="left"/>
            </w:pPr>
            <w:r w:rsidRPr="007B78B3">
              <w:t xml:space="preserve">Variations due to short-time </w:t>
            </w:r>
            <w:r w:rsidR="00DD0576" w:rsidRPr="00B405A5">
              <w:t>overcurrent</w:t>
            </w:r>
            <w:r w:rsidR="007C1886" w:rsidRPr="00B405A5">
              <w:t>s</w:t>
            </w:r>
          </w:p>
        </w:tc>
        <w:tc>
          <w:tcPr>
            <w:tcW w:w="692" w:type="pct"/>
            <w:vMerge w:val="restart"/>
            <w:shd w:val="clear" w:color="auto" w:fill="auto"/>
            <w:vAlign w:val="center"/>
          </w:tcPr>
          <w:p w14:paraId="4D2F9B34" w14:textId="77777777" w:rsidR="003142C0" w:rsidRPr="007B78B3" w:rsidRDefault="003142C0" w:rsidP="003142C0">
            <w:pPr>
              <w:pStyle w:val="TableText"/>
              <w:keepNext/>
            </w:pPr>
            <w:r w:rsidRPr="007B78B3">
              <w:t>A.2.16</w:t>
            </w:r>
          </w:p>
        </w:tc>
        <w:tc>
          <w:tcPr>
            <w:tcW w:w="395" w:type="pct"/>
            <w:vMerge w:val="restart"/>
            <w:vAlign w:val="center"/>
          </w:tcPr>
          <w:p w14:paraId="3661EA4A" w14:textId="77777777" w:rsidR="003142C0" w:rsidRPr="007B78B3" w:rsidRDefault="003142C0" w:rsidP="003142C0">
            <w:pPr>
              <w:pStyle w:val="TableText"/>
              <w:keepNext/>
            </w:pPr>
            <w:r w:rsidRPr="007B78B3">
              <w:t>D</w:t>
            </w:r>
          </w:p>
        </w:tc>
        <w:tc>
          <w:tcPr>
            <w:tcW w:w="890" w:type="pct"/>
            <w:vAlign w:val="center"/>
          </w:tcPr>
          <w:p w14:paraId="6565EEE6"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p>
        </w:tc>
        <w:tc>
          <w:tcPr>
            <w:tcW w:w="527" w:type="pct"/>
            <w:vAlign w:val="center"/>
          </w:tcPr>
          <w:p w14:paraId="128ADB7A" w14:textId="77777777" w:rsidR="003142C0" w:rsidRPr="007B78B3" w:rsidRDefault="003142C0" w:rsidP="003142C0">
            <w:pPr>
              <w:pStyle w:val="TableText"/>
              <w:keepNext/>
            </w:pPr>
            <w:r w:rsidRPr="007B78B3">
              <w:t>1</w:t>
            </w:r>
          </w:p>
        </w:tc>
        <w:tc>
          <w:tcPr>
            <w:tcW w:w="309" w:type="pct"/>
            <w:vAlign w:val="center"/>
          </w:tcPr>
          <w:p w14:paraId="74129CB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91286E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6CCFEFE"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215F11EB"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r>
      <w:tr w:rsidR="003142C0" w:rsidRPr="007B78B3" w14:paraId="42E497D5" w14:textId="77777777" w:rsidTr="003142C0">
        <w:trPr>
          <w:cantSplit/>
        </w:trPr>
        <w:tc>
          <w:tcPr>
            <w:tcW w:w="1300" w:type="pct"/>
            <w:vMerge/>
            <w:tcMar>
              <w:left w:w="28" w:type="dxa"/>
              <w:right w:w="28" w:type="dxa"/>
            </w:tcMar>
            <w:vAlign w:val="center"/>
          </w:tcPr>
          <w:p w14:paraId="2DE10AB5" w14:textId="77777777" w:rsidR="003142C0" w:rsidRPr="007B78B3" w:rsidRDefault="003142C0" w:rsidP="003142C0">
            <w:pPr>
              <w:pStyle w:val="TableText"/>
              <w:keepNext/>
              <w:jc w:val="left"/>
            </w:pPr>
          </w:p>
        </w:tc>
        <w:tc>
          <w:tcPr>
            <w:tcW w:w="692" w:type="pct"/>
            <w:vMerge/>
            <w:shd w:val="clear" w:color="auto" w:fill="auto"/>
            <w:vAlign w:val="center"/>
          </w:tcPr>
          <w:p w14:paraId="2D649274" w14:textId="77777777" w:rsidR="003142C0" w:rsidRPr="007B78B3" w:rsidRDefault="003142C0" w:rsidP="003142C0">
            <w:pPr>
              <w:pStyle w:val="TableText"/>
              <w:keepNext/>
              <w:rPr>
                <w:i/>
                <w:iCs/>
              </w:rPr>
            </w:pPr>
          </w:p>
        </w:tc>
        <w:tc>
          <w:tcPr>
            <w:tcW w:w="395" w:type="pct"/>
            <w:vMerge/>
            <w:vAlign w:val="center"/>
          </w:tcPr>
          <w:p w14:paraId="065337AC" w14:textId="77777777" w:rsidR="003142C0" w:rsidRPr="007B78B3" w:rsidRDefault="003142C0" w:rsidP="003142C0">
            <w:pPr>
              <w:pStyle w:val="TableText"/>
              <w:keepNext/>
              <w:rPr>
                <w:i/>
                <w:iCs/>
              </w:rPr>
            </w:pPr>
          </w:p>
        </w:tc>
        <w:tc>
          <w:tcPr>
            <w:tcW w:w="890" w:type="pct"/>
            <w:vAlign w:val="center"/>
          </w:tcPr>
          <w:p w14:paraId="418B788F"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n</w:t>
            </w:r>
          </w:p>
        </w:tc>
        <w:tc>
          <w:tcPr>
            <w:tcW w:w="527" w:type="pct"/>
            <w:vAlign w:val="center"/>
          </w:tcPr>
          <w:p w14:paraId="1E9CCCD5" w14:textId="77777777" w:rsidR="003142C0" w:rsidRPr="007B78B3" w:rsidRDefault="003142C0" w:rsidP="003142C0">
            <w:pPr>
              <w:pStyle w:val="TableText"/>
              <w:keepNext/>
            </w:pPr>
            <w:r w:rsidRPr="007B78B3">
              <w:t>1</w:t>
            </w:r>
          </w:p>
        </w:tc>
        <w:tc>
          <w:tcPr>
            <w:tcW w:w="309" w:type="pct"/>
            <w:vAlign w:val="center"/>
          </w:tcPr>
          <w:p w14:paraId="006ADAC7"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1E57BE24"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27262740"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7DBC7BC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019D9C39" w14:textId="77777777" w:rsidTr="003142C0">
        <w:trPr>
          <w:cantSplit/>
        </w:trPr>
        <w:tc>
          <w:tcPr>
            <w:tcW w:w="1300" w:type="pct"/>
            <w:vMerge w:val="restart"/>
            <w:tcMar>
              <w:left w:w="28" w:type="dxa"/>
              <w:right w:w="28" w:type="dxa"/>
            </w:tcMar>
            <w:vAlign w:val="center"/>
          </w:tcPr>
          <w:p w14:paraId="56A19A39" w14:textId="77777777" w:rsidR="003142C0" w:rsidRPr="007B78B3" w:rsidRDefault="003142C0" w:rsidP="003142C0">
            <w:pPr>
              <w:pStyle w:val="TableText"/>
              <w:keepNext/>
              <w:jc w:val="left"/>
            </w:pPr>
            <w:r w:rsidRPr="007B78B3">
              <w:t>Operation of accessories</w:t>
            </w:r>
            <w:r w:rsidRPr="007B78B3">
              <w:rPr>
                <w:vertAlign w:val="superscript"/>
              </w:rPr>
              <w:t>8</w:t>
            </w:r>
          </w:p>
        </w:tc>
        <w:tc>
          <w:tcPr>
            <w:tcW w:w="692" w:type="pct"/>
            <w:vMerge w:val="restart"/>
            <w:shd w:val="clear" w:color="auto" w:fill="auto"/>
            <w:vAlign w:val="center"/>
          </w:tcPr>
          <w:p w14:paraId="10A6605D" w14:textId="77777777" w:rsidR="003142C0" w:rsidRPr="007B78B3" w:rsidRDefault="003142C0" w:rsidP="003142C0">
            <w:pPr>
              <w:pStyle w:val="TableText"/>
              <w:keepNext/>
            </w:pPr>
            <w:r w:rsidRPr="007B78B3">
              <w:t>AS 62053.21</w:t>
            </w:r>
          </w:p>
          <w:p w14:paraId="59CB9997" w14:textId="77777777" w:rsidR="003142C0" w:rsidRPr="007B78B3" w:rsidRDefault="003142C0" w:rsidP="003142C0">
            <w:pPr>
              <w:pStyle w:val="TableText"/>
              <w:keepNext/>
            </w:pPr>
            <w:r w:rsidRPr="007B78B3">
              <w:t>AS 62053.22</w:t>
            </w:r>
          </w:p>
        </w:tc>
        <w:tc>
          <w:tcPr>
            <w:tcW w:w="395" w:type="pct"/>
            <w:vAlign w:val="center"/>
          </w:tcPr>
          <w:p w14:paraId="72D00C78" w14:textId="77777777" w:rsidR="003142C0" w:rsidRPr="007B78B3" w:rsidRDefault="003142C0" w:rsidP="003142C0">
            <w:pPr>
              <w:pStyle w:val="TableText"/>
              <w:keepNext/>
            </w:pPr>
            <w:r w:rsidRPr="007B78B3">
              <w:t>D</w:t>
            </w:r>
          </w:p>
        </w:tc>
        <w:tc>
          <w:tcPr>
            <w:tcW w:w="890" w:type="pct"/>
            <w:vAlign w:val="center"/>
          </w:tcPr>
          <w:p w14:paraId="327B56E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0.05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0C18069" w14:textId="77777777" w:rsidR="003142C0" w:rsidRPr="007B78B3" w:rsidRDefault="003142C0" w:rsidP="003142C0">
            <w:pPr>
              <w:pStyle w:val="TableText"/>
              <w:keepNext/>
            </w:pPr>
            <w:r w:rsidRPr="007B78B3">
              <w:t>1</w:t>
            </w:r>
          </w:p>
        </w:tc>
        <w:tc>
          <w:tcPr>
            <w:tcW w:w="309" w:type="pct"/>
            <w:vAlign w:val="center"/>
          </w:tcPr>
          <w:p w14:paraId="5A68013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303FA0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A9C4805"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4883C15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E60DE7C" w14:textId="77777777" w:rsidTr="003142C0">
        <w:trPr>
          <w:cantSplit/>
        </w:trPr>
        <w:tc>
          <w:tcPr>
            <w:tcW w:w="1300" w:type="pct"/>
            <w:vMerge/>
            <w:tcMar>
              <w:left w:w="28" w:type="dxa"/>
              <w:right w:w="28" w:type="dxa"/>
            </w:tcMar>
            <w:vAlign w:val="center"/>
          </w:tcPr>
          <w:p w14:paraId="167EFA38" w14:textId="77777777" w:rsidR="003142C0" w:rsidRPr="007B78B3" w:rsidRDefault="003142C0" w:rsidP="003142C0">
            <w:pPr>
              <w:pStyle w:val="TableText"/>
              <w:keepNext/>
              <w:jc w:val="left"/>
            </w:pPr>
          </w:p>
        </w:tc>
        <w:tc>
          <w:tcPr>
            <w:tcW w:w="692" w:type="pct"/>
            <w:vMerge/>
            <w:shd w:val="clear" w:color="auto" w:fill="auto"/>
            <w:vAlign w:val="center"/>
          </w:tcPr>
          <w:p w14:paraId="20520313" w14:textId="77777777" w:rsidR="003142C0" w:rsidRPr="007B78B3" w:rsidRDefault="003142C0" w:rsidP="003142C0">
            <w:pPr>
              <w:pStyle w:val="TableText"/>
              <w:keepNext/>
            </w:pPr>
          </w:p>
        </w:tc>
        <w:tc>
          <w:tcPr>
            <w:tcW w:w="395" w:type="pct"/>
            <w:vAlign w:val="center"/>
          </w:tcPr>
          <w:p w14:paraId="054CAEE2" w14:textId="77777777" w:rsidR="003142C0" w:rsidRPr="007B78B3" w:rsidRDefault="003142C0" w:rsidP="003142C0">
            <w:pPr>
              <w:pStyle w:val="TableText"/>
              <w:keepNext/>
            </w:pPr>
            <w:r w:rsidRPr="007B78B3">
              <w:t>D</w:t>
            </w:r>
          </w:p>
        </w:tc>
        <w:tc>
          <w:tcPr>
            <w:tcW w:w="890" w:type="pct"/>
            <w:vAlign w:val="center"/>
          </w:tcPr>
          <w:p w14:paraId="69DDCE0E"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7D36EF3F" w14:textId="77777777" w:rsidR="003142C0" w:rsidRPr="007B78B3" w:rsidRDefault="003142C0" w:rsidP="003142C0">
            <w:pPr>
              <w:pStyle w:val="TableText"/>
              <w:keepNext/>
            </w:pPr>
            <w:r w:rsidRPr="007B78B3">
              <w:t>1</w:t>
            </w:r>
          </w:p>
        </w:tc>
        <w:tc>
          <w:tcPr>
            <w:tcW w:w="309" w:type="pct"/>
            <w:vAlign w:val="center"/>
          </w:tcPr>
          <w:p w14:paraId="3F854BA8"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77B44AF6"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5AACC4E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310A2CA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4B67181A" w14:textId="77777777" w:rsidTr="003142C0">
        <w:trPr>
          <w:cantSplit/>
        </w:trPr>
        <w:tc>
          <w:tcPr>
            <w:tcW w:w="1300" w:type="pct"/>
            <w:tcMar>
              <w:left w:w="28" w:type="dxa"/>
              <w:right w:w="28" w:type="dxa"/>
            </w:tcMar>
            <w:vAlign w:val="center"/>
          </w:tcPr>
          <w:p w14:paraId="15441BA2" w14:textId="77777777" w:rsidR="003142C0" w:rsidRPr="007B78B3" w:rsidRDefault="003142C0" w:rsidP="003142C0">
            <w:pPr>
              <w:pStyle w:val="TableText"/>
              <w:keepNext/>
              <w:jc w:val="left"/>
            </w:pPr>
            <w:r w:rsidRPr="007B78B3">
              <w:t>Sub-harmonics in the AC circuit</w:t>
            </w:r>
          </w:p>
        </w:tc>
        <w:tc>
          <w:tcPr>
            <w:tcW w:w="692" w:type="pct"/>
            <w:shd w:val="clear" w:color="auto" w:fill="auto"/>
            <w:vAlign w:val="center"/>
          </w:tcPr>
          <w:p w14:paraId="70E4CE92" w14:textId="77777777" w:rsidR="003142C0" w:rsidRPr="007B78B3" w:rsidRDefault="003142C0" w:rsidP="003142C0">
            <w:pPr>
              <w:pStyle w:val="TableText"/>
              <w:keepNext/>
              <w:rPr>
                <w:vertAlign w:val="superscript"/>
              </w:rPr>
            </w:pPr>
            <w:r w:rsidRPr="007B78B3">
              <w:t>A.2.17</w:t>
            </w:r>
            <w:r w:rsidRPr="007B78B3">
              <w:rPr>
                <w:vertAlign w:val="superscript"/>
              </w:rPr>
              <w:t>5</w:t>
            </w:r>
          </w:p>
        </w:tc>
        <w:tc>
          <w:tcPr>
            <w:tcW w:w="395" w:type="pct"/>
            <w:vAlign w:val="center"/>
          </w:tcPr>
          <w:p w14:paraId="14D5A423" w14:textId="77777777" w:rsidR="003142C0" w:rsidRPr="007B78B3" w:rsidRDefault="003142C0" w:rsidP="003142C0">
            <w:pPr>
              <w:pStyle w:val="TableText"/>
              <w:keepNext/>
            </w:pPr>
            <w:r w:rsidRPr="007B78B3">
              <w:t>D</w:t>
            </w:r>
          </w:p>
        </w:tc>
        <w:tc>
          <w:tcPr>
            <w:tcW w:w="890" w:type="pct"/>
            <w:vAlign w:val="center"/>
          </w:tcPr>
          <w:p w14:paraId="6306982C"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F08B870" w14:textId="77777777" w:rsidR="003142C0" w:rsidRPr="007B78B3" w:rsidRDefault="003142C0" w:rsidP="003142C0">
            <w:pPr>
              <w:pStyle w:val="TableText"/>
              <w:keepNext/>
            </w:pPr>
            <w:r w:rsidRPr="007B78B3">
              <w:t>1</w:t>
            </w:r>
          </w:p>
        </w:tc>
        <w:tc>
          <w:tcPr>
            <w:tcW w:w="309" w:type="pct"/>
            <w:vAlign w:val="center"/>
          </w:tcPr>
          <w:p w14:paraId="5C985C1B"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5C125338" w14:textId="77777777" w:rsidR="003142C0" w:rsidRPr="00FA46D9" w:rsidRDefault="003142C0" w:rsidP="003142C0">
            <w:pPr>
              <w:pStyle w:val="TableText"/>
              <w:keepNext/>
              <w:rPr>
                <w:rFonts w:ascii="Cambria Math" w:hAnsi="Cambria Math"/>
              </w:rPr>
            </w:pPr>
            <w:r w:rsidRPr="00FA46D9">
              <w:rPr>
                <w:rFonts w:ascii="Cambria Math" w:hAnsi="Cambria Math"/>
              </w:rPr>
              <w:t>0.75</w:t>
            </w:r>
          </w:p>
        </w:tc>
        <w:tc>
          <w:tcPr>
            <w:tcW w:w="310" w:type="pct"/>
            <w:vAlign w:val="center"/>
          </w:tcPr>
          <w:p w14:paraId="460F7C43"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5B1EE5EA"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292D4F89" w14:textId="77777777" w:rsidTr="003142C0">
        <w:trPr>
          <w:cantSplit/>
        </w:trPr>
        <w:tc>
          <w:tcPr>
            <w:tcW w:w="1300" w:type="pct"/>
            <w:tcMar>
              <w:left w:w="28" w:type="dxa"/>
              <w:right w:w="28" w:type="dxa"/>
            </w:tcMar>
            <w:vAlign w:val="center"/>
          </w:tcPr>
          <w:p w14:paraId="4D146BF8" w14:textId="77777777" w:rsidR="003142C0" w:rsidRPr="007B78B3" w:rsidRDefault="003142C0" w:rsidP="003142C0">
            <w:pPr>
              <w:pStyle w:val="TableText"/>
              <w:keepNext/>
              <w:jc w:val="left"/>
            </w:pPr>
            <w:r w:rsidRPr="007B78B3">
              <w:t>Odd harmonics in the AC circuit</w:t>
            </w:r>
          </w:p>
        </w:tc>
        <w:tc>
          <w:tcPr>
            <w:tcW w:w="692" w:type="pct"/>
            <w:shd w:val="clear" w:color="auto" w:fill="auto"/>
            <w:vAlign w:val="center"/>
          </w:tcPr>
          <w:p w14:paraId="237EF0B9" w14:textId="77777777" w:rsidR="003142C0" w:rsidRPr="007B78B3" w:rsidRDefault="003142C0" w:rsidP="003142C0">
            <w:pPr>
              <w:pStyle w:val="TableText"/>
              <w:keepNext/>
              <w:rPr>
                <w:vertAlign w:val="superscript"/>
              </w:rPr>
            </w:pPr>
            <w:r w:rsidRPr="007B78B3">
              <w:t>A.2.18</w:t>
            </w:r>
            <w:r w:rsidRPr="007B78B3">
              <w:rPr>
                <w:vertAlign w:val="superscript"/>
              </w:rPr>
              <w:t>5</w:t>
            </w:r>
          </w:p>
        </w:tc>
        <w:tc>
          <w:tcPr>
            <w:tcW w:w="395" w:type="pct"/>
            <w:vAlign w:val="center"/>
          </w:tcPr>
          <w:p w14:paraId="57E5A4B3" w14:textId="77777777" w:rsidR="003142C0" w:rsidRPr="007B78B3" w:rsidRDefault="003142C0" w:rsidP="003142C0">
            <w:pPr>
              <w:pStyle w:val="TableText"/>
              <w:keepNext/>
            </w:pPr>
            <w:r w:rsidRPr="007B78B3">
              <w:t>D</w:t>
            </w:r>
          </w:p>
        </w:tc>
        <w:tc>
          <w:tcPr>
            <w:tcW w:w="890" w:type="pct"/>
            <w:vAlign w:val="center"/>
          </w:tcPr>
          <w:p w14:paraId="1FEC496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6C90794" w14:textId="77777777" w:rsidR="003142C0" w:rsidRPr="007B78B3" w:rsidRDefault="003142C0" w:rsidP="003142C0">
            <w:pPr>
              <w:pStyle w:val="TableText"/>
              <w:keepNext/>
            </w:pPr>
            <w:r w:rsidRPr="007B78B3">
              <w:t>1</w:t>
            </w:r>
          </w:p>
        </w:tc>
        <w:tc>
          <w:tcPr>
            <w:tcW w:w="309" w:type="pct"/>
            <w:vAlign w:val="center"/>
          </w:tcPr>
          <w:p w14:paraId="293488B7"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5F6DA70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0CAE7E02"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c>
          <w:tcPr>
            <w:tcW w:w="267" w:type="pct"/>
            <w:vAlign w:val="center"/>
          </w:tcPr>
          <w:p w14:paraId="1D24D5DD"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7D29B82C" w14:textId="77777777" w:rsidTr="003142C0">
        <w:trPr>
          <w:cantSplit/>
        </w:trPr>
        <w:tc>
          <w:tcPr>
            <w:tcW w:w="1300" w:type="pct"/>
            <w:tcMar>
              <w:left w:w="28" w:type="dxa"/>
              <w:right w:w="28" w:type="dxa"/>
            </w:tcMar>
            <w:vAlign w:val="center"/>
          </w:tcPr>
          <w:p w14:paraId="4A5102DA" w14:textId="77777777" w:rsidR="003142C0" w:rsidRPr="007B78B3" w:rsidRDefault="003142C0" w:rsidP="003142C0">
            <w:pPr>
              <w:pStyle w:val="TableText"/>
              <w:keepNext/>
              <w:jc w:val="left"/>
            </w:pPr>
            <w:r w:rsidRPr="007B78B3">
              <w:t>Tilt at 3</w:t>
            </w:r>
            <w:r w:rsidRPr="007B78B3">
              <w:sym w:font="Symbol" w:char="F0B0"/>
            </w:r>
            <w:r w:rsidRPr="007B78B3">
              <w:t xml:space="preserve"> in any direction from the vertical</w:t>
            </w:r>
            <w:r w:rsidRPr="007B78B3">
              <w:rPr>
                <w:vertAlign w:val="superscript"/>
              </w:rPr>
              <w:t>9</w:t>
            </w:r>
          </w:p>
        </w:tc>
        <w:tc>
          <w:tcPr>
            <w:tcW w:w="692" w:type="pct"/>
            <w:shd w:val="clear" w:color="auto" w:fill="auto"/>
            <w:vAlign w:val="center"/>
          </w:tcPr>
          <w:p w14:paraId="20E734FF" w14:textId="77777777" w:rsidR="003142C0" w:rsidRPr="007B78B3" w:rsidRDefault="003142C0" w:rsidP="003142C0">
            <w:pPr>
              <w:pStyle w:val="TableText"/>
              <w:keepNext/>
            </w:pPr>
            <w:r w:rsidRPr="007B78B3">
              <w:rPr>
                <w:rFonts w:eastAsia="Times"/>
              </w:rPr>
              <w:t>AS 1284.1</w:t>
            </w:r>
          </w:p>
        </w:tc>
        <w:tc>
          <w:tcPr>
            <w:tcW w:w="395" w:type="pct"/>
            <w:vAlign w:val="center"/>
          </w:tcPr>
          <w:p w14:paraId="60E8DF45" w14:textId="77777777" w:rsidR="003142C0" w:rsidRPr="007B78B3" w:rsidRDefault="003142C0" w:rsidP="003142C0">
            <w:pPr>
              <w:pStyle w:val="TableText"/>
              <w:keepNext/>
            </w:pPr>
            <w:r w:rsidRPr="007B78B3">
              <w:t>I</w:t>
            </w:r>
          </w:p>
        </w:tc>
        <w:tc>
          <w:tcPr>
            <w:tcW w:w="890" w:type="pct"/>
            <w:vAlign w:val="center"/>
          </w:tcPr>
          <w:p w14:paraId="60CA4297"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b</w:t>
            </w:r>
          </w:p>
        </w:tc>
        <w:tc>
          <w:tcPr>
            <w:tcW w:w="527" w:type="pct"/>
            <w:vAlign w:val="center"/>
          </w:tcPr>
          <w:p w14:paraId="4A69839B" w14:textId="77777777" w:rsidR="003142C0" w:rsidRPr="007B78B3" w:rsidRDefault="003142C0" w:rsidP="003142C0">
            <w:pPr>
              <w:pStyle w:val="TableText"/>
              <w:keepNext/>
            </w:pPr>
            <w:r w:rsidRPr="007B78B3">
              <w:t>1</w:t>
            </w:r>
          </w:p>
        </w:tc>
        <w:tc>
          <w:tcPr>
            <w:tcW w:w="309" w:type="pct"/>
            <w:vAlign w:val="center"/>
          </w:tcPr>
          <w:p w14:paraId="4CEAA89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152E6D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46FEB6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4A79C74"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r>
      <w:tr w:rsidR="003142C0" w:rsidRPr="007B78B3" w14:paraId="75633011" w14:textId="77777777" w:rsidTr="003142C0">
        <w:trPr>
          <w:cantSplit/>
        </w:trPr>
        <w:tc>
          <w:tcPr>
            <w:tcW w:w="1300" w:type="pct"/>
            <w:vMerge w:val="restart"/>
            <w:tcMar>
              <w:left w:w="28" w:type="dxa"/>
              <w:right w:w="28" w:type="dxa"/>
            </w:tcMar>
            <w:vAlign w:val="center"/>
          </w:tcPr>
          <w:p w14:paraId="448B6C5E" w14:textId="77777777" w:rsidR="003142C0" w:rsidRPr="007B78B3" w:rsidRDefault="003142C0" w:rsidP="003142C0">
            <w:pPr>
              <w:pStyle w:val="TableText"/>
              <w:keepNext/>
              <w:jc w:val="left"/>
            </w:pPr>
            <w:r w:rsidRPr="007B78B3">
              <w:t>Current coil self-heating</w:t>
            </w:r>
            <w:r w:rsidRPr="007B78B3">
              <w:rPr>
                <w:vertAlign w:val="superscript"/>
              </w:rPr>
              <w:t>9</w:t>
            </w:r>
          </w:p>
        </w:tc>
        <w:tc>
          <w:tcPr>
            <w:tcW w:w="692" w:type="pct"/>
            <w:vMerge w:val="restart"/>
            <w:shd w:val="clear" w:color="auto" w:fill="auto"/>
            <w:vAlign w:val="center"/>
          </w:tcPr>
          <w:p w14:paraId="33C919B5" w14:textId="77777777" w:rsidR="003142C0" w:rsidRPr="007B78B3" w:rsidRDefault="003142C0" w:rsidP="003142C0">
            <w:pPr>
              <w:pStyle w:val="TableText"/>
              <w:keepNext/>
            </w:pPr>
            <w:r w:rsidRPr="007B78B3">
              <w:rPr>
                <w:rFonts w:eastAsia="Times"/>
              </w:rPr>
              <w:t>AS 1284.1</w:t>
            </w:r>
            <w:r w:rsidRPr="007B78B3">
              <w:rPr>
                <w:rFonts w:eastAsia="Times"/>
                <w:vertAlign w:val="superscript"/>
              </w:rPr>
              <w:t>10</w:t>
            </w:r>
            <w:r w:rsidRPr="007B78B3">
              <w:rPr>
                <w:rFonts w:eastAsia="Times"/>
              </w:rPr>
              <w:t xml:space="preserve"> </w:t>
            </w:r>
          </w:p>
        </w:tc>
        <w:tc>
          <w:tcPr>
            <w:tcW w:w="395" w:type="pct"/>
            <w:vMerge w:val="restart"/>
            <w:vAlign w:val="center"/>
          </w:tcPr>
          <w:p w14:paraId="44EBFA23" w14:textId="77777777" w:rsidR="003142C0" w:rsidRPr="007B78B3" w:rsidRDefault="003142C0" w:rsidP="003142C0">
            <w:pPr>
              <w:pStyle w:val="TableText"/>
              <w:keepNext/>
            </w:pPr>
            <w:r w:rsidRPr="007B78B3">
              <w:t>D</w:t>
            </w:r>
          </w:p>
        </w:tc>
        <w:tc>
          <w:tcPr>
            <w:tcW w:w="890" w:type="pct"/>
            <w:vAlign w:val="center"/>
          </w:tcPr>
          <w:p w14:paraId="2BE7F233"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p>
        </w:tc>
        <w:tc>
          <w:tcPr>
            <w:tcW w:w="527" w:type="pct"/>
            <w:vAlign w:val="center"/>
          </w:tcPr>
          <w:p w14:paraId="7C434E10" w14:textId="77777777" w:rsidR="003142C0" w:rsidRPr="007B78B3" w:rsidRDefault="003142C0" w:rsidP="003142C0">
            <w:pPr>
              <w:pStyle w:val="TableText"/>
              <w:keepNext/>
            </w:pPr>
            <w:r w:rsidRPr="007B78B3">
              <w:t>1</w:t>
            </w:r>
          </w:p>
        </w:tc>
        <w:tc>
          <w:tcPr>
            <w:tcW w:w="309" w:type="pct"/>
            <w:vAlign w:val="center"/>
          </w:tcPr>
          <w:p w14:paraId="3D16BD3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C65B5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4E29E2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4D974D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581F4F81" w14:textId="77777777" w:rsidTr="003142C0">
        <w:trPr>
          <w:cantSplit/>
        </w:trPr>
        <w:tc>
          <w:tcPr>
            <w:tcW w:w="1300" w:type="pct"/>
            <w:vMerge/>
            <w:tcMar>
              <w:left w:w="28" w:type="dxa"/>
              <w:right w:w="28" w:type="dxa"/>
            </w:tcMar>
            <w:vAlign w:val="center"/>
          </w:tcPr>
          <w:p w14:paraId="7937FA94" w14:textId="77777777" w:rsidR="003142C0" w:rsidRPr="007B78B3" w:rsidRDefault="003142C0" w:rsidP="003142C0">
            <w:pPr>
              <w:pStyle w:val="TableText"/>
              <w:keepNext/>
              <w:jc w:val="left"/>
            </w:pPr>
          </w:p>
        </w:tc>
        <w:tc>
          <w:tcPr>
            <w:tcW w:w="692" w:type="pct"/>
            <w:vMerge/>
            <w:shd w:val="clear" w:color="auto" w:fill="auto"/>
            <w:vAlign w:val="center"/>
          </w:tcPr>
          <w:p w14:paraId="7394EA16" w14:textId="77777777" w:rsidR="003142C0" w:rsidRPr="007B78B3" w:rsidRDefault="003142C0" w:rsidP="003142C0">
            <w:pPr>
              <w:pStyle w:val="TableText"/>
              <w:keepNext/>
            </w:pPr>
          </w:p>
        </w:tc>
        <w:tc>
          <w:tcPr>
            <w:tcW w:w="395" w:type="pct"/>
            <w:vMerge/>
            <w:vAlign w:val="center"/>
          </w:tcPr>
          <w:p w14:paraId="32E5449B" w14:textId="77777777" w:rsidR="003142C0" w:rsidRPr="007B78B3" w:rsidRDefault="003142C0" w:rsidP="003142C0">
            <w:pPr>
              <w:pStyle w:val="TableText"/>
              <w:keepNext/>
            </w:pPr>
          </w:p>
        </w:tc>
        <w:tc>
          <w:tcPr>
            <w:tcW w:w="890" w:type="pct"/>
            <w:vAlign w:val="center"/>
          </w:tcPr>
          <w:p w14:paraId="2085B677"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p>
        </w:tc>
        <w:tc>
          <w:tcPr>
            <w:tcW w:w="527" w:type="pct"/>
            <w:vAlign w:val="center"/>
          </w:tcPr>
          <w:p w14:paraId="44B5C9FF" w14:textId="77777777" w:rsidR="003142C0" w:rsidRPr="007B78B3" w:rsidRDefault="003142C0" w:rsidP="003142C0">
            <w:pPr>
              <w:pStyle w:val="TableText"/>
              <w:keepNext/>
            </w:pPr>
            <w:r w:rsidRPr="007B78B3">
              <w:t>0.5 ind.</w:t>
            </w:r>
          </w:p>
        </w:tc>
        <w:tc>
          <w:tcPr>
            <w:tcW w:w="309" w:type="pct"/>
            <w:vAlign w:val="center"/>
          </w:tcPr>
          <w:p w14:paraId="0D13228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21FE47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C8D74A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9C07A44"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6A6F824A" w14:textId="77777777" w:rsidTr="003142C0">
        <w:trPr>
          <w:cantSplit/>
        </w:trPr>
        <w:tc>
          <w:tcPr>
            <w:tcW w:w="1300" w:type="pct"/>
            <w:vMerge w:val="restart"/>
            <w:tcMar>
              <w:left w:w="28" w:type="dxa"/>
              <w:right w:w="28" w:type="dxa"/>
            </w:tcMar>
            <w:vAlign w:val="center"/>
          </w:tcPr>
          <w:p w14:paraId="4439E8AC" w14:textId="77777777" w:rsidR="003142C0" w:rsidRPr="007B78B3" w:rsidRDefault="003142C0" w:rsidP="003142C0">
            <w:pPr>
              <w:pStyle w:val="TableText"/>
              <w:keepNext/>
              <w:jc w:val="left"/>
            </w:pPr>
            <w:r w:rsidRPr="007B78B3">
              <w:t>Alternative usage and phase reversal (balanced two-element driven)</w:t>
            </w:r>
            <w:r w:rsidRPr="007B78B3">
              <w:rPr>
                <w:vertAlign w:val="superscript"/>
              </w:rPr>
              <w:t>9</w:t>
            </w:r>
          </w:p>
        </w:tc>
        <w:tc>
          <w:tcPr>
            <w:tcW w:w="692" w:type="pct"/>
            <w:vMerge w:val="restart"/>
            <w:shd w:val="clear" w:color="auto" w:fill="auto"/>
            <w:vAlign w:val="center"/>
          </w:tcPr>
          <w:p w14:paraId="7C9FDC08"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1BC91F09" w14:textId="77777777" w:rsidR="003142C0" w:rsidRPr="007B78B3" w:rsidRDefault="003142C0" w:rsidP="003142C0">
            <w:pPr>
              <w:pStyle w:val="TableText"/>
              <w:keepNext/>
            </w:pPr>
            <w:r w:rsidRPr="007B78B3">
              <w:t>D</w:t>
            </w:r>
          </w:p>
        </w:tc>
        <w:tc>
          <w:tcPr>
            <w:tcW w:w="890" w:type="pct"/>
            <w:vAlign w:val="center"/>
          </w:tcPr>
          <w:p w14:paraId="0DB86720"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p>
        </w:tc>
        <w:tc>
          <w:tcPr>
            <w:tcW w:w="527" w:type="pct"/>
            <w:vAlign w:val="center"/>
          </w:tcPr>
          <w:p w14:paraId="7658FBB5" w14:textId="77777777" w:rsidR="003142C0" w:rsidRPr="007B78B3" w:rsidRDefault="003142C0" w:rsidP="003142C0">
            <w:pPr>
              <w:pStyle w:val="TableText"/>
              <w:keepNext/>
            </w:pPr>
            <w:r w:rsidRPr="007B78B3">
              <w:t>1</w:t>
            </w:r>
          </w:p>
        </w:tc>
        <w:tc>
          <w:tcPr>
            <w:tcW w:w="309" w:type="pct"/>
            <w:vAlign w:val="center"/>
          </w:tcPr>
          <w:p w14:paraId="4EBD3AB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C82C1A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4C9DA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948018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028FAAE2" w14:textId="77777777" w:rsidTr="003142C0">
        <w:trPr>
          <w:cantSplit/>
        </w:trPr>
        <w:tc>
          <w:tcPr>
            <w:tcW w:w="1300" w:type="pct"/>
            <w:vMerge/>
            <w:tcMar>
              <w:left w:w="28" w:type="dxa"/>
              <w:right w:w="28" w:type="dxa"/>
            </w:tcMar>
            <w:vAlign w:val="center"/>
          </w:tcPr>
          <w:p w14:paraId="52E64073" w14:textId="77777777" w:rsidR="003142C0" w:rsidRPr="007B78B3" w:rsidRDefault="003142C0" w:rsidP="003142C0">
            <w:pPr>
              <w:pStyle w:val="TableText"/>
              <w:keepNext/>
              <w:jc w:val="left"/>
            </w:pPr>
          </w:p>
        </w:tc>
        <w:tc>
          <w:tcPr>
            <w:tcW w:w="692" w:type="pct"/>
            <w:vMerge/>
            <w:shd w:val="clear" w:color="auto" w:fill="auto"/>
            <w:vAlign w:val="center"/>
          </w:tcPr>
          <w:p w14:paraId="6643675F" w14:textId="77777777" w:rsidR="003142C0" w:rsidRPr="007B78B3" w:rsidRDefault="003142C0" w:rsidP="003142C0">
            <w:pPr>
              <w:pStyle w:val="TableText"/>
              <w:keepNext/>
            </w:pPr>
          </w:p>
        </w:tc>
        <w:tc>
          <w:tcPr>
            <w:tcW w:w="395" w:type="pct"/>
            <w:vMerge/>
            <w:vAlign w:val="center"/>
          </w:tcPr>
          <w:p w14:paraId="42E1A16C" w14:textId="77777777" w:rsidR="003142C0" w:rsidRPr="007B78B3" w:rsidRDefault="003142C0" w:rsidP="003142C0">
            <w:pPr>
              <w:pStyle w:val="TableText"/>
              <w:keepNext/>
            </w:pPr>
          </w:p>
        </w:tc>
        <w:tc>
          <w:tcPr>
            <w:tcW w:w="890" w:type="pct"/>
            <w:vAlign w:val="center"/>
          </w:tcPr>
          <w:p w14:paraId="64FA7404"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p>
        </w:tc>
        <w:tc>
          <w:tcPr>
            <w:tcW w:w="527" w:type="pct"/>
            <w:vAlign w:val="center"/>
          </w:tcPr>
          <w:p w14:paraId="774197BD" w14:textId="77777777" w:rsidR="003142C0" w:rsidRPr="007B78B3" w:rsidRDefault="003142C0" w:rsidP="003142C0">
            <w:pPr>
              <w:pStyle w:val="TableText"/>
              <w:keepNext/>
            </w:pPr>
            <w:r w:rsidRPr="007B78B3">
              <w:t>1</w:t>
            </w:r>
          </w:p>
        </w:tc>
        <w:tc>
          <w:tcPr>
            <w:tcW w:w="309" w:type="pct"/>
            <w:vAlign w:val="center"/>
          </w:tcPr>
          <w:p w14:paraId="2A6729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2A2311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342A94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F650C25"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53A453EC" w14:textId="77777777" w:rsidTr="003142C0">
        <w:trPr>
          <w:cantSplit/>
        </w:trPr>
        <w:tc>
          <w:tcPr>
            <w:tcW w:w="1300" w:type="pct"/>
            <w:vMerge w:val="restart"/>
            <w:tcMar>
              <w:left w:w="28" w:type="dxa"/>
              <w:right w:w="0" w:type="dxa"/>
            </w:tcMar>
            <w:vAlign w:val="center"/>
          </w:tcPr>
          <w:p w14:paraId="5C9B3F7F" w14:textId="77777777" w:rsidR="003142C0" w:rsidRPr="007B78B3" w:rsidRDefault="003142C0" w:rsidP="003142C0">
            <w:pPr>
              <w:pStyle w:val="TableText"/>
              <w:keepNext/>
              <w:jc w:val="left"/>
            </w:pPr>
            <w:r w:rsidRPr="007B78B3">
              <w:t>Alternative usage and phase reversal (single-element driven)</w:t>
            </w:r>
            <w:r w:rsidRPr="007B78B3">
              <w:rPr>
                <w:vertAlign w:val="superscript"/>
              </w:rPr>
              <w:t>9</w:t>
            </w:r>
          </w:p>
        </w:tc>
        <w:tc>
          <w:tcPr>
            <w:tcW w:w="692" w:type="pct"/>
            <w:vMerge w:val="restart"/>
            <w:shd w:val="clear" w:color="auto" w:fill="auto"/>
            <w:vAlign w:val="center"/>
          </w:tcPr>
          <w:p w14:paraId="4ADFC919"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0632AC63" w14:textId="77777777" w:rsidR="003142C0" w:rsidRPr="007B78B3" w:rsidRDefault="003142C0" w:rsidP="003142C0">
            <w:pPr>
              <w:pStyle w:val="TableText"/>
              <w:keepNext/>
            </w:pPr>
            <w:r w:rsidRPr="007B78B3">
              <w:t>D</w:t>
            </w:r>
          </w:p>
        </w:tc>
        <w:tc>
          <w:tcPr>
            <w:tcW w:w="890" w:type="pct"/>
            <w:vAlign w:val="center"/>
          </w:tcPr>
          <w:p w14:paraId="610BFF72"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b</w:t>
            </w:r>
          </w:p>
        </w:tc>
        <w:tc>
          <w:tcPr>
            <w:tcW w:w="527" w:type="pct"/>
            <w:vAlign w:val="center"/>
          </w:tcPr>
          <w:p w14:paraId="24539C12" w14:textId="77777777" w:rsidR="003142C0" w:rsidRPr="007B78B3" w:rsidRDefault="003142C0" w:rsidP="003142C0">
            <w:pPr>
              <w:pStyle w:val="TableText"/>
              <w:keepNext/>
            </w:pPr>
            <w:r w:rsidRPr="007B78B3">
              <w:t>1</w:t>
            </w:r>
          </w:p>
        </w:tc>
        <w:tc>
          <w:tcPr>
            <w:tcW w:w="309" w:type="pct"/>
            <w:vAlign w:val="center"/>
          </w:tcPr>
          <w:p w14:paraId="3697285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FF38E9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1DB1E96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D55121A"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55CF46A1" w14:textId="77777777" w:rsidTr="003142C0">
        <w:trPr>
          <w:cantSplit/>
        </w:trPr>
        <w:tc>
          <w:tcPr>
            <w:tcW w:w="1300" w:type="pct"/>
            <w:vMerge/>
            <w:tcMar>
              <w:left w:w="28" w:type="dxa"/>
              <w:right w:w="28" w:type="dxa"/>
            </w:tcMar>
            <w:vAlign w:val="center"/>
          </w:tcPr>
          <w:p w14:paraId="623474D3" w14:textId="77777777" w:rsidR="003142C0" w:rsidRPr="007B78B3" w:rsidRDefault="003142C0" w:rsidP="003142C0">
            <w:pPr>
              <w:pStyle w:val="TableText"/>
              <w:keepNext/>
              <w:jc w:val="left"/>
            </w:pPr>
          </w:p>
        </w:tc>
        <w:tc>
          <w:tcPr>
            <w:tcW w:w="692" w:type="pct"/>
            <w:vMerge/>
            <w:shd w:val="clear" w:color="auto" w:fill="auto"/>
            <w:vAlign w:val="center"/>
          </w:tcPr>
          <w:p w14:paraId="1172B8AB" w14:textId="77777777" w:rsidR="003142C0" w:rsidRPr="007B78B3" w:rsidRDefault="003142C0" w:rsidP="003142C0">
            <w:pPr>
              <w:pStyle w:val="TableText"/>
              <w:keepNext/>
            </w:pPr>
          </w:p>
        </w:tc>
        <w:tc>
          <w:tcPr>
            <w:tcW w:w="395" w:type="pct"/>
            <w:vMerge/>
            <w:vAlign w:val="center"/>
          </w:tcPr>
          <w:p w14:paraId="79232ED1" w14:textId="77777777" w:rsidR="003142C0" w:rsidRPr="007B78B3" w:rsidRDefault="003142C0" w:rsidP="003142C0">
            <w:pPr>
              <w:pStyle w:val="TableText"/>
              <w:keepNext/>
            </w:pPr>
          </w:p>
        </w:tc>
        <w:tc>
          <w:tcPr>
            <w:tcW w:w="890" w:type="pct"/>
            <w:vAlign w:val="center"/>
          </w:tcPr>
          <w:p w14:paraId="55C7F8B1"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2 </w:t>
            </w:r>
            <w:r w:rsidRPr="00FA46D9">
              <w:rPr>
                <w:rFonts w:ascii="Cambria Math" w:hAnsi="Cambria Math"/>
                <w:i/>
              </w:rPr>
              <w:t>I</w:t>
            </w:r>
            <w:r w:rsidRPr="00FA46D9">
              <w:rPr>
                <w:rFonts w:ascii="Cambria Math" w:hAnsi="Cambria Math"/>
                <w:vertAlign w:val="subscript"/>
              </w:rPr>
              <w:t>b</w:t>
            </w:r>
          </w:p>
        </w:tc>
        <w:tc>
          <w:tcPr>
            <w:tcW w:w="527" w:type="pct"/>
            <w:vAlign w:val="center"/>
          </w:tcPr>
          <w:p w14:paraId="739C8660" w14:textId="77777777" w:rsidR="003142C0" w:rsidRPr="007B78B3" w:rsidRDefault="003142C0" w:rsidP="003142C0">
            <w:pPr>
              <w:pStyle w:val="TableText"/>
              <w:keepNext/>
            </w:pPr>
            <w:r w:rsidRPr="007B78B3">
              <w:t>1</w:t>
            </w:r>
          </w:p>
        </w:tc>
        <w:tc>
          <w:tcPr>
            <w:tcW w:w="309" w:type="pct"/>
            <w:vAlign w:val="center"/>
          </w:tcPr>
          <w:p w14:paraId="56DBF62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800C5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E673AD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5948B832"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2F59EE1A" w14:textId="77777777" w:rsidTr="003142C0">
        <w:trPr>
          <w:cantSplit/>
        </w:trPr>
        <w:tc>
          <w:tcPr>
            <w:tcW w:w="1300" w:type="pct"/>
            <w:tcMar>
              <w:left w:w="28" w:type="dxa"/>
              <w:right w:w="28" w:type="dxa"/>
            </w:tcMar>
            <w:vAlign w:val="center"/>
          </w:tcPr>
          <w:p w14:paraId="0BD580FB" w14:textId="77777777" w:rsidR="003142C0" w:rsidRPr="007B78B3" w:rsidRDefault="003142C0" w:rsidP="003142C0">
            <w:pPr>
              <w:pStyle w:val="TableText"/>
              <w:keepNext/>
              <w:jc w:val="left"/>
            </w:pPr>
            <w:r w:rsidRPr="007B78B3">
              <w:t>Register friction</w:t>
            </w:r>
            <w:r w:rsidRPr="007B78B3">
              <w:rPr>
                <w:vertAlign w:val="superscript"/>
              </w:rPr>
              <w:t>9</w:t>
            </w:r>
          </w:p>
        </w:tc>
        <w:tc>
          <w:tcPr>
            <w:tcW w:w="692" w:type="pct"/>
            <w:shd w:val="clear" w:color="auto" w:fill="auto"/>
            <w:vAlign w:val="center"/>
          </w:tcPr>
          <w:p w14:paraId="18C1E5A4" w14:textId="77777777" w:rsidR="003142C0" w:rsidRPr="007B78B3" w:rsidRDefault="003142C0" w:rsidP="003142C0">
            <w:pPr>
              <w:pStyle w:val="TableText"/>
              <w:keepNext/>
            </w:pPr>
            <w:r w:rsidRPr="007B78B3">
              <w:rPr>
                <w:rFonts w:eastAsia="Times"/>
              </w:rPr>
              <w:t>AS 1284.1</w:t>
            </w:r>
          </w:p>
        </w:tc>
        <w:tc>
          <w:tcPr>
            <w:tcW w:w="395" w:type="pct"/>
            <w:vAlign w:val="center"/>
          </w:tcPr>
          <w:p w14:paraId="619390DA" w14:textId="77777777" w:rsidR="003142C0" w:rsidRPr="007B78B3" w:rsidRDefault="003142C0" w:rsidP="003142C0">
            <w:pPr>
              <w:pStyle w:val="TableText"/>
              <w:keepNext/>
            </w:pPr>
            <w:r w:rsidRPr="007B78B3">
              <w:t>D</w:t>
            </w:r>
          </w:p>
        </w:tc>
        <w:tc>
          <w:tcPr>
            <w:tcW w:w="890" w:type="pct"/>
            <w:vAlign w:val="center"/>
          </w:tcPr>
          <w:p w14:paraId="7528F7F3"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p>
        </w:tc>
        <w:tc>
          <w:tcPr>
            <w:tcW w:w="527" w:type="pct"/>
            <w:vAlign w:val="center"/>
          </w:tcPr>
          <w:p w14:paraId="3FBD0FAD" w14:textId="77777777" w:rsidR="003142C0" w:rsidRPr="007B78B3" w:rsidRDefault="003142C0" w:rsidP="003142C0">
            <w:pPr>
              <w:pStyle w:val="TableText"/>
              <w:keepNext/>
            </w:pPr>
            <w:r w:rsidRPr="007B78B3">
              <w:t>1</w:t>
            </w:r>
          </w:p>
        </w:tc>
        <w:tc>
          <w:tcPr>
            <w:tcW w:w="309" w:type="pct"/>
            <w:vAlign w:val="center"/>
          </w:tcPr>
          <w:p w14:paraId="530F36F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9BD6B4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2C8E3F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FDF94B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7733D1A8" w14:textId="77777777" w:rsidTr="003142C0">
        <w:trPr>
          <w:cantSplit/>
        </w:trPr>
        <w:tc>
          <w:tcPr>
            <w:tcW w:w="1300" w:type="pct"/>
            <w:tcMar>
              <w:left w:w="28" w:type="dxa"/>
              <w:right w:w="28" w:type="dxa"/>
            </w:tcMar>
            <w:vAlign w:val="center"/>
          </w:tcPr>
          <w:p w14:paraId="28103450" w14:textId="77777777" w:rsidR="003142C0" w:rsidRPr="007B78B3" w:rsidRDefault="003142C0" w:rsidP="003142C0">
            <w:pPr>
              <w:pStyle w:val="TableText"/>
              <w:keepNext/>
              <w:jc w:val="left"/>
            </w:pPr>
            <w:r w:rsidRPr="007B78B3">
              <w:t>Register changeover</w:t>
            </w:r>
            <w:r w:rsidRPr="007B78B3">
              <w:rPr>
                <w:vertAlign w:val="superscript"/>
              </w:rPr>
              <w:t>9</w:t>
            </w:r>
          </w:p>
        </w:tc>
        <w:tc>
          <w:tcPr>
            <w:tcW w:w="692" w:type="pct"/>
            <w:shd w:val="clear" w:color="auto" w:fill="auto"/>
            <w:vAlign w:val="center"/>
          </w:tcPr>
          <w:p w14:paraId="10B3A4E0" w14:textId="77777777" w:rsidR="003142C0" w:rsidRPr="007B78B3" w:rsidRDefault="003142C0" w:rsidP="003142C0">
            <w:pPr>
              <w:pStyle w:val="TableText"/>
              <w:keepNext/>
            </w:pPr>
            <w:r w:rsidRPr="007B78B3">
              <w:rPr>
                <w:rFonts w:eastAsia="Times"/>
              </w:rPr>
              <w:t>AS 1284.1</w:t>
            </w:r>
          </w:p>
        </w:tc>
        <w:tc>
          <w:tcPr>
            <w:tcW w:w="395" w:type="pct"/>
            <w:vAlign w:val="center"/>
          </w:tcPr>
          <w:p w14:paraId="56C8E79C" w14:textId="77777777" w:rsidR="003142C0" w:rsidRPr="007B78B3" w:rsidRDefault="003142C0" w:rsidP="003142C0">
            <w:pPr>
              <w:pStyle w:val="TableText"/>
              <w:keepNext/>
            </w:pPr>
            <w:r w:rsidRPr="007B78B3">
              <w:t>D</w:t>
            </w:r>
          </w:p>
        </w:tc>
        <w:tc>
          <w:tcPr>
            <w:tcW w:w="890" w:type="pct"/>
            <w:vAlign w:val="center"/>
          </w:tcPr>
          <w:p w14:paraId="746A3B63"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w:t>
            </w:r>
          </w:p>
        </w:tc>
        <w:tc>
          <w:tcPr>
            <w:tcW w:w="527" w:type="pct"/>
            <w:vAlign w:val="center"/>
          </w:tcPr>
          <w:p w14:paraId="2A753E80" w14:textId="77777777" w:rsidR="003142C0" w:rsidRPr="007B78B3" w:rsidRDefault="003142C0" w:rsidP="003142C0">
            <w:pPr>
              <w:pStyle w:val="TableText"/>
              <w:keepNext/>
            </w:pPr>
            <w:r w:rsidRPr="007B78B3">
              <w:t>1</w:t>
            </w:r>
          </w:p>
        </w:tc>
        <w:tc>
          <w:tcPr>
            <w:tcW w:w="309" w:type="pct"/>
            <w:vAlign w:val="center"/>
          </w:tcPr>
          <w:p w14:paraId="6EEB7FF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B988A1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5F71F5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7479941B"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r>
      <w:tr w:rsidR="003142C0" w:rsidRPr="007B78B3" w14:paraId="79271061" w14:textId="77777777" w:rsidTr="003142C0">
        <w:trPr>
          <w:cantSplit/>
        </w:trPr>
        <w:tc>
          <w:tcPr>
            <w:tcW w:w="1300" w:type="pct"/>
            <w:vMerge w:val="restart"/>
            <w:tcMar>
              <w:left w:w="28" w:type="dxa"/>
              <w:right w:w="28" w:type="dxa"/>
            </w:tcMar>
            <w:vAlign w:val="center"/>
          </w:tcPr>
          <w:p w14:paraId="19FF11FE" w14:textId="77777777" w:rsidR="003142C0" w:rsidRPr="007B78B3" w:rsidRDefault="003142C0" w:rsidP="003142C0">
            <w:pPr>
              <w:pStyle w:val="TableText"/>
              <w:keepNext/>
              <w:jc w:val="left"/>
            </w:pPr>
            <w:r w:rsidRPr="007B78B3">
              <w:t>Shock</w:t>
            </w:r>
            <w:r w:rsidRPr="007B78B3">
              <w:rPr>
                <w:vertAlign w:val="superscript"/>
              </w:rPr>
              <w:t>9</w:t>
            </w:r>
          </w:p>
        </w:tc>
        <w:tc>
          <w:tcPr>
            <w:tcW w:w="692" w:type="pct"/>
            <w:vMerge w:val="restart"/>
            <w:shd w:val="clear" w:color="auto" w:fill="auto"/>
            <w:vAlign w:val="center"/>
          </w:tcPr>
          <w:p w14:paraId="69620FC4"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7203D1E1" w14:textId="77777777" w:rsidR="003142C0" w:rsidRPr="007B78B3" w:rsidRDefault="003142C0" w:rsidP="003142C0">
            <w:pPr>
              <w:pStyle w:val="TableText"/>
              <w:keepNext/>
            </w:pPr>
            <w:r w:rsidRPr="007B78B3">
              <w:t>D</w:t>
            </w:r>
          </w:p>
        </w:tc>
        <w:tc>
          <w:tcPr>
            <w:tcW w:w="890" w:type="pct"/>
            <w:vAlign w:val="center"/>
          </w:tcPr>
          <w:p w14:paraId="1797925C"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w:t>
            </w:r>
          </w:p>
        </w:tc>
        <w:tc>
          <w:tcPr>
            <w:tcW w:w="527" w:type="pct"/>
            <w:vAlign w:val="center"/>
          </w:tcPr>
          <w:p w14:paraId="2CD6A35F" w14:textId="77777777" w:rsidR="003142C0" w:rsidRPr="007B78B3" w:rsidRDefault="003142C0" w:rsidP="003142C0">
            <w:pPr>
              <w:pStyle w:val="TableText"/>
              <w:keepNext/>
            </w:pPr>
            <w:r w:rsidRPr="007B78B3">
              <w:t>1</w:t>
            </w:r>
          </w:p>
        </w:tc>
        <w:tc>
          <w:tcPr>
            <w:tcW w:w="309" w:type="pct"/>
            <w:vAlign w:val="center"/>
          </w:tcPr>
          <w:p w14:paraId="4146461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FFB73E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C9A9B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23EAAB1"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024ED6D2" w14:textId="77777777" w:rsidTr="003142C0">
        <w:trPr>
          <w:cantSplit/>
        </w:trPr>
        <w:tc>
          <w:tcPr>
            <w:tcW w:w="1300" w:type="pct"/>
            <w:vMerge/>
            <w:tcMar>
              <w:left w:w="28" w:type="dxa"/>
              <w:right w:w="28" w:type="dxa"/>
            </w:tcMar>
            <w:vAlign w:val="center"/>
          </w:tcPr>
          <w:p w14:paraId="6AAC4F66" w14:textId="77777777" w:rsidR="003142C0" w:rsidRPr="007B78B3" w:rsidRDefault="003142C0" w:rsidP="003142C0">
            <w:pPr>
              <w:pStyle w:val="TableText"/>
              <w:keepNext/>
            </w:pPr>
          </w:p>
        </w:tc>
        <w:tc>
          <w:tcPr>
            <w:tcW w:w="692" w:type="pct"/>
            <w:vMerge/>
            <w:shd w:val="clear" w:color="auto" w:fill="auto"/>
            <w:vAlign w:val="center"/>
          </w:tcPr>
          <w:p w14:paraId="6F6EE720" w14:textId="77777777" w:rsidR="003142C0" w:rsidRPr="007B78B3" w:rsidRDefault="003142C0" w:rsidP="003142C0">
            <w:pPr>
              <w:pStyle w:val="TableText"/>
              <w:keepNext/>
            </w:pPr>
          </w:p>
        </w:tc>
        <w:tc>
          <w:tcPr>
            <w:tcW w:w="395" w:type="pct"/>
            <w:vMerge/>
            <w:vAlign w:val="center"/>
          </w:tcPr>
          <w:p w14:paraId="0CA5A61F" w14:textId="77777777" w:rsidR="003142C0" w:rsidRPr="007B78B3" w:rsidRDefault="003142C0" w:rsidP="003142C0">
            <w:pPr>
              <w:pStyle w:val="TableText"/>
              <w:keepNext/>
            </w:pPr>
          </w:p>
        </w:tc>
        <w:tc>
          <w:tcPr>
            <w:tcW w:w="890" w:type="pct"/>
            <w:vAlign w:val="center"/>
          </w:tcPr>
          <w:p w14:paraId="49E2B187"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w:t>
            </w:r>
          </w:p>
        </w:tc>
        <w:tc>
          <w:tcPr>
            <w:tcW w:w="527" w:type="pct"/>
            <w:vAlign w:val="center"/>
          </w:tcPr>
          <w:p w14:paraId="18C15FB6" w14:textId="77777777" w:rsidR="003142C0" w:rsidRPr="007B78B3" w:rsidRDefault="003142C0" w:rsidP="003142C0">
            <w:pPr>
              <w:pStyle w:val="TableText"/>
              <w:keepNext/>
            </w:pPr>
            <w:r w:rsidRPr="007B78B3">
              <w:t>1</w:t>
            </w:r>
          </w:p>
        </w:tc>
        <w:tc>
          <w:tcPr>
            <w:tcW w:w="309" w:type="pct"/>
            <w:vAlign w:val="center"/>
          </w:tcPr>
          <w:p w14:paraId="4D81908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E92427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C0D9F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19EC094" w14:textId="77777777" w:rsidR="003142C0" w:rsidRPr="00FA46D9" w:rsidRDefault="003142C0" w:rsidP="003142C0">
            <w:pPr>
              <w:pStyle w:val="TableText"/>
              <w:keepNext/>
              <w:rPr>
                <w:rFonts w:ascii="Cambria Math" w:hAnsi="Cambria Math"/>
              </w:rPr>
            </w:pPr>
            <w:r w:rsidRPr="00FA46D9">
              <w:rPr>
                <w:rFonts w:ascii="Cambria Math" w:hAnsi="Cambria Math"/>
              </w:rPr>
              <w:t>0.3</w:t>
            </w:r>
          </w:p>
        </w:tc>
      </w:tr>
      <w:tr w:rsidR="003142C0" w:rsidRPr="007B78B3" w14:paraId="00FA1DED" w14:textId="77777777" w:rsidTr="003142C0">
        <w:trPr>
          <w:cantSplit/>
        </w:trPr>
        <w:tc>
          <w:tcPr>
            <w:tcW w:w="1300" w:type="pct"/>
            <w:vMerge/>
            <w:tcMar>
              <w:left w:w="28" w:type="dxa"/>
              <w:right w:w="28" w:type="dxa"/>
            </w:tcMar>
            <w:vAlign w:val="center"/>
          </w:tcPr>
          <w:p w14:paraId="2593DCBB" w14:textId="77777777" w:rsidR="003142C0" w:rsidRPr="007B78B3" w:rsidRDefault="003142C0" w:rsidP="003142C0">
            <w:pPr>
              <w:pStyle w:val="TableText"/>
              <w:keepNext/>
            </w:pPr>
          </w:p>
        </w:tc>
        <w:tc>
          <w:tcPr>
            <w:tcW w:w="692" w:type="pct"/>
            <w:vMerge/>
            <w:shd w:val="clear" w:color="auto" w:fill="auto"/>
            <w:vAlign w:val="center"/>
          </w:tcPr>
          <w:p w14:paraId="3487AC62" w14:textId="77777777" w:rsidR="003142C0" w:rsidRPr="007B78B3" w:rsidRDefault="003142C0" w:rsidP="003142C0">
            <w:pPr>
              <w:pStyle w:val="TableText"/>
              <w:keepNext/>
            </w:pPr>
          </w:p>
        </w:tc>
        <w:tc>
          <w:tcPr>
            <w:tcW w:w="395" w:type="pct"/>
            <w:vMerge/>
            <w:vAlign w:val="center"/>
          </w:tcPr>
          <w:p w14:paraId="53ECE9CB" w14:textId="77777777" w:rsidR="003142C0" w:rsidRPr="007B78B3" w:rsidRDefault="003142C0" w:rsidP="003142C0">
            <w:pPr>
              <w:pStyle w:val="TableText"/>
              <w:keepNext/>
            </w:pPr>
          </w:p>
        </w:tc>
        <w:tc>
          <w:tcPr>
            <w:tcW w:w="890" w:type="pct"/>
            <w:vAlign w:val="center"/>
          </w:tcPr>
          <w:p w14:paraId="42D1E172"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b</w:t>
            </w:r>
            <w:r w:rsidRPr="00FA46D9">
              <w:rPr>
                <w:rFonts w:ascii="Cambria Math" w:hAnsi="Cambria Math"/>
              </w:rPr>
              <w:t xml:space="preserve"> </w:t>
            </w:r>
          </w:p>
        </w:tc>
        <w:tc>
          <w:tcPr>
            <w:tcW w:w="527" w:type="pct"/>
            <w:vAlign w:val="center"/>
          </w:tcPr>
          <w:p w14:paraId="08C29DF2" w14:textId="77777777" w:rsidR="003142C0" w:rsidRPr="007B78B3" w:rsidRDefault="003142C0" w:rsidP="003142C0">
            <w:pPr>
              <w:pStyle w:val="TableText"/>
              <w:keepNext/>
            </w:pPr>
            <w:r w:rsidRPr="007B78B3">
              <w:t>0.5 ind.</w:t>
            </w:r>
          </w:p>
        </w:tc>
        <w:tc>
          <w:tcPr>
            <w:tcW w:w="309" w:type="pct"/>
            <w:vAlign w:val="center"/>
          </w:tcPr>
          <w:p w14:paraId="2D3203F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2CFC7C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8308A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6930675C" w14:textId="77777777" w:rsidR="003142C0" w:rsidRPr="00FA46D9" w:rsidRDefault="003142C0" w:rsidP="003142C0">
            <w:pPr>
              <w:pStyle w:val="TableText"/>
              <w:keepNext/>
              <w:rPr>
                <w:rFonts w:ascii="Cambria Math" w:hAnsi="Cambria Math"/>
              </w:rPr>
            </w:pPr>
            <w:r w:rsidRPr="00FA46D9">
              <w:rPr>
                <w:rFonts w:ascii="Cambria Math" w:hAnsi="Cambria Math"/>
              </w:rPr>
              <w:t>0.3</w:t>
            </w:r>
          </w:p>
        </w:tc>
      </w:tr>
    </w:tbl>
    <w:p w14:paraId="165AB6FC" w14:textId="77777777" w:rsidR="003142C0" w:rsidRDefault="003142C0" w:rsidP="003142C0">
      <w:pPr>
        <w:pStyle w:val="Note"/>
      </w:pPr>
      <w:r>
        <w:t>Note 1:</w:t>
      </w:r>
      <w:r>
        <w:tab/>
        <w:t>Voltage variations outside of ±10% are classified as disturbances. For the voltage ranges from –20% to –10% and +10% to +15% the limits of variation in percentage errors are three times the values given in Table 4. Below 0.8</w:t>
      </w:r>
      <w:r w:rsidRPr="008A52F7">
        <w:rPr>
          <w:rFonts w:ascii="Cambria Math" w:hAnsi="Cambria Math"/>
          <w:i/>
        </w:rPr>
        <w:t>U</w:t>
      </w:r>
      <w:r w:rsidRPr="008A52F7">
        <w:rPr>
          <w:rFonts w:ascii="Cambria Math" w:hAnsi="Cambria Math"/>
          <w:vertAlign w:val="subscript"/>
        </w:rPr>
        <w:t>n</w:t>
      </w:r>
      <w:r>
        <w:t xml:space="preserve"> the error of the meter may vary between +10% and –100%.</w:t>
      </w:r>
    </w:p>
    <w:p w14:paraId="312AA9A1" w14:textId="77777777" w:rsidR="003142C0" w:rsidRDefault="003142C0" w:rsidP="003142C0">
      <w:pPr>
        <w:pStyle w:val="Note"/>
      </w:pPr>
      <w:r>
        <w:t>Note 2:</w:t>
      </w:r>
      <w:r>
        <w:tab/>
        <w:t>Polyphase (three-phase four wire) meters shall measure and register within the limits of variation in percentage error given in Table 4 if any one or two phases of the three phase network are interrupted.</w:t>
      </w:r>
    </w:p>
    <w:p w14:paraId="4CBA60CA" w14:textId="77777777" w:rsidR="003142C0" w:rsidRDefault="003142C0" w:rsidP="003142C0">
      <w:pPr>
        <w:pStyle w:val="Note"/>
      </w:pPr>
      <w:r>
        <w:t>Note 3:</w:t>
      </w:r>
      <w:r>
        <w:tab/>
        <w:t>Applicable only if the auxiliary supply is not internally connected to the voltage measuring circuit.</w:t>
      </w:r>
    </w:p>
    <w:p w14:paraId="251FF8AB" w14:textId="77777777" w:rsidR="003142C0" w:rsidRDefault="003142C0" w:rsidP="003142C0">
      <w:pPr>
        <w:pStyle w:val="Note"/>
      </w:pPr>
      <w:r>
        <w:t>Note 4:</w:t>
      </w:r>
      <w:r>
        <w:tab/>
        <w:t>This test does not apply to transformer-operated meters.</w:t>
      </w:r>
    </w:p>
    <w:p w14:paraId="56937AA8" w14:textId="77777777" w:rsidR="003142C0" w:rsidRDefault="003142C0" w:rsidP="003142C0">
      <w:pPr>
        <w:pStyle w:val="Note"/>
      </w:pPr>
      <w:r>
        <w:t>Note 5:</w:t>
      </w:r>
      <w:r>
        <w:tab/>
        <w:t>The distortion factor of the voltage shall be less than 1%.</w:t>
      </w:r>
    </w:p>
    <w:p w14:paraId="72D56442" w14:textId="77777777" w:rsidR="003142C0" w:rsidRDefault="003142C0" w:rsidP="003142C0">
      <w:pPr>
        <w:pStyle w:val="Note"/>
      </w:pPr>
      <w:r>
        <w:t>Note 6:</w:t>
      </w:r>
      <w:r>
        <w:tab/>
        <w:t>A magnetic induction of external origin of 0.5 mT produced by a current of the same frequency as that of the voltage applied to the meter and under the most unfavourable conditions of phase and direction shall not cause a variation in the percentage error of the meter exceeding the values shown in Table 4. The magnetic induction shall be obtained by placing the meter in the centre of a circular coil, 1 m in mean diameter, of square section and of small radial thickness relative to the diameter, and having 400 At.</w:t>
      </w:r>
    </w:p>
    <w:p w14:paraId="7F742106" w14:textId="77777777" w:rsidR="003142C0" w:rsidRDefault="003142C0" w:rsidP="003142C0">
      <w:pPr>
        <w:pStyle w:val="Note"/>
      </w:pPr>
      <w:r>
        <w:t>Note 7:</w:t>
      </w:r>
      <w:r>
        <w:tab/>
        <w:t>Meters constructed with passive elements only, including electromechanical meters, are exempt from this test.</w:t>
      </w:r>
    </w:p>
    <w:p w14:paraId="2523D67F" w14:textId="77777777" w:rsidR="003142C0" w:rsidRDefault="003142C0" w:rsidP="003142C0">
      <w:pPr>
        <w:pStyle w:val="Note"/>
      </w:pPr>
      <w:r>
        <w:t>Note 8:</w:t>
      </w:r>
      <w:r>
        <w:tab/>
        <w:t>All applicable accessories (auxiliary devices) shall be tested. The meter shall be operated at reference conditions and its error continuously monitored while accessories are operated. It is preferable that the connection to the auxiliary device(s) is marked to indicate the correct method of connection. If these connections are made by means of plugs and sockets, they should be irreversible. However, in the absence of those markings or irreversible connections, the variations of errors shall not exceed those indicated in this table if the meter is tested with the connections giving the most unfavourable condition.</w:t>
      </w:r>
    </w:p>
    <w:p w14:paraId="6AE88E97" w14:textId="77777777" w:rsidR="003142C0" w:rsidRDefault="003142C0" w:rsidP="003142C0">
      <w:pPr>
        <w:pStyle w:val="Note"/>
      </w:pPr>
      <w:r>
        <w:t>Note 9:</w:t>
      </w:r>
      <w:r>
        <w:tab/>
        <w:t>This test is only required for induction meters and any other meters which may be influenced by their working position.</w:t>
      </w:r>
    </w:p>
    <w:p w14:paraId="76B3297E" w14:textId="77777777" w:rsidR="003142C0" w:rsidRDefault="003142C0" w:rsidP="003142C0">
      <w:pPr>
        <w:pStyle w:val="Note"/>
      </w:pPr>
      <w:r>
        <w:t>Note 10:</w:t>
      </w:r>
      <w:r>
        <w:tab/>
        <w:t>The meter should be preconditioned for 1 hour with the voltage circuit at reference voltage and the current circuit at zero current. The percentage error should then be determined while the current coil is still in an unheated condition.</w:t>
      </w:r>
    </w:p>
    <w:p w14:paraId="524BC3AE" w14:textId="77777777" w:rsidR="007B78B3" w:rsidRDefault="007B78B3" w:rsidP="007B78B3">
      <w:pPr>
        <w:pStyle w:val="Heading2"/>
      </w:pPr>
      <w:r>
        <w:t>Value of Maximum Permissible Error</w:t>
      </w:r>
    </w:p>
    <w:p w14:paraId="3F9EBC42" w14:textId="31C5AD91" w:rsidR="007B78B3" w:rsidRDefault="007B78B3" w:rsidP="007B78B3">
      <w:r>
        <w:t xml:space="preserve">The maximum permissible error of a meter shall not exceed the values specified in </w:t>
      </w:r>
      <w:r w:rsidR="00A54F54" w:rsidRPr="00304674">
        <w:t>Table</w:t>
      </w:r>
      <w:r w:rsidR="00A54F54">
        <w:t> </w:t>
      </w:r>
      <w:r w:rsidRPr="00304674">
        <w:t xml:space="preserve">1, </w:t>
      </w:r>
      <w:r w:rsidR="00A54F54" w:rsidRPr="00304674">
        <w:t>Table</w:t>
      </w:r>
      <w:r w:rsidR="00A54F54">
        <w:t> </w:t>
      </w:r>
      <w:r w:rsidRPr="00304674">
        <w:t xml:space="preserve">2 and </w:t>
      </w:r>
      <w:r w:rsidR="00A54F54" w:rsidRPr="00304674">
        <w:t>Table</w:t>
      </w:r>
      <w:r w:rsidR="00A54F54">
        <w:t> </w:t>
      </w:r>
      <w:r w:rsidRPr="00304674">
        <w:t xml:space="preserve">3 for the class of meter concerned. The mandatory test points are specified in </w:t>
      </w:r>
      <w:r w:rsidR="008E74EB">
        <w:t>Annex B</w:t>
      </w:r>
      <w:r w:rsidRPr="00304674">
        <w:t>.</w:t>
      </w:r>
    </w:p>
    <w:p w14:paraId="47A905D8" w14:textId="77777777" w:rsidR="007B78B3" w:rsidRDefault="007B78B3" w:rsidP="007B78B3">
      <w:r>
        <w:t xml:space="preserve">If the manufacturer specifies that the meter is capable of measuring active energy flow in both positive and negative directions (export and import), then the accuracy of the meter shall be tested with energy flowing in each direction and comply with the maximum permissible errors specified </w:t>
      </w:r>
      <w:r w:rsidRPr="00304674">
        <w:t>in Table 1, Table 2 and Table 3</w:t>
      </w:r>
      <w:r>
        <w:t xml:space="preserve"> in each direction.</w:t>
      </w:r>
    </w:p>
    <w:p w14:paraId="3A520F74" w14:textId="43D6D07A" w:rsidR="007B78B3" w:rsidRDefault="00A57EE3" w:rsidP="007B78B3">
      <w:pPr>
        <w:pStyle w:val="Heading1"/>
      </w:pPr>
      <w:bookmarkStart w:id="13" w:name="_Toc85486018"/>
      <w:r>
        <w:t xml:space="preserve">Influence Factors </w:t>
      </w:r>
      <w:r w:rsidR="00A7097B">
        <w:t xml:space="preserve">and </w:t>
      </w:r>
      <w:r>
        <w:t>Disturbances</w:t>
      </w:r>
      <w:bookmarkEnd w:id="13"/>
    </w:p>
    <w:p w14:paraId="7927A2C3" w14:textId="77777777" w:rsidR="007B78B3" w:rsidRDefault="007B78B3" w:rsidP="007B78B3">
      <w:pPr>
        <w:pStyle w:val="Heading2"/>
      </w:pPr>
      <w:r>
        <w:t>Limits of Variation for Influence Factors and Disturbances</w:t>
      </w:r>
    </w:p>
    <w:p w14:paraId="009C19F1" w14:textId="77777777" w:rsidR="007B78B3" w:rsidRDefault="007B78B3" w:rsidP="007B78B3">
      <w:pPr>
        <w:spacing w:after="200"/>
      </w:pPr>
      <w:r>
        <w:t>Meters shall not exceed the specified maximum permissible errors when tested over the ranges of influence factors and disturbances listed in Table 4.</w:t>
      </w:r>
    </w:p>
    <w:p w14:paraId="7F9BD2D7" w14:textId="77777777" w:rsidR="007B78B3" w:rsidRDefault="007B78B3" w:rsidP="007B78B3">
      <w:pPr>
        <w:pStyle w:val="Heading2"/>
      </w:pPr>
      <w:r>
        <w:t>Temperature Range</w:t>
      </w:r>
    </w:p>
    <w:p w14:paraId="17F48D54" w14:textId="77777777" w:rsidR="007B78B3" w:rsidRDefault="007B78B3" w:rsidP="007B78B3">
      <w:pPr>
        <w:spacing w:after="200"/>
      </w:pPr>
      <w:r>
        <w:t>The minimum acceptable temperature ranges of the meter shall be as shown in Table 5. It should be noted that some of the temperatures specified are different to those given in AS 62052.11 [4] as well as those in IEC 62052-11 [9].</w:t>
      </w:r>
    </w:p>
    <w:p w14:paraId="1BDE7AE7" w14:textId="77777777" w:rsidR="003142C0" w:rsidRDefault="003142C0" w:rsidP="003142C0">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5</w:t>
      </w:r>
      <w:r w:rsidR="00F23ADF">
        <w:rPr>
          <w:noProof/>
        </w:rPr>
        <w:fldChar w:fldCharType="end"/>
      </w:r>
      <w:r>
        <w:t>. Minimum acceptable temperature ranges</w:t>
      </w:r>
    </w:p>
    <w:tbl>
      <w:tblPr>
        <w:tblW w:w="7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58"/>
        <w:gridCol w:w="2121"/>
        <w:gridCol w:w="2160"/>
      </w:tblGrid>
      <w:tr w:rsidR="002441D4" w:rsidRPr="003142C0" w14:paraId="09A52ACA" w14:textId="77777777" w:rsidTr="009C5E0D">
        <w:tc>
          <w:tcPr>
            <w:tcW w:w="2758" w:type="dxa"/>
            <w:shd w:val="clear" w:color="auto" w:fill="F0DCDC"/>
          </w:tcPr>
          <w:p w14:paraId="51D6E09C" w14:textId="77777777" w:rsidR="002441D4" w:rsidRPr="003142C0" w:rsidRDefault="002441D4" w:rsidP="009C5E0D">
            <w:pPr>
              <w:pStyle w:val="TableText"/>
            </w:pPr>
            <w:r w:rsidRPr="003142C0">
              <w:t>Meters of class</w:t>
            </w:r>
          </w:p>
        </w:tc>
        <w:tc>
          <w:tcPr>
            <w:tcW w:w="2121" w:type="dxa"/>
            <w:shd w:val="clear" w:color="auto" w:fill="F0DCDC"/>
          </w:tcPr>
          <w:p w14:paraId="3B73AAEC" w14:textId="77777777" w:rsidR="002441D4" w:rsidRPr="003142C0" w:rsidRDefault="002441D4" w:rsidP="009C5E0D">
            <w:pPr>
              <w:pStyle w:val="TableText"/>
            </w:pPr>
            <w:r w:rsidRPr="003142C0">
              <w:t>0.2 or 0.5</w:t>
            </w:r>
          </w:p>
        </w:tc>
        <w:tc>
          <w:tcPr>
            <w:tcW w:w="2160" w:type="dxa"/>
            <w:shd w:val="clear" w:color="auto" w:fill="F0DCDC"/>
          </w:tcPr>
          <w:p w14:paraId="5F70E8F0" w14:textId="77777777" w:rsidR="002441D4" w:rsidRPr="003142C0" w:rsidRDefault="002441D4" w:rsidP="009C5E0D">
            <w:pPr>
              <w:pStyle w:val="TableText"/>
            </w:pPr>
            <w:r w:rsidRPr="003142C0">
              <w:t>1 or 1.5</w:t>
            </w:r>
          </w:p>
        </w:tc>
      </w:tr>
      <w:tr w:rsidR="002441D4" w:rsidRPr="003142C0" w14:paraId="5C76F0DD" w14:textId="77777777" w:rsidTr="009C5E0D">
        <w:tc>
          <w:tcPr>
            <w:tcW w:w="2758" w:type="dxa"/>
            <w:shd w:val="clear" w:color="auto" w:fill="auto"/>
          </w:tcPr>
          <w:p w14:paraId="20673491" w14:textId="77777777" w:rsidR="002441D4" w:rsidRPr="003142C0" w:rsidRDefault="002441D4" w:rsidP="009C5E0D">
            <w:pPr>
              <w:pStyle w:val="TableText"/>
              <w:jc w:val="left"/>
            </w:pPr>
            <w:r w:rsidRPr="003142C0">
              <w:t>Specified operating range</w:t>
            </w:r>
          </w:p>
        </w:tc>
        <w:tc>
          <w:tcPr>
            <w:tcW w:w="2121" w:type="dxa"/>
          </w:tcPr>
          <w:p w14:paraId="32586675" w14:textId="77777777" w:rsidR="002441D4" w:rsidRPr="00FA46D9" w:rsidRDefault="002441D4" w:rsidP="009C5E0D">
            <w:pPr>
              <w:pStyle w:val="TableText"/>
              <w:rPr>
                <w:rFonts w:ascii="Cambria Math" w:hAnsi="Cambria Math"/>
              </w:rPr>
            </w:pPr>
            <w:r w:rsidRPr="00FA46D9">
              <w:rPr>
                <w:rFonts w:ascii="Cambria Math" w:hAnsi="Cambria Math"/>
              </w:rPr>
              <w:t>–10</w:t>
            </w:r>
            <w:r>
              <w:rPr>
                <w:rFonts w:ascii="Cambria Math" w:hAnsi="Cambria Math"/>
              </w:rPr>
              <w:t xml:space="preserve"> </w:t>
            </w:r>
            <w:r w:rsidRPr="00FA46D9">
              <w:rPr>
                <w:rFonts w:ascii="Cambria Math" w:hAnsi="Cambria Math"/>
              </w:rPr>
              <w:t>°C to +45</w:t>
            </w:r>
            <w:r>
              <w:rPr>
                <w:rFonts w:ascii="Cambria Math" w:hAnsi="Cambria Math"/>
              </w:rPr>
              <w:t xml:space="preserve"> </w:t>
            </w:r>
            <w:r w:rsidRPr="00FA46D9">
              <w:rPr>
                <w:rFonts w:ascii="Cambria Math" w:hAnsi="Cambria Math"/>
              </w:rPr>
              <w:t>°C</w:t>
            </w:r>
          </w:p>
        </w:tc>
        <w:tc>
          <w:tcPr>
            <w:tcW w:w="2160" w:type="dxa"/>
          </w:tcPr>
          <w:p w14:paraId="045F70CC" w14:textId="7055B7C8" w:rsidR="002441D4" w:rsidRPr="00FA46D9" w:rsidRDefault="002441D4" w:rsidP="009C5E0D">
            <w:pPr>
              <w:pStyle w:val="TableText"/>
              <w:rPr>
                <w:rFonts w:ascii="Cambria Math" w:hAnsi="Cambria Math"/>
              </w:rPr>
            </w:pPr>
            <w:r w:rsidRPr="00FA46D9">
              <w:rPr>
                <w:rFonts w:ascii="Cambria Math" w:hAnsi="Cambria Math"/>
              </w:rPr>
              <w:t>–10</w:t>
            </w:r>
            <w:r>
              <w:rPr>
                <w:rFonts w:ascii="Cambria Math" w:hAnsi="Cambria Math"/>
              </w:rPr>
              <w:t xml:space="preserve"> </w:t>
            </w:r>
            <w:r w:rsidRPr="00FA46D9">
              <w:rPr>
                <w:rFonts w:ascii="Cambria Math" w:hAnsi="Cambria Math"/>
              </w:rPr>
              <w:t>°C to +</w:t>
            </w:r>
            <w:r>
              <w:rPr>
                <w:rFonts w:ascii="Cambria Math" w:hAnsi="Cambria Math"/>
              </w:rPr>
              <w:t>55</w:t>
            </w:r>
            <w:r>
              <w:rPr>
                <w:rFonts w:ascii="Cambria Math" w:hAnsi="Cambria Math"/>
                <w:vertAlign w:val="superscript"/>
              </w:rPr>
              <w:t>1</w:t>
            </w:r>
            <w:r>
              <w:rPr>
                <w:rFonts w:ascii="Cambria Math" w:hAnsi="Cambria Math"/>
              </w:rPr>
              <w:t xml:space="preserve"> </w:t>
            </w:r>
            <w:r w:rsidRPr="00FA46D9">
              <w:rPr>
                <w:rFonts w:ascii="Cambria Math" w:hAnsi="Cambria Math"/>
              </w:rPr>
              <w:t>°C</w:t>
            </w:r>
          </w:p>
        </w:tc>
      </w:tr>
      <w:tr w:rsidR="002441D4" w:rsidRPr="003142C0" w14:paraId="666D27E9" w14:textId="77777777" w:rsidTr="009C5E0D">
        <w:tc>
          <w:tcPr>
            <w:tcW w:w="2758" w:type="dxa"/>
            <w:shd w:val="clear" w:color="auto" w:fill="auto"/>
          </w:tcPr>
          <w:p w14:paraId="5A03354F" w14:textId="77777777" w:rsidR="002441D4" w:rsidRPr="003142C0" w:rsidRDefault="002441D4" w:rsidP="009C5E0D">
            <w:pPr>
              <w:pStyle w:val="TableText"/>
              <w:jc w:val="left"/>
            </w:pPr>
            <w:r w:rsidRPr="003142C0">
              <w:t>Limit range of operation</w:t>
            </w:r>
          </w:p>
        </w:tc>
        <w:tc>
          <w:tcPr>
            <w:tcW w:w="2121" w:type="dxa"/>
          </w:tcPr>
          <w:p w14:paraId="48210E89" w14:textId="77777777" w:rsidR="002441D4" w:rsidRPr="00FA46D9" w:rsidRDefault="002441D4" w:rsidP="009C5E0D">
            <w:pPr>
              <w:pStyle w:val="TableText"/>
              <w:rPr>
                <w:rFonts w:ascii="Cambria Math" w:hAnsi="Cambria Math"/>
              </w:rPr>
            </w:pPr>
            <w:r w:rsidRPr="00FA46D9">
              <w:rPr>
                <w:rFonts w:ascii="Cambria Math" w:hAnsi="Cambria Math"/>
              </w:rPr>
              <w:t>–20</w:t>
            </w:r>
            <w:r>
              <w:rPr>
                <w:rFonts w:ascii="Cambria Math" w:hAnsi="Cambria Math"/>
              </w:rPr>
              <w:t xml:space="preserve"> </w:t>
            </w:r>
            <w:r w:rsidRPr="00FA46D9">
              <w:rPr>
                <w:rFonts w:ascii="Cambria Math" w:hAnsi="Cambria Math"/>
              </w:rPr>
              <w:t>°C to +55</w:t>
            </w:r>
            <w:r>
              <w:rPr>
                <w:rFonts w:ascii="Cambria Math" w:hAnsi="Cambria Math"/>
              </w:rPr>
              <w:t xml:space="preserve"> </w:t>
            </w:r>
            <w:r w:rsidRPr="00FA46D9">
              <w:rPr>
                <w:rFonts w:ascii="Cambria Math" w:hAnsi="Cambria Math"/>
              </w:rPr>
              <w:t>°C</w:t>
            </w:r>
          </w:p>
        </w:tc>
        <w:tc>
          <w:tcPr>
            <w:tcW w:w="2160" w:type="dxa"/>
          </w:tcPr>
          <w:p w14:paraId="37377AC2" w14:textId="77777777" w:rsidR="002441D4" w:rsidRPr="00FA46D9" w:rsidRDefault="002441D4" w:rsidP="009C5E0D">
            <w:pPr>
              <w:pStyle w:val="TableText"/>
              <w:rPr>
                <w:rFonts w:ascii="Cambria Math" w:hAnsi="Cambria Math"/>
              </w:rPr>
            </w:pPr>
            <w:r w:rsidRPr="00FA46D9">
              <w:rPr>
                <w:rFonts w:ascii="Cambria Math" w:hAnsi="Cambria Math"/>
              </w:rPr>
              <w:t>–20</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r>
      <w:tr w:rsidR="002441D4" w:rsidRPr="003142C0" w14:paraId="005B3A80" w14:textId="77777777" w:rsidTr="009C5E0D">
        <w:tc>
          <w:tcPr>
            <w:tcW w:w="2758" w:type="dxa"/>
            <w:shd w:val="clear" w:color="auto" w:fill="auto"/>
          </w:tcPr>
          <w:p w14:paraId="04A101C5" w14:textId="77777777" w:rsidR="002441D4" w:rsidRPr="003142C0" w:rsidRDefault="002441D4" w:rsidP="009C5E0D">
            <w:pPr>
              <w:pStyle w:val="TableText"/>
              <w:jc w:val="left"/>
            </w:pPr>
            <w:r w:rsidRPr="003142C0">
              <w:t>Storage and transportation</w:t>
            </w:r>
          </w:p>
        </w:tc>
        <w:tc>
          <w:tcPr>
            <w:tcW w:w="2121" w:type="dxa"/>
          </w:tcPr>
          <w:p w14:paraId="2FCD9A2A" w14:textId="77777777" w:rsidR="002441D4" w:rsidRPr="00FA46D9" w:rsidRDefault="002441D4" w:rsidP="009C5E0D">
            <w:pPr>
              <w:pStyle w:val="TableText"/>
              <w:rPr>
                <w:rFonts w:ascii="Cambria Math" w:hAnsi="Cambria Math"/>
              </w:rPr>
            </w:pPr>
            <w:r w:rsidRPr="00FA46D9">
              <w:rPr>
                <w:rFonts w:ascii="Cambria Math" w:hAnsi="Cambria Math"/>
              </w:rPr>
              <w:t>–25</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c>
          <w:tcPr>
            <w:tcW w:w="2160" w:type="dxa"/>
          </w:tcPr>
          <w:p w14:paraId="7DA00E8D" w14:textId="77777777" w:rsidR="002441D4" w:rsidRPr="00FA46D9" w:rsidRDefault="002441D4" w:rsidP="009C5E0D">
            <w:pPr>
              <w:pStyle w:val="TableText"/>
              <w:rPr>
                <w:rFonts w:ascii="Cambria Math" w:hAnsi="Cambria Math"/>
              </w:rPr>
            </w:pPr>
            <w:r w:rsidRPr="00FA46D9">
              <w:rPr>
                <w:rFonts w:ascii="Cambria Math" w:hAnsi="Cambria Math"/>
              </w:rPr>
              <w:t>–25</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r>
    </w:tbl>
    <w:p w14:paraId="37123DBA" w14:textId="23785C68" w:rsidR="002441D4" w:rsidRPr="00BC2B88" w:rsidRDefault="002441D4" w:rsidP="00BC2B88">
      <w:pPr>
        <w:pStyle w:val="Note"/>
      </w:pPr>
      <w:r w:rsidRPr="00BC2B88">
        <w:t>Note 1:</w:t>
      </w:r>
      <w:r w:rsidRPr="00BC2B88">
        <w:tab/>
        <w:t>This value of 55 °C aligns with upper temperatures in other international standards.</w:t>
      </w:r>
    </w:p>
    <w:p w14:paraId="1388A0F7" w14:textId="77777777" w:rsidR="007B78B3" w:rsidRDefault="007B78B3" w:rsidP="003142C0">
      <w:pPr>
        <w:pStyle w:val="Heading2"/>
      </w:pPr>
      <w:r>
        <w:t>Limits of Error Due to Ambient Temperature Variation</w:t>
      </w:r>
    </w:p>
    <w:p w14:paraId="7B93EF08" w14:textId="77777777" w:rsidR="007B78B3" w:rsidRDefault="007B78B3" w:rsidP="007B78B3">
      <w:pPr>
        <w:spacing w:after="200"/>
      </w:pPr>
      <w:r>
        <w:t>The mean temperature coefficient, as determined by the procedure in Annex A.2.3, should not exceed the limits specified in Table 6.</w:t>
      </w:r>
    </w:p>
    <w:p w14:paraId="7545F4CC" w14:textId="4BF54FCC" w:rsidR="00290FAC" w:rsidRDefault="00290FAC" w:rsidP="00EE276A">
      <w:pPr>
        <w:pStyle w:val="Caption"/>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6</w:t>
      </w:r>
      <w:r w:rsidR="00F23ADF">
        <w:rPr>
          <w:noProof/>
        </w:rPr>
        <w:fldChar w:fldCharType="end"/>
      </w:r>
      <w:r>
        <w:t xml:space="preserve">. </w:t>
      </w:r>
      <w:r w:rsidRPr="00EE276A">
        <w:t>Temperature</w:t>
      </w:r>
      <w:r w:rsidRPr="00290FAC">
        <w:t xml:space="preserve"> coefficient requirements</w:t>
      </w:r>
      <w:r>
        <w:t xml:space="preserve"> </w:t>
      </w:r>
    </w:p>
    <w:tbl>
      <w:tblPr>
        <w:tblW w:w="5000" w:type="pct"/>
        <w:tblLook w:val="0000" w:firstRow="0" w:lastRow="0" w:firstColumn="0" w:lastColumn="0" w:noHBand="0" w:noVBand="0"/>
      </w:tblPr>
      <w:tblGrid>
        <w:gridCol w:w="1553"/>
        <w:gridCol w:w="1983"/>
        <w:gridCol w:w="1560"/>
        <w:gridCol w:w="1159"/>
        <w:gridCol w:w="1161"/>
        <w:gridCol w:w="1161"/>
        <w:gridCol w:w="1159"/>
      </w:tblGrid>
      <w:tr w:rsidR="003142C0" w:rsidRPr="00A14168" w14:paraId="4DBA1DBE" w14:textId="77777777" w:rsidTr="00B43AE5">
        <w:tc>
          <w:tcPr>
            <w:tcW w:w="798" w:type="pct"/>
            <w:vMerge w:val="restart"/>
            <w:tcBorders>
              <w:top w:val="single" w:sz="6" w:space="0" w:color="000000"/>
              <w:left w:val="single" w:sz="6" w:space="0" w:color="000000"/>
              <w:right w:val="single" w:sz="6" w:space="0" w:color="000000"/>
            </w:tcBorders>
            <w:shd w:val="clear" w:color="auto" w:fill="F0DCDC"/>
            <w:vAlign w:val="center"/>
          </w:tcPr>
          <w:p w14:paraId="17CD2FB9" w14:textId="77777777" w:rsidR="003142C0" w:rsidRPr="0061562B" w:rsidRDefault="003142C0" w:rsidP="008A52F7">
            <w:pPr>
              <w:pStyle w:val="TableText"/>
              <w:rPr>
                <w:szCs w:val="22"/>
              </w:rPr>
            </w:pPr>
            <w:r w:rsidRPr="0061562B">
              <w:rPr>
                <w:szCs w:val="22"/>
              </w:rPr>
              <w:t>Meter type</w:t>
            </w:r>
          </w:p>
        </w:tc>
        <w:tc>
          <w:tcPr>
            <w:tcW w:w="1019" w:type="pct"/>
            <w:vMerge w:val="restart"/>
            <w:tcBorders>
              <w:top w:val="single" w:sz="6" w:space="0" w:color="000000"/>
              <w:left w:val="single" w:sz="6" w:space="0" w:color="000000"/>
              <w:right w:val="single" w:sz="6" w:space="0" w:color="000000"/>
            </w:tcBorders>
            <w:shd w:val="clear" w:color="auto" w:fill="F0DCDC"/>
            <w:vAlign w:val="center"/>
          </w:tcPr>
          <w:p w14:paraId="35AC7831" w14:textId="77777777" w:rsidR="003142C0" w:rsidRPr="0061562B" w:rsidRDefault="003142C0" w:rsidP="008A52F7">
            <w:pPr>
              <w:pStyle w:val="TableText"/>
              <w:rPr>
                <w:szCs w:val="22"/>
              </w:rPr>
            </w:pPr>
            <w:r w:rsidRPr="0061562B">
              <w:rPr>
                <w:szCs w:val="22"/>
              </w:rPr>
              <w:t xml:space="preserve">Range </w:t>
            </w:r>
            <w:r w:rsidRPr="0061562B">
              <w:rPr>
                <w:rFonts w:ascii="Times New (W1)" w:hAnsi="Times New (W1)"/>
                <w:szCs w:val="22"/>
              </w:rPr>
              <w:t>for</w:t>
            </w:r>
            <w:r w:rsidRPr="0061562B">
              <w:rPr>
                <w:szCs w:val="22"/>
              </w:rPr>
              <w:t xml:space="preserve"> test current</w:t>
            </w:r>
          </w:p>
        </w:tc>
        <w:tc>
          <w:tcPr>
            <w:tcW w:w="801" w:type="pct"/>
            <w:vMerge w:val="restart"/>
            <w:tcBorders>
              <w:top w:val="single" w:sz="6" w:space="0" w:color="000000"/>
              <w:left w:val="single" w:sz="6" w:space="0" w:color="000000"/>
              <w:right w:val="single" w:sz="6" w:space="0" w:color="000000"/>
            </w:tcBorders>
            <w:shd w:val="clear" w:color="auto" w:fill="F0DCDC"/>
            <w:vAlign w:val="center"/>
          </w:tcPr>
          <w:p w14:paraId="348BBB2E" w14:textId="77777777" w:rsidR="003142C0" w:rsidRPr="0061562B" w:rsidRDefault="003142C0" w:rsidP="008A52F7">
            <w:pPr>
              <w:pStyle w:val="TableText"/>
              <w:rPr>
                <w:szCs w:val="22"/>
              </w:rPr>
            </w:pPr>
            <w:r w:rsidRPr="0061562B">
              <w:rPr>
                <w:szCs w:val="22"/>
              </w:rPr>
              <w:t>Power factor</w:t>
            </w:r>
          </w:p>
        </w:tc>
        <w:tc>
          <w:tcPr>
            <w:tcW w:w="2382" w:type="pct"/>
            <w:gridSpan w:val="4"/>
            <w:tcBorders>
              <w:top w:val="single" w:sz="6" w:space="0" w:color="000000"/>
              <w:left w:val="single" w:sz="6" w:space="0" w:color="000000"/>
              <w:bottom w:val="single" w:sz="6" w:space="0" w:color="000000"/>
              <w:right w:val="single" w:sz="6" w:space="0" w:color="000000"/>
            </w:tcBorders>
            <w:shd w:val="clear" w:color="auto" w:fill="F0DCDC"/>
          </w:tcPr>
          <w:p w14:paraId="6F98A335" w14:textId="57D4129A" w:rsidR="003142C0" w:rsidRPr="0061562B" w:rsidRDefault="003142C0" w:rsidP="00BC2B88">
            <w:pPr>
              <w:pStyle w:val="TableText"/>
              <w:rPr>
                <w:szCs w:val="22"/>
              </w:rPr>
            </w:pPr>
            <w:r w:rsidRPr="0061562B">
              <w:rPr>
                <w:szCs w:val="22"/>
              </w:rPr>
              <w:t>Mean temperature coefficient</w:t>
            </w:r>
            <w:r w:rsidRPr="0061562B">
              <w:rPr>
                <w:bCs/>
                <w:szCs w:val="22"/>
                <w:vertAlign w:val="superscript"/>
              </w:rPr>
              <w:t>1</w:t>
            </w:r>
            <w:r w:rsidRPr="0061562B">
              <w:rPr>
                <w:szCs w:val="22"/>
              </w:rPr>
              <w:t>, in</w:t>
            </w:r>
            <w:r>
              <w:rPr>
                <w:szCs w:val="22"/>
              </w:rPr>
              <w:t xml:space="preserve"> </w:t>
            </w:r>
            <w:r w:rsidRPr="0061562B">
              <w:rPr>
                <w:szCs w:val="22"/>
              </w:rPr>
              <w:t>%/</w:t>
            </w:r>
            <w:r w:rsidR="00BC2B88">
              <w:rPr>
                <w:rFonts w:cs="Arial"/>
                <w:szCs w:val="22"/>
              </w:rPr>
              <w:t>°</w:t>
            </w:r>
            <w:r w:rsidR="00BC2B88">
              <w:rPr>
                <w:szCs w:val="22"/>
              </w:rPr>
              <w:t>C</w:t>
            </w:r>
            <w:r w:rsidRPr="0061562B">
              <w:rPr>
                <w:szCs w:val="22"/>
              </w:rPr>
              <w:t>,</w:t>
            </w:r>
            <w:r>
              <w:rPr>
                <w:szCs w:val="22"/>
              </w:rPr>
              <w:br w:type="textWrapping" w:clear="all"/>
            </w:r>
            <w:r w:rsidRPr="0061562B">
              <w:rPr>
                <w:szCs w:val="22"/>
              </w:rPr>
              <w:t>for meters of class</w:t>
            </w:r>
          </w:p>
        </w:tc>
      </w:tr>
      <w:tr w:rsidR="003142C0" w:rsidRPr="00A14168" w14:paraId="12D616BC" w14:textId="77777777" w:rsidTr="00B43AE5">
        <w:tc>
          <w:tcPr>
            <w:tcW w:w="798" w:type="pct"/>
            <w:vMerge/>
            <w:tcBorders>
              <w:left w:val="single" w:sz="6" w:space="0" w:color="000000"/>
              <w:bottom w:val="single" w:sz="6" w:space="0" w:color="000000"/>
              <w:right w:val="single" w:sz="6" w:space="0" w:color="000000"/>
            </w:tcBorders>
            <w:shd w:val="clear" w:color="auto" w:fill="F0DCDC"/>
            <w:vAlign w:val="center"/>
          </w:tcPr>
          <w:p w14:paraId="7813D4AB" w14:textId="77777777" w:rsidR="003142C0" w:rsidRPr="0061562B" w:rsidRDefault="003142C0" w:rsidP="008A52F7">
            <w:pPr>
              <w:pStyle w:val="TableText"/>
              <w:rPr>
                <w:bCs/>
                <w:szCs w:val="22"/>
              </w:rPr>
            </w:pPr>
          </w:p>
        </w:tc>
        <w:tc>
          <w:tcPr>
            <w:tcW w:w="1019" w:type="pct"/>
            <w:vMerge/>
            <w:tcBorders>
              <w:left w:val="single" w:sz="6" w:space="0" w:color="000000"/>
              <w:bottom w:val="single" w:sz="6" w:space="0" w:color="000000"/>
              <w:right w:val="single" w:sz="6" w:space="0" w:color="000000"/>
            </w:tcBorders>
            <w:shd w:val="clear" w:color="auto" w:fill="F0DCDC"/>
          </w:tcPr>
          <w:p w14:paraId="2BD28B60" w14:textId="77777777" w:rsidR="003142C0" w:rsidRPr="0061562B" w:rsidRDefault="003142C0" w:rsidP="008A52F7">
            <w:pPr>
              <w:pStyle w:val="TableText"/>
              <w:rPr>
                <w:bCs/>
                <w:szCs w:val="22"/>
              </w:rPr>
            </w:pPr>
          </w:p>
        </w:tc>
        <w:tc>
          <w:tcPr>
            <w:tcW w:w="801" w:type="pct"/>
            <w:vMerge/>
            <w:tcBorders>
              <w:left w:val="single" w:sz="6" w:space="0" w:color="000000"/>
              <w:bottom w:val="single" w:sz="6" w:space="0" w:color="000000"/>
              <w:right w:val="single" w:sz="6" w:space="0" w:color="000000"/>
            </w:tcBorders>
            <w:shd w:val="clear" w:color="auto" w:fill="F0DCDC"/>
          </w:tcPr>
          <w:p w14:paraId="4739A10A" w14:textId="77777777" w:rsidR="003142C0" w:rsidRPr="0061562B" w:rsidRDefault="003142C0" w:rsidP="008A52F7">
            <w:pPr>
              <w:pStyle w:val="TableText"/>
              <w:rPr>
                <w:bCs/>
                <w:szCs w:val="22"/>
              </w:rPr>
            </w:pPr>
          </w:p>
        </w:tc>
        <w:tc>
          <w:tcPr>
            <w:tcW w:w="595" w:type="pct"/>
            <w:tcBorders>
              <w:top w:val="single" w:sz="6" w:space="0" w:color="000000"/>
              <w:left w:val="single" w:sz="6" w:space="0" w:color="000000"/>
              <w:bottom w:val="single" w:sz="6" w:space="0" w:color="000000"/>
              <w:right w:val="single" w:sz="6" w:space="0" w:color="000000"/>
            </w:tcBorders>
            <w:shd w:val="clear" w:color="auto" w:fill="F0DCDC"/>
          </w:tcPr>
          <w:p w14:paraId="08E3DB32" w14:textId="77777777" w:rsidR="003142C0" w:rsidRPr="0061562B" w:rsidRDefault="003142C0" w:rsidP="008A52F7">
            <w:pPr>
              <w:pStyle w:val="TableText"/>
              <w:rPr>
                <w:bCs/>
                <w:szCs w:val="22"/>
              </w:rPr>
            </w:pPr>
            <w:r w:rsidRPr="0061562B">
              <w:rPr>
                <w:bCs/>
                <w:szCs w:val="22"/>
              </w:rPr>
              <w:t>0.2</w:t>
            </w:r>
          </w:p>
        </w:tc>
        <w:tc>
          <w:tcPr>
            <w:tcW w:w="596" w:type="pct"/>
            <w:tcBorders>
              <w:top w:val="single" w:sz="6" w:space="0" w:color="000000"/>
              <w:left w:val="single" w:sz="6" w:space="0" w:color="000000"/>
              <w:bottom w:val="single" w:sz="6" w:space="0" w:color="000000"/>
              <w:right w:val="single" w:sz="6" w:space="0" w:color="000000"/>
            </w:tcBorders>
            <w:shd w:val="clear" w:color="auto" w:fill="F0DCDC"/>
          </w:tcPr>
          <w:p w14:paraId="285CC97C" w14:textId="77777777" w:rsidR="003142C0" w:rsidRPr="0061562B" w:rsidRDefault="003142C0" w:rsidP="008A52F7">
            <w:pPr>
              <w:pStyle w:val="TableText"/>
              <w:rPr>
                <w:bCs/>
                <w:szCs w:val="22"/>
              </w:rPr>
            </w:pPr>
            <w:r w:rsidRPr="0061562B">
              <w:rPr>
                <w:bCs/>
                <w:szCs w:val="22"/>
              </w:rPr>
              <w:t>0.5</w:t>
            </w:r>
          </w:p>
        </w:tc>
        <w:tc>
          <w:tcPr>
            <w:tcW w:w="596" w:type="pct"/>
            <w:tcBorders>
              <w:top w:val="single" w:sz="6" w:space="0" w:color="000000"/>
              <w:left w:val="single" w:sz="6" w:space="0" w:color="000000"/>
              <w:bottom w:val="single" w:sz="6" w:space="0" w:color="000000"/>
              <w:right w:val="single" w:sz="6" w:space="0" w:color="000000"/>
            </w:tcBorders>
            <w:shd w:val="clear" w:color="auto" w:fill="F0DCDC"/>
          </w:tcPr>
          <w:p w14:paraId="0AAA55FE" w14:textId="77777777" w:rsidR="003142C0" w:rsidRPr="0061562B" w:rsidRDefault="003142C0" w:rsidP="008A52F7">
            <w:pPr>
              <w:pStyle w:val="TableText"/>
              <w:rPr>
                <w:bCs/>
                <w:szCs w:val="22"/>
              </w:rPr>
            </w:pPr>
            <w:r w:rsidRPr="0061562B">
              <w:rPr>
                <w:bCs/>
                <w:szCs w:val="22"/>
              </w:rPr>
              <w:t>1</w:t>
            </w:r>
          </w:p>
        </w:tc>
        <w:tc>
          <w:tcPr>
            <w:tcW w:w="595" w:type="pct"/>
            <w:tcBorders>
              <w:top w:val="single" w:sz="6" w:space="0" w:color="000000"/>
              <w:left w:val="single" w:sz="6" w:space="0" w:color="000000"/>
              <w:bottom w:val="single" w:sz="6" w:space="0" w:color="000000"/>
              <w:right w:val="single" w:sz="6" w:space="0" w:color="000000"/>
            </w:tcBorders>
            <w:shd w:val="clear" w:color="auto" w:fill="F0DCDC"/>
          </w:tcPr>
          <w:p w14:paraId="43B1B0BD" w14:textId="77777777" w:rsidR="003142C0" w:rsidRPr="0061562B" w:rsidRDefault="003142C0" w:rsidP="008A52F7">
            <w:pPr>
              <w:pStyle w:val="TableText"/>
              <w:rPr>
                <w:bCs/>
                <w:szCs w:val="22"/>
              </w:rPr>
            </w:pPr>
            <w:r w:rsidRPr="0061562B">
              <w:rPr>
                <w:bCs/>
                <w:szCs w:val="22"/>
              </w:rPr>
              <w:t>1.5</w:t>
            </w:r>
          </w:p>
        </w:tc>
      </w:tr>
      <w:tr w:rsidR="00FA46D9" w:rsidRPr="00A14168" w14:paraId="782C9CC9" w14:textId="77777777" w:rsidTr="00FA46D9">
        <w:tc>
          <w:tcPr>
            <w:tcW w:w="798" w:type="pct"/>
            <w:vMerge w:val="restart"/>
            <w:tcBorders>
              <w:top w:val="single" w:sz="6" w:space="0" w:color="000000"/>
              <w:left w:val="single" w:sz="6" w:space="0" w:color="000000"/>
              <w:right w:val="single" w:sz="6" w:space="0" w:color="000000"/>
            </w:tcBorders>
            <w:shd w:val="clear" w:color="auto" w:fill="auto"/>
            <w:vAlign w:val="center"/>
          </w:tcPr>
          <w:p w14:paraId="3A32D621" w14:textId="77777777" w:rsidR="003142C0" w:rsidRPr="008F1BE1" w:rsidRDefault="003142C0" w:rsidP="008A52F7">
            <w:pPr>
              <w:pStyle w:val="TableText"/>
              <w:jc w:val="left"/>
              <w:rPr>
                <w:bCs/>
              </w:rPr>
            </w:pPr>
            <w:r w:rsidRPr="008F1BE1">
              <w:rPr>
                <w:bCs/>
              </w:rPr>
              <w:t>Direct-connected</w:t>
            </w:r>
          </w:p>
        </w:tc>
        <w:tc>
          <w:tcPr>
            <w:tcW w:w="1019" w:type="pct"/>
            <w:tcBorders>
              <w:top w:val="single" w:sz="6" w:space="0" w:color="000000"/>
              <w:left w:val="single" w:sz="6" w:space="0" w:color="000000"/>
              <w:bottom w:val="single" w:sz="6" w:space="0" w:color="000000"/>
              <w:right w:val="single" w:sz="6" w:space="0" w:color="000000"/>
            </w:tcBorders>
            <w:vAlign w:val="center"/>
          </w:tcPr>
          <w:p w14:paraId="4B4D93CB" w14:textId="77777777" w:rsidR="003142C0" w:rsidRPr="00FA46D9" w:rsidRDefault="003142C0" w:rsidP="008A52F7">
            <w:pPr>
              <w:pStyle w:val="TableText"/>
              <w:rPr>
                <w:rFonts w:ascii="Cambria Math" w:hAnsi="Cambria Math"/>
                <w:bCs/>
              </w:rPr>
            </w:pPr>
            <w:r w:rsidRPr="00FA46D9">
              <w:rPr>
                <w:rFonts w:ascii="Cambria Math" w:hAnsi="Cambria Math"/>
                <w:bCs/>
              </w:rPr>
              <w:t>0.1</w:t>
            </w:r>
            <w:r w:rsidRPr="00FA46D9">
              <w:rPr>
                <w:rFonts w:ascii="Cambria Math" w:hAnsi="Cambria Math"/>
                <w:bCs/>
                <w:i/>
              </w:rPr>
              <w:t xml:space="preserve"> I</w:t>
            </w:r>
            <w:r w:rsidRPr="00FA46D9">
              <w:rPr>
                <w:rFonts w:ascii="Cambria Math" w:hAnsi="Cambria Math"/>
                <w:vertAlign w:val="subscript"/>
                <w:lang w:val="en-US"/>
              </w:rPr>
              <w:t>b</w:t>
            </w:r>
            <w:r w:rsidRPr="00FA46D9">
              <w:rPr>
                <w:rFonts w:ascii="Cambria Math" w:hAnsi="Cambria Math"/>
                <w:lang w:val="en-US"/>
              </w:rPr>
              <w:t xml:space="preserve"> </w:t>
            </w:r>
            <w:r w:rsidRPr="00FA46D9">
              <w:rPr>
                <w:rFonts w:ascii="Cambria Math" w:hAnsi="Cambria Math"/>
              </w:rPr>
              <w:t>≤</w:t>
            </w:r>
            <w:r w:rsidRPr="00FA46D9">
              <w:rPr>
                <w:rFonts w:ascii="Cambria Math" w:hAnsi="Cambria Math"/>
                <w:bCs/>
              </w:rPr>
              <w:t xml:space="preserve">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7A2BAA7C" w14:textId="77777777" w:rsidR="003142C0" w:rsidRPr="00FA46D9" w:rsidRDefault="003142C0" w:rsidP="008A52F7">
            <w:pPr>
              <w:pStyle w:val="TableText"/>
              <w:rPr>
                <w:rFonts w:ascii="Cambria Math" w:hAnsi="Cambria Math"/>
                <w:bCs/>
              </w:rPr>
            </w:pPr>
            <w:r w:rsidRPr="00FA46D9">
              <w:rPr>
                <w:rFonts w:ascii="Cambria Math" w:hAnsi="Cambria Math"/>
                <w:bCs/>
              </w:rPr>
              <w:t>1</w:t>
            </w:r>
          </w:p>
        </w:tc>
        <w:tc>
          <w:tcPr>
            <w:tcW w:w="595" w:type="pct"/>
            <w:tcBorders>
              <w:top w:val="single" w:sz="6" w:space="0" w:color="000000"/>
              <w:left w:val="single" w:sz="6" w:space="0" w:color="000000"/>
              <w:bottom w:val="single" w:sz="6" w:space="0" w:color="000000"/>
              <w:right w:val="single" w:sz="6" w:space="0" w:color="000000"/>
            </w:tcBorders>
            <w:vAlign w:val="center"/>
          </w:tcPr>
          <w:p w14:paraId="78384BC8"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22C037DC"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432BC4AB"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5" w:type="pct"/>
            <w:tcBorders>
              <w:top w:val="single" w:sz="6" w:space="0" w:color="000000"/>
              <w:left w:val="single" w:sz="6" w:space="0" w:color="000000"/>
              <w:bottom w:val="single" w:sz="6" w:space="0" w:color="000000"/>
              <w:right w:val="single" w:sz="6" w:space="0" w:color="000000"/>
            </w:tcBorders>
            <w:vAlign w:val="center"/>
          </w:tcPr>
          <w:p w14:paraId="0124B47C" w14:textId="77777777" w:rsidR="003142C0" w:rsidRPr="00FA46D9" w:rsidRDefault="003142C0" w:rsidP="008A52F7">
            <w:pPr>
              <w:pStyle w:val="TableText"/>
              <w:rPr>
                <w:rFonts w:ascii="Cambria Math" w:hAnsi="Cambria Math"/>
                <w:bCs/>
              </w:rPr>
            </w:pPr>
            <w:r w:rsidRPr="00FA46D9">
              <w:rPr>
                <w:rFonts w:ascii="Cambria Math" w:hAnsi="Cambria Math"/>
              </w:rPr>
              <w:t>0.05</w:t>
            </w:r>
          </w:p>
        </w:tc>
      </w:tr>
      <w:tr w:rsidR="00FA46D9" w:rsidRPr="00A14168" w14:paraId="78B9521B" w14:textId="77777777" w:rsidTr="00FA46D9">
        <w:tc>
          <w:tcPr>
            <w:tcW w:w="798" w:type="pct"/>
            <w:vMerge/>
            <w:tcBorders>
              <w:left w:val="single" w:sz="6" w:space="0" w:color="000000"/>
              <w:bottom w:val="single" w:sz="6" w:space="0" w:color="000000"/>
              <w:right w:val="single" w:sz="6" w:space="0" w:color="000000"/>
            </w:tcBorders>
            <w:shd w:val="clear" w:color="auto" w:fill="auto"/>
            <w:vAlign w:val="center"/>
          </w:tcPr>
          <w:p w14:paraId="6287BD82" w14:textId="77777777" w:rsidR="003142C0" w:rsidRPr="008F1BE1" w:rsidRDefault="003142C0" w:rsidP="008A52F7">
            <w:pPr>
              <w:pStyle w:val="TableText"/>
              <w:jc w:val="left"/>
              <w:rPr>
                <w:bCs/>
              </w:rPr>
            </w:pPr>
          </w:p>
        </w:tc>
        <w:tc>
          <w:tcPr>
            <w:tcW w:w="1019" w:type="pct"/>
            <w:tcBorders>
              <w:top w:val="single" w:sz="6" w:space="0" w:color="000000"/>
              <w:left w:val="single" w:sz="6" w:space="0" w:color="000000"/>
              <w:bottom w:val="single" w:sz="6" w:space="0" w:color="000000"/>
              <w:right w:val="single" w:sz="6" w:space="0" w:color="000000"/>
            </w:tcBorders>
            <w:vAlign w:val="center"/>
          </w:tcPr>
          <w:p w14:paraId="0C7E1E97" w14:textId="77777777" w:rsidR="003142C0" w:rsidRPr="00FA46D9" w:rsidRDefault="003142C0" w:rsidP="008A52F7">
            <w:pPr>
              <w:pStyle w:val="TableText"/>
              <w:rPr>
                <w:rFonts w:ascii="Cambria Math" w:hAnsi="Cambria Math"/>
                <w:bCs/>
              </w:rPr>
            </w:pPr>
            <w:r w:rsidRPr="00FA46D9">
              <w:rPr>
                <w:rFonts w:ascii="Cambria Math" w:hAnsi="Cambria Math"/>
                <w:bCs/>
              </w:rPr>
              <w:t>0.2</w:t>
            </w:r>
            <w:r w:rsidRPr="00FA46D9">
              <w:rPr>
                <w:rFonts w:ascii="Cambria Math" w:hAnsi="Cambria Math"/>
                <w:bCs/>
                <w:i/>
              </w:rPr>
              <w:t xml:space="preserve"> I</w:t>
            </w:r>
            <w:r w:rsidRPr="00FA46D9">
              <w:rPr>
                <w:rFonts w:ascii="Cambria Math" w:hAnsi="Cambria Math"/>
                <w:vertAlign w:val="subscript"/>
                <w:lang w:val="en-US"/>
              </w:rPr>
              <w:t>b</w:t>
            </w:r>
            <w:r w:rsidRPr="00FA46D9">
              <w:rPr>
                <w:rFonts w:ascii="Cambria Math" w:hAnsi="Cambria Math"/>
                <w:lang w:val="en-US"/>
              </w:rPr>
              <w:t xml:space="preserve"> </w:t>
            </w:r>
            <w:r w:rsidRPr="00FA46D9">
              <w:rPr>
                <w:rFonts w:ascii="Cambria Math" w:hAnsi="Cambria Math"/>
                <w:bCs/>
              </w:rPr>
              <w:t xml:space="preserve">≤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5D682BB8" w14:textId="77777777" w:rsidR="003142C0" w:rsidRPr="00FA46D9" w:rsidRDefault="003142C0" w:rsidP="008A52F7">
            <w:pPr>
              <w:pStyle w:val="TableText"/>
              <w:rPr>
                <w:rFonts w:ascii="Cambria Math" w:hAnsi="Cambria Math"/>
                <w:bCs/>
              </w:rPr>
            </w:pPr>
            <w:r w:rsidRPr="00FA46D9">
              <w:rPr>
                <w:rFonts w:ascii="Cambria Math" w:hAnsi="Cambria Math"/>
                <w:bCs/>
              </w:rPr>
              <w:t>0.5 inductive</w:t>
            </w:r>
          </w:p>
        </w:tc>
        <w:tc>
          <w:tcPr>
            <w:tcW w:w="595" w:type="pct"/>
            <w:tcBorders>
              <w:top w:val="single" w:sz="6" w:space="0" w:color="000000"/>
              <w:left w:val="single" w:sz="6" w:space="0" w:color="000000"/>
              <w:bottom w:val="single" w:sz="6" w:space="0" w:color="000000"/>
              <w:right w:val="single" w:sz="6" w:space="0" w:color="000000"/>
            </w:tcBorders>
            <w:vAlign w:val="center"/>
          </w:tcPr>
          <w:p w14:paraId="006219C6"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4E8371EF"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23B6AFB9" w14:textId="77777777" w:rsidR="003142C0" w:rsidRPr="00FA46D9" w:rsidRDefault="003142C0" w:rsidP="008A52F7">
            <w:pPr>
              <w:pStyle w:val="TableText"/>
              <w:rPr>
                <w:rFonts w:ascii="Cambria Math" w:hAnsi="Cambria Math"/>
                <w:bCs/>
              </w:rPr>
            </w:pPr>
            <w:r w:rsidRPr="00FA46D9">
              <w:rPr>
                <w:rFonts w:ascii="Cambria Math" w:hAnsi="Cambria Math"/>
              </w:rPr>
              <w:t>0.07</w:t>
            </w:r>
          </w:p>
        </w:tc>
        <w:tc>
          <w:tcPr>
            <w:tcW w:w="595" w:type="pct"/>
            <w:tcBorders>
              <w:top w:val="single" w:sz="6" w:space="0" w:color="000000"/>
              <w:left w:val="single" w:sz="6" w:space="0" w:color="000000"/>
              <w:bottom w:val="single" w:sz="6" w:space="0" w:color="000000"/>
              <w:right w:val="single" w:sz="6" w:space="0" w:color="000000"/>
            </w:tcBorders>
            <w:vAlign w:val="center"/>
          </w:tcPr>
          <w:p w14:paraId="32802287" w14:textId="77777777" w:rsidR="003142C0" w:rsidRPr="00FA46D9" w:rsidRDefault="003142C0" w:rsidP="008A52F7">
            <w:pPr>
              <w:pStyle w:val="TableText"/>
              <w:rPr>
                <w:rFonts w:ascii="Cambria Math" w:hAnsi="Cambria Math"/>
                <w:bCs/>
              </w:rPr>
            </w:pPr>
            <w:r w:rsidRPr="00FA46D9">
              <w:rPr>
                <w:rFonts w:ascii="Cambria Math" w:hAnsi="Cambria Math"/>
              </w:rPr>
              <w:t>0.07</w:t>
            </w:r>
          </w:p>
        </w:tc>
      </w:tr>
      <w:tr w:rsidR="00FA46D9" w:rsidRPr="00A14168" w14:paraId="6E014167" w14:textId="77777777" w:rsidTr="00FA46D9">
        <w:tc>
          <w:tcPr>
            <w:tcW w:w="798" w:type="pct"/>
            <w:vMerge w:val="restart"/>
            <w:tcBorders>
              <w:top w:val="single" w:sz="6" w:space="0" w:color="000000"/>
              <w:left w:val="single" w:sz="6" w:space="0" w:color="000000"/>
              <w:right w:val="single" w:sz="6" w:space="0" w:color="000000"/>
            </w:tcBorders>
            <w:shd w:val="clear" w:color="auto" w:fill="auto"/>
            <w:vAlign w:val="center"/>
          </w:tcPr>
          <w:p w14:paraId="788FD76E" w14:textId="77777777" w:rsidR="003142C0" w:rsidRPr="008F1BE1" w:rsidRDefault="003142C0" w:rsidP="008A52F7">
            <w:pPr>
              <w:pStyle w:val="TableText"/>
              <w:jc w:val="left"/>
              <w:rPr>
                <w:bCs/>
              </w:rPr>
            </w:pPr>
            <w:r w:rsidRPr="008F1BE1">
              <w:rPr>
                <w:bCs/>
              </w:rPr>
              <w:t>Transformer-operated</w:t>
            </w:r>
          </w:p>
        </w:tc>
        <w:tc>
          <w:tcPr>
            <w:tcW w:w="1019" w:type="pct"/>
            <w:tcBorders>
              <w:top w:val="single" w:sz="6" w:space="0" w:color="000000"/>
              <w:left w:val="single" w:sz="6" w:space="0" w:color="000000"/>
              <w:bottom w:val="single" w:sz="6" w:space="0" w:color="000000"/>
              <w:right w:val="single" w:sz="6" w:space="0" w:color="000000"/>
            </w:tcBorders>
            <w:vAlign w:val="center"/>
          </w:tcPr>
          <w:p w14:paraId="4148A074" w14:textId="77777777" w:rsidR="003142C0" w:rsidRPr="00FA46D9" w:rsidRDefault="003142C0" w:rsidP="008A52F7">
            <w:pPr>
              <w:pStyle w:val="TableText"/>
              <w:rPr>
                <w:rFonts w:ascii="Cambria Math" w:hAnsi="Cambria Math"/>
                <w:bCs/>
              </w:rPr>
            </w:pPr>
            <w:r w:rsidRPr="00FA46D9">
              <w:rPr>
                <w:rFonts w:ascii="Cambria Math" w:hAnsi="Cambria Math"/>
                <w:bCs/>
              </w:rPr>
              <w:t>0.05</w:t>
            </w:r>
            <w:r w:rsidRPr="00FA46D9">
              <w:rPr>
                <w:rFonts w:ascii="Cambria Math" w:hAnsi="Cambria Math"/>
                <w:bCs/>
                <w:i/>
              </w:rPr>
              <w:t xml:space="preserve"> I</w:t>
            </w:r>
            <w:r w:rsidRPr="00FA46D9">
              <w:rPr>
                <w:rFonts w:ascii="Cambria Math" w:hAnsi="Cambria Math"/>
                <w:vertAlign w:val="subscript"/>
                <w:lang w:val="en-US"/>
              </w:rPr>
              <w:t>n</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1A4067F9" w14:textId="77777777" w:rsidR="003142C0" w:rsidRPr="00FA46D9" w:rsidRDefault="003142C0" w:rsidP="008A52F7">
            <w:pPr>
              <w:pStyle w:val="TableText"/>
              <w:rPr>
                <w:rFonts w:ascii="Cambria Math" w:hAnsi="Cambria Math"/>
                <w:bCs/>
              </w:rPr>
            </w:pPr>
            <w:r w:rsidRPr="00FA46D9">
              <w:rPr>
                <w:rFonts w:ascii="Cambria Math" w:hAnsi="Cambria Math"/>
                <w:bCs/>
              </w:rPr>
              <w:t>1</w:t>
            </w:r>
          </w:p>
        </w:tc>
        <w:tc>
          <w:tcPr>
            <w:tcW w:w="595" w:type="pct"/>
            <w:tcBorders>
              <w:top w:val="single" w:sz="6" w:space="0" w:color="000000"/>
              <w:left w:val="single" w:sz="6" w:space="0" w:color="000000"/>
              <w:bottom w:val="single" w:sz="6" w:space="0" w:color="000000"/>
              <w:right w:val="single" w:sz="6" w:space="0" w:color="000000"/>
            </w:tcBorders>
            <w:vAlign w:val="center"/>
          </w:tcPr>
          <w:p w14:paraId="33E1692A" w14:textId="77777777" w:rsidR="003142C0" w:rsidRPr="00FA46D9" w:rsidRDefault="003142C0" w:rsidP="008A52F7">
            <w:pPr>
              <w:pStyle w:val="TableText"/>
              <w:rPr>
                <w:rFonts w:ascii="Cambria Math" w:hAnsi="Cambria Math"/>
                <w:bCs/>
              </w:rPr>
            </w:pPr>
            <w:r w:rsidRPr="00FA46D9">
              <w:rPr>
                <w:rFonts w:ascii="Cambria Math" w:hAnsi="Cambria Math"/>
                <w:bCs/>
              </w:rPr>
              <w:t>0.01</w:t>
            </w:r>
          </w:p>
        </w:tc>
        <w:tc>
          <w:tcPr>
            <w:tcW w:w="596" w:type="pct"/>
            <w:tcBorders>
              <w:top w:val="single" w:sz="6" w:space="0" w:color="000000"/>
              <w:left w:val="single" w:sz="6" w:space="0" w:color="000000"/>
              <w:bottom w:val="single" w:sz="6" w:space="0" w:color="000000"/>
              <w:right w:val="single" w:sz="6" w:space="0" w:color="000000"/>
            </w:tcBorders>
            <w:vAlign w:val="center"/>
          </w:tcPr>
          <w:p w14:paraId="698C4274" w14:textId="77777777" w:rsidR="003142C0" w:rsidRPr="00FA46D9" w:rsidRDefault="003142C0" w:rsidP="008A52F7">
            <w:pPr>
              <w:pStyle w:val="TableText"/>
              <w:rPr>
                <w:rFonts w:ascii="Cambria Math" w:hAnsi="Cambria Math"/>
                <w:bCs/>
              </w:rPr>
            </w:pPr>
            <w:r w:rsidRPr="00FA46D9">
              <w:rPr>
                <w:rFonts w:ascii="Cambria Math" w:hAnsi="Cambria Math"/>
              </w:rPr>
              <w:t>0.03</w:t>
            </w:r>
          </w:p>
        </w:tc>
        <w:tc>
          <w:tcPr>
            <w:tcW w:w="596" w:type="pct"/>
            <w:tcBorders>
              <w:top w:val="single" w:sz="6" w:space="0" w:color="000000"/>
              <w:left w:val="single" w:sz="6" w:space="0" w:color="000000"/>
              <w:bottom w:val="single" w:sz="6" w:space="0" w:color="000000"/>
              <w:right w:val="single" w:sz="6" w:space="0" w:color="000000"/>
            </w:tcBorders>
            <w:vAlign w:val="center"/>
          </w:tcPr>
          <w:p w14:paraId="44DE3FF2"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5" w:type="pct"/>
            <w:tcBorders>
              <w:top w:val="single" w:sz="6" w:space="0" w:color="000000"/>
              <w:left w:val="single" w:sz="6" w:space="0" w:color="000000"/>
              <w:bottom w:val="single" w:sz="6" w:space="0" w:color="000000"/>
              <w:right w:val="single" w:sz="6" w:space="0" w:color="000000"/>
            </w:tcBorders>
            <w:vAlign w:val="center"/>
          </w:tcPr>
          <w:p w14:paraId="1D47FEA8" w14:textId="77777777" w:rsidR="003142C0" w:rsidRPr="00FA46D9" w:rsidRDefault="003142C0" w:rsidP="008A52F7">
            <w:pPr>
              <w:pStyle w:val="TableText"/>
              <w:rPr>
                <w:rFonts w:ascii="Cambria Math" w:hAnsi="Cambria Math"/>
                <w:bCs/>
              </w:rPr>
            </w:pPr>
            <w:r w:rsidRPr="00FA46D9">
              <w:rPr>
                <w:rFonts w:ascii="Cambria Math" w:hAnsi="Cambria Math"/>
              </w:rPr>
              <w:t>0.05</w:t>
            </w:r>
          </w:p>
        </w:tc>
      </w:tr>
      <w:tr w:rsidR="00FA46D9" w:rsidRPr="004D23A4" w14:paraId="5BCEADC1" w14:textId="77777777" w:rsidTr="00FA46D9">
        <w:tc>
          <w:tcPr>
            <w:tcW w:w="798" w:type="pct"/>
            <w:vMerge/>
            <w:tcBorders>
              <w:left w:val="single" w:sz="6" w:space="0" w:color="000000"/>
              <w:bottom w:val="single" w:sz="6" w:space="0" w:color="000000"/>
              <w:right w:val="single" w:sz="6" w:space="0" w:color="000000"/>
            </w:tcBorders>
            <w:shd w:val="clear" w:color="auto" w:fill="auto"/>
            <w:vAlign w:val="center"/>
          </w:tcPr>
          <w:p w14:paraId="41370C78" w14:textId="77777777" w:rsidR="003142C0" w:rsidRPr="008F1BE1" w:rsidRDefault="003142C0" w:rsidP="008A52F7">
            <w:pPr>
              <w:pStyle w:val="TableText"/>
              <w:rPr>
                <w:bCs/>
              </w:rPr>
            </w:pPr>
          </w:p>
        </w:tc>
        <w:tc>
          <w:tcPr>
            <w:tcW w:w="1019" w:type="pct"/>
            <w:tcBorders>
              <w:top w:val="single" w:sz="6" w:space="0" w:color="000000"/>
              <w:left w:val="single" w:sz="6" w:space="0" w:color="000000"/>
              <w:bottom w:val="single" w:sz="6" w:space="0" w:color="000000"/>
              <w:right w:val="single" w:sz="6" w:space="0" w:color="000000"/>
            </w:tcBorders>
            <w:vAlign w:val="center"/>
          </w:tcPr>
          <w:p w14:paraId="77E641C4" w14:textId="77777777" w:rsidR="003142C0" w:rsidRPr="00FA46D9" w:rsidRDefault="003142C0" w:rsidP="008A52F7">
            <w:pPr>
              <w:pStyle w:val="TableText"/>
              <w:rPr>
                <w:rFonts w:ascii="Cambria Math" w:hAnsi="Cambria Math"/>
                <w:bCs/>
              </w:rPr>
            </w:pPr>
            <w:r w:rsidRPr="00FA46D9">
              <w:rPr>
                <w:rFonts w:ascii="Cambria Math" w:hAnsi="Cambria Math"/>
                <w:bCs/>
              </w:rPr>
              <w:t>0.1</w:t>
            </w:r>
            <w:r w:rsidRPr="00FA46D9">
              <w:rPr>
                <w:rFonts w:ascii="Cambria Math" w:hAnsi="Cambria Math"/>
                <w:bCs/>
                <w:i/>
              </w:rPr>
              <w:t xml:space="preserve"> I</w:t>
            </w:r>
            <w:r w:rsidRPr="00FA46D9">
              <w:rPr>
                <w:rFonts w:ascii="Cambria Math" w:hAnsi="Cambria Math"/>
                <w:vertAlign w:val="subscript"/>
                <w:lang w:val="en-US"/>
              </w:rPr>
              <w:t>n</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5775E4CD" w14:textId="77777777" w:rsidR="003142C0" w:rsidRPr="00FA46D9" w:rsidRDefault="003142C0" w:rsidP="008A52F7">
            <w:pPr>
              <w:pStyle w:val="TableText"/>
              <w:rPr>
                <w:rFonts w:ascii="Cambria Math" w:hAnsi="Cambria Math"/>
                <w:bCs/>
              </w:rPr>
            </w:pPr>
            <w:r w:rsidRPr="00FA46D9">
              <w:rPr>
                <w:rFonts w:ascii="Cambria Math" w:hAnsi="Cambria Math"/>
                <w:bCs/>
              </w:rPr>
              <w:t>0.5 inductive</w:t>
            </w:r>
          </w:p>
        </w:tc>
        <w:tc>
          <w:tcPr>
            <w:tcW w:w="595" w:type="pct"/>
            <w:tcBorders>
              <w:top w:val="single" w:sz="6" w:space="0" w:color="000000"/>
              <w:left w:val="single" w:sz="6" w:space="0" w:color="000000"/>
              <w:bottom w:val="single" w:sz="6" w:space="0" w:color="000000"/>
              <w:right w:val="single" w:sz="6" w:space="0" w:color="000000"/>
            </w:tcBorders>
            <w:vAlign w:val="center"/>
          </w:tcPr>
          <w:p w14:paraId="60D77C30" w14:textId="77777777" w:rsidR="003142C0" w:rsidRPr="00FA46D9" w:rsidRDefault="003142C0" w:rsidP="008A52F7">
            <w:pPr>
              <w:pStyle w:val="TableText"/>
              <w:rPr>
                <w:rFonts w:ascii="Cambria Math" w:hAnsi="Cambria Math"/>
                <w:bCs/>
              </w:rPr>
            </w:pPr>
            <w:r w:rsidRPr="00FA46D9">
              <w:rPr>
                <w:rFonts w:ascii="Cambria Math" w:hAnsi="Cambria Math"/>
              </w:rPr>
              <w:t>0.02</w:t>
            </w:r>
          </w:p>
        </w:tc>
        <w:tc>
          <w:tcPr>
            <w:tcW w:w="596" w:type="pct"/>
            <w:tcBorders>
              <w:top w:val="single" w:sz="6" w:space="0" w:color="000000"/>
              <w:left w:val="single" w:sz="6" w:space="0" w:color="000000"/>
              <w:bottom w:val="single" w:sz="6" w:space="0" w:color="000000"/>
              <w:right w:val="single" w:sz="6" w:space="0" w:color="000000"/>
            </w:tcBorders>
            <w:vAlign w:val="center"/>
          </w:tcPr>
          <w:p w14:paraId="45C436F9"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6" w:type="pct"/>
            <w:tcBorders>
              <w:top w:val="single" w:sz="6" w:space="0" w:color="000000"/>
              <w:left w:val="single" w:sz="6" w:space="0" w:color="000000"/>
              <w:bottom w:val="single" w:sz="6" w:space="0" w:color="000000"/>
              <w:right w:val="single" w:sz="6" w:space="0" w:color="000000"/>
            </w:tcBorders>
            <w:vAlign w:val="center"/>
          </w:tcPr>
          <w:p w14:paraId="137DB9C3" w14:textId="77777777" w:rsidR="003142C0" w:rsidRPr="00FA46D9" w:rsidRDefault="003142C0" w:rsidP="008A52F7">
            <w:pPr>
              <w:pStyle w:val="TableText"/>
              <w:rPr>
                <w:rFonts w:ascii="Cambria Math" w:hAnsi="Cambria Math"/>
                <w:bCs/>
              </w:rPr>
            </w:pPr>
            <w:r w:rsidRPr="00FA46D9">
              <w:rPr>
                <w:rFonts w:ascii="Cambria Math" w:hAnsi="Cambria Math"/>
              </w:rPr>
              <w:t>0.07</w:t>
            </w:r>
          </w:p>
        </w:tc>
        <w:tc>
          <w:tcPr>
            <w:tcW w:w="595" w:type="pct"/>
            <w:tcBorders>
              <w:top w:val="single" w:sz="6" w:space="0" w:color="000000"/>
              <w:left w:val="single" w:sz="6" w:space="0" w:color="000000"/>
              <w:bottom w:val="single" w:sz="6" w:space="0" w:color="000000"/>
              <w:right w:val="single" w:sz="6" w:space="0" w:color="000000"/>
            </w:tcBorders>
            <w:vAlign w:val="center"/>
          </w:tcPr>
          <w:p w14:paraId="594C365F" w14:textId="77777777" w:rsidR="003142C0" w:rsidRPr="00FA46D9" w:rsidRDefault="003142C0" w:rsidP="008A52F7">
            <w:pPr>
              <w:pStyle w:val="TableText"/>
              <w:rPr>
                <w:rFonts w:ascii="Cambria Math" w:hAnsi="Cambria Math"/>
                <w:bCs/>
              </w:rPr>
            </w:pPr>
            <w:r w:rsidRPr="00FA46D9">
              <w:rPr>
                <w:rFonts w:ascii="Cambria Math" w:hAnsi="Cambria Math"/>
              </w:rPr>
              <w:t>0.07</w:t>
            </w:r>
          </w:p>
        </w:tc>
      </w:tr>
    </w:tbl>
    <w:p w14:paraId="22ECBDC0" w14:textId="77777777" w:rsidR="003142C0" w:rsidRDefault="00290FAC" w:rsidP="00290FAC">
      <w:pPr>
        <w:pStyle w:val="Note"/>
      </w:pPr>
      <w:r w:rsidRPr="00290FAC">
        <w:t>Note 1:</w:t>
      </w:r>
      <w:r w:rsidRPr="00290FAC">
        <w:tab/>
        <w:t>The mean temperature coefficient shall be determined over the whole operating range, using temperature intervals as described in Annex A.2.3. The temperature shall not fall outside the specified operating temperature range at any time during the test.</w:t>
      </w:r>
    </w:p>
    <w:p w14:paraId="6F383328" w14:textId="77777777" w:rsidR="007B78B3" w:rsidRDefault="007B78B3" w:rsidP="003142C0">
      <w:pPr>
        <w:pStyle w:val="Heading2"/>
      </w:pPr>
      <w:r>
        <w:t>Humidity</w:t>
      </w:r>
    </w:p>
    <w:p w14:paraId="5A0F7F83" w14:textId="5B7DD939" w:rsidR="007B78B3" w:rsidRDefault="007B78B3" w:rsidP="007B78B3">
      <w:pPr>
        <w:spacing w:after="200"/>
      </w:pPr>
      <w:r>
        <w:t xml:space="preserve">All meters shall be subjected to the damp heat cyclic test described in </w:t>
      </w:r>
      <w:r w:rsidRPr="00037EBB">
        <w:t xml:space="preserve">Annex </w:t>
      </w:r>
      <w:r w:rsidR="00037EBB">
        <w:t>A.2.4</w:t>
      </w:r>
      <w:r>
        <w:t>. At the conclusion of this test, the meter shall show no damage and shall operate correctly. Any information displayed by the meter shall remain unchanged.</w:t>
      </w:r>
    </w:p>
    <w:p w14:paraId="1F9BB9B4" w14:textId="77777777" w:rsidR="007B78B3" w:rsidRDefault="007B78B3" w:rsidP="003142C0">
      <w:pPr>
        <w:pStyle w:val="Heading2"/>
      </w:pPr>
      <w:r>
        <w:t>Solar Radiation</w:t>
      </w:r>
    </w:p>
    <w:p w14:paraId="3430048F" w14:textId="77777777" w:rsidR="007B78B3" w:rsidRDefault="007B78B3" w:rsidP="007B78B3">
      <w:pPr>
        <w:spacing w:after="200"/>
      </w:pPr>
      <w:r>
        <w:t>All meters, unless intended for, and clearly marked as, ‘for indoor use only’, shall be subjected to the solar radiation test described in Annex A.2.5. At the conclusion of the test, no change in the appearance of the meter shall be evident and the meter function shall not be impaired.</w:t>
      </w:r>
    </w:p>
    <w:p w14:paraId="312BB772" w14:textId="77777777" w:rsidR="007B78B3" w:rsidRDefault="007B78B3" w:rsidP="003142C0">
      <w:pPr>
        <w:pStyle w:val="Heading2"/>
      </w:pPr>
      <w:r>
        <w:t>Dust</w:t>
      </w:r>
    </w:p>
    <w:p w14:paraId="2C6A830A" w14:textId="77777777" w:rsidR="00931290" w:rsidRDefault="007B78B3" w:rsidP="007B78B3">
      <w:pPr>
        <w:spacing w:after="200"/>
      </w:pPr>
      <w:r>
        <w:t>All meters shall be subjected to the dust test (without suction in the meter) described in Annex A.2.6. At the conclusion of the test</w:t>
      </w:r>
      <w:r w:rsidR="00931290">
        <w:t>:</w:t>
      </w:r>
    </w:p>
    <w:p w14:paraId="2EEA7578" w14:textId="589E48C1" w:rsidR="00931290" w:rsidRDefault="00931290" w:rsidP="00436EDF">
      <w:pPr>
        <w:pStyle w:val="ListParagraph"/>
        <w:numPr>
          <w:ilvl w:val="0"/>
          <w:numId w:val="42"/>
        </w:numPr>
        <w:spacing w:after="200"/>
      </w:pPr>
      <w:r>
        <w:t xml:space="preserve">There </w:t>
      </w:r>
      <w:r w:rsidR="007B78B3">
        <w:t>shall be no evidence of dust accumulation in a manner which could affect meter operation or safety</w:t>
      </w:r>
      <w:r w:rsidR="000630E7">
        <w:t xml:space="preserve">. </w:t>
      </w:r>
    </w:p>
    <w:p w14:paraId="04D73581" w14:textId="34BB6295" w:rsidR="00931290" w:rsidRDefault="00931290" w:rsidP="00436EDF">
      <w:pPr>
        <w:pStyle w:val="ListParagraph"/>
        <w:numPr>
          <w:ilvl w:val="0"/>
          <w:numId w:val="42"/>
        </w:numPr>
        <w:spacing w:after="200"/>
      </w:pPr>
      <w:r>
        <w:t xml:space="preserve">There shall be no </w:t>
      </w:r>
      <w:r w:rsidR="007B78B3">
        <w:t xml:space="preserve">evidence of dust deposition in a way which could lead to tracking along the creepage distances. </w:t>
      </w:r>
    </w:p>
    <w:p w14:paraId="75294D8D" w14:textId="4F2C38EE" w:rsidR="007B78B3" w:rsidRDefault="007B78B3" w:rsidP="00436EDF">
      <w:pPr>
        <w:pStyle w:val="ListParagraph"/>
        <w:numPr>
          <w:ilvl w:val="0"/>
          <w:numId w:val="42"/>
        </w:numPr>
        <w:spacing w:after="200"/>
      </w:pPr>
      <w:r>
        <w:t>The function of the meter shall not be impaired.</w:t>
      </w:r>
    </w:p>
    <w:p w14:paraId="4C9122D1" w14:textId="77777777" w:rsidR="007B78B3" w:rsidRDefault="007B78B3" w:rsidP="003142C0">
      <w:pPr>
        <w:pStyle w:val="Heading2"/>
      </w:pPr>
      <w:r>
        <w:t>Starting and No-Load Condition</w:t>
      </w:r>
    </w:p>
    <w:p w14:paraId="76F18ADB" w14:textId="77777777" w:rsidR="007B78B3" w:rsidRDefault="007B78B3" w:rsidP="003142C0">
      <w:pPr>
        <w:pStyle w:val="Heading3"/>
      </w:pPr>
      <w:r>
        <w:t>General</w:t>
      </w:r>
    </w:p>
    <w:p w14:paraId="2B68F915" w14:textId="77777777" w:rsidR="007B78B3" w:rsidRDefault="007B78B3" w:rsidP="007B78B3">
      <w:pPr>
        <w:spacing w:after="200"/>
      </w:pPr>
      <w:r>
        <w:t>For these tests, the conditions and the values of the influence quantities shall be as specified in Annex A.1.1 except for any changes specified below.</w:t>
      </w:r>
    </w:p>
    <w:p w14:paraId="7528687A" w14:textId="77777777" w:rsidR="007B78B3" w:rsidRDefault="007B78B3" w:rsidP="003142C0">
      <w:pPr>
        <w:pStyle w:val="Heading3"/>
      </w:pPr>
      <w:r>
        <w:t>Initial Start Up of the Meter</w:t>
      </w:r>
    </w:p>
    <w:p w14:paraId="2A3D05F6" w14:textId="77777777" w:rsidR="007B78B3" w:rsidRDefault="007B78B3" w:rsidP="007B78B3">
      <w:pPr>
        <w:spacing w:after="200"/>
      </w:pPr>
      <w:r>
        <w:t>The meter shall be functional within 5 s after the rated voltage is applied to the meter terminals.</w:t>
      </w:r>
    </w:p>
    <w:p w14:paraId="021A68BE" w14:textId="77777777" w:rsidR="007B78B3" w:rsidRDefault="007B78B3" w:rsidP="003142C0">
      <w:pPr>
        <w:pStyle w:val="Heading3"/>
      </w:pPr>
      <w:r>
        <w:t>Running with No Load</w:t>
      </w:r>
    </w:p>
    <w:p w14:paraId="4A30E13E" w14:textId="77777777" w:rsidR="007B78B3" w:rsidRDefault="007B78B3" w:rsidP="007B78B3">
      <w:pPr>
        <w:spacing w:after="200"/>
      </w:pPr>
      <w:r>
        <w:t>When the voltage is applied with no current flowing in the current circuit, the test output of a meter shall not produce more than one pulse. For this test, the current circuit shall be open-circuit and a voltage of 115% of the reference voltage shall be applied to the voltage circuits.</w:t>
      </w:r>
    </w:p>
    <w:p w14:paraId="503DE569" w14:textId="77777777" w:rsidR="007B78B3" w:rsidRDefault="007B78B3" w:rsidP="00BC7090">
      <w:r>
        <w:t>The minimum test period shall be:</w:t>
      </w:r>
    </w:p>
    <w:p w14:paraId="7196CE79" w14:textId="77777777" w:rsidR="007B78B3" w:rsidRDefault="00320D75"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900×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oMath>
      <w:r w:rsidR="00290FAC">
        <w:t xml:space="preserve"> </w:t>
      </w:r>
      <w:r w:rsidR="007B78B3">
        <w:t>min for meters of class 0.2;</w:t>
      </w:r>
    </w:p>
    <w:p w14:paraId="417BF649" w14:textId="77777777" w:rsidR="007B78B3" w:rsidRDefault="00320D75"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600×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r w:rsidR="007B78B3">
        <w:t>min for meters of class 0.5 and 1;</w:t>
      </w:r>
    </w:p>
    <w:p w14:paraId="4BA431F3" w14:textId="77777777" w:rsidR="007B78B3" w:rsidRDefault="00320D75"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480×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r w:rsidR="007B78B3">
        <w:t>min for class 1.5 meters.</w:t>
      </w:r>
    </w:p>
    <w:p w14:paraId="751D1289" w14:textId="77777777" w:rsidR="007B78B3" w:rsidRDefault="007B78B3" w:rsidP="00BC7090">
      <w:r>
        <w:t>Where:</w:t>
      </w:r>
    </w:p>
    <w:p w14:paraId="775D1B1C" w14:textId="77777777" w:rsidR="007B78B3" w:rsidRDefault="007B78B3" w:rsidP="00BC7090">
      <w:pPr>
        <w:tabs>
          <w:tab w:val="left" w:pos="993"/>
        </w:tabs>
        <w:spacing w:after="60"/>
        <w:ind w:left="425"/>
      </w:pPr>
      <w:r w:rsidRPr="00FA46D9">
        <w:rPr>
          <w:rFonts w:ascii="Cambria Math" w:hAnsi="Cambria Math"/>
          <w:i/>
        </w:rPr>
        <w:t>k</w:t>
      </w:r>
      <w:r>
        <w:tab/>
        <w:t>is the number of pulses emitted by the output device of the meter per kilowatt hour (imp/kWh);</w:t>
      </w:r>
    </w:p>
    <w:p w14:paraId="49E5FF6D" w14:textId="77777777" w:rsidR="007B78B3" w:rsidRDefault="007B78B3" w:rsidP="00BC7090">
      <w:pPr>
        <w:tabs>
          <w:tab w:val="left" w:pos="993"/>
        </w:tabs>
        <w:spacing w:after="60"/>
        <w:ind w:left="425"/>
      </w:pPr>
      <w:r w:rsidRPr="00FA46D9">
        <w:rPr>
          <w:rFonts w:ascii="Cambria Math" w:hAnsi="Cambria Math"/>
          <w:i/>
        </w:rPr>
        <w:t>m</w:t>
      </w:r>
      <w:r>
        <w:tab/>
        <w:t>is the number of measuring elements;</w:t>
      </w:r>
    </w:p>
    <w:p w14:paraId="1784D4FD" w14:textId="77777777" w:rsidR="007B78B3" w:rsidRDefault="007B78B3" w:rsidP="00BC7090">
      <w:pPr>
        <w:tabs>
          <w:tab w:val="left" w:pos="993"/>
        </w:tabs>
        <w:spacing w:after="60"/>
        <w:ind w:left="425"/>
      </w:pPr>
      <w:r w:rsidRPr="00FA46D9">
        <w:rPr>
          <w:rFonts w:ascii="Cambria Math" w:hAnsi="Cambria Math"/>
          <w:i/>
        </w:rPr>
        <w:t>U</w:t>
      </w:r>
      <w:r w:rsidRPr="00FA46D9">
        <w:rPr>
          <w:rFonts w:ascii="Cambria Math" w:hAnsi="Cambria Math"/>
          <w:vertAlign w:val="subscript"/>
        </w:rPr>
        <w:t>nom</w:t>
      </w:r>
      <w:r>
        <w:tab/>
        <w:t>is the reference voltage in volts; and</w:t>
      </w:r>
    </w:p>
    <w:p w14:paraId="5DEB9FF6" w14:textId="77777777" w:rsidR="007B78B3" w:rsidRDefault="007B78B3" w:rsidP="00BC7090">
      <w:pPr>
        <w:tabs>
          <w:tab w:val="left" w:pos="993"/>
        </w:tabs>
        <w:spacing w:after="200"/>
        <w:ind w:left="425"/>
      </w:pPr>
      <w:r w:rsidRPr="00FA46D9">
        <w:rPr>
          <w:rFonts w:ascii="Cambria Math" w:hAnsi="Cambria Math"/>
          <w:i/>
        </w:rPr>
        <w:t>I</w:t>
      </w:r>
      <w:r w:rsidRPr="00FA46D9">
        <w:rPr>
          <w:rFonts w:ascii="Cambria Math" w:hAnsi="Cambria Math"/>
          <w:vertAlign w:val="subscript"/>
        </w:rPr>
        <w:t>max</w:t>
      </w:r>
      <w:r>
        <w:t xml:space="preserve"> </w:t>
      </w:r>
      <w:r>
        <w:tab/>
        <w:t>is the maximum current in amperes.</w:t>
      </w:r>
    </w:p>
    <w:p w14:paraId="33648718" w14:textId="77777777" w:rsidR="007B78B3" w:rsidRDefault="007B78B3" w:rsidP="007B78B3">
      <w:pPr>
        <w:spacing w:after="200"/>
      </w:pPr>
      <w:r>
        <w:t xml:space="preserve">In the case of an induction meter, a current of </w:t>
      </w:r>
      <w:r w:rsidRPr="006959A7">
        <w:rPr>
          <w:rFonts w:asciiTheme="majorHAnsi" w:hAnsiTheme="majorHAnsi" w:cstheme="majorHAnsi"/>
        </w:rPr>
        <w:t>0.001</w:t>
      </w:r>
      <w:r w:rsidRPr="00A57EE3">
        <w:rPr>
          <w:rFonts w:ascii="Cambria Math" w:hAnsi="Cambria Math"/>
        </w:rPr>
        <w:t xml:space="preserve"> </w:t>
      </w:r>
      <w:r w:rsidRPr="00A57EE3">
        <w:rPr>
          <w:rFonts w:ascii="Cambria Math" w:hAnsi="Cambria Math"/>
          <w:i/>
        </w:rPr>
        <w:t>I</w:t>
      </w:r>
      <w:r w:rsidRPr="00A57EE3">
        <w:rPr>
          <w:rFonts w:ascii="Cambria Math" w:hAnsi="Cambria Math"/>
          <w:vertAlign w:val="subscript"/>
        </w:rPr>
        <w:t>b</w:t>
      </w:r>
      <w:r>
        <w:t xml:space="preserve"> with power factor of </w:t>
      </w:r>
      <w:r w:rsidRPr="00A57EE3">
        <w:rPr>
          <w:rFonts w:ascii="Cambria Math" w:hAnsi="Cambria Math"/>
        </w:rPr>
        <w:t>1</w:t>
      </w:r>
      <w:r>
        <w:t xml:space="preserve"> shall be in each current circuit, and connected in turn for forward and reverse rotation. The reference voltage shall be applied to each voltage circuit. Under these conditions, the rotor may start but shall not complete a revolution.</w:t>
      </w:r>
    </w:p>
    <w:p w14:paraId="329F7EAF" w14:textId="77777777" w:rsidR="007B78B3" w:rsidRDefault="007B78B3" w:rsidP="007B78B3">
      <w:pPr>
        <w:spacing w:after="200"/>
      </w:pPr>
      <w:r>
        <w:t>It is acceptable to use an appropriate meter register instead of the test output to assess this requirement by appropriately substituting the resolution for the meter constant to determine the minimum test period.</w:t>
      </w:r>
    </w:p>
    <w:p w14:paraId="2BCBC6AF" w14:textId="77777777" w:rsidR="007B78B3" w:rsidRDefault="007B78B3" w:rsidP="00A57EE3">
      <w:pPr>
        <w:pStyle w:val="Heading3"/>
      </w:pPr>
      <w:r>
        <w:t>Starting</w:t>
      </w:r>
    </w:p>
    <w:p w14:paraId="4391E983" w14:textId="77777777" w:rsidR="007B78B3" w:rsidRDefault="007B78B3" w:rsidP="007B78B3">
      <w:pPr>
        <w:spacing w:after="200"/>
      </w:pPr>
      <w:r>
        <w:t>Static meters shall start and continue to register at the current (and, in the case of polyphase meters, with balanced load) specified in Table 7. Class 1.5 induction meters shall start and complete at least one revolution at the current specified, with each voltage circuit being at reference voltage.</w:t>
      </w:r>
    </w:p>
    <w:p w14:paraId="4FB81A6F" w14:textId="77777777" w:rsidR="00A57EE3" w:rsidRDefault="00A57EE3" w:rsidP="00A57EE3">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192601">
        <w:rPr>
          <w:noProof/>
        </w:rPr>
        <w:t>7</w:t>
      </w:r>
      <w:r w:rsidR="00F23ADF">
        <w:rPr>
          <w:noProof/>
        </w:rPr>
        <w:fldChar w:fldCharType="end"/>
      </w:r>
      <w:r>
        <w:t>. Starting current for 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126"/>
        <w:gridCol w:w="1931"/>
        <w:gridCol w:w="1157"/>
        <w:gridCol w:w="1157"/>
        <w:gridCol w:w="1173"/>
        <w:gridCol w:w="1198"/>
      </w:tblGrid>
      <w:tr w:rsidR="00A57EE3" w:rsidRPr="009E7160" w14:paraId="4D2FBCFB" w14:textId="77777777" w:rsidTr="00B43AE5">
        <w:trPr>
          <w:jc w:val="center"/>
        </w:trPr>
        <w:tc>
          <w:tcPr>
            <w:tcW w:w="1604" w:type="pct"/>
            <w:vMerge w:val="restart"/>
            <w:shd w:val="clear" w:color="auto" w:fill="F0DCDC"/>
            <w:tcMar>
              <w:left w:w="28" w:type="dxa"/>
              <w:right w:w="28" w:type="dxa"/>
            </w:tcMar>
          </w:tcPr>
          <w:p w14:paraId="64DAF7FA" w14:textId="77777777" w:rsidR="00A57EE3" w:rsidRPr="009E7160" w:rsidRDefault="00A57EE3" w:rsidP="008A52F7">
            <w:pPr>
              <w:pStyle w:val="TableText"/>
            </w:pPr>
          </w:p>
        </w:tc>
        <w:tc>
          <w:tcPr>
            <w:tcW w:w="991" w:type="pct"/>
            <w:vMerge w:val="restart"/>
            <w:shd w:val="clear" w:color="auto" w:fill="F0DCDC"/>
            <w:tcMar>
              <w:left w:w="28" w:type="dxa"/>
              <w:right w:w="28" w:type="dxa"/>
            </w:tcMar>
            <w:vAlign w:val="center"/>
          </w:tcPr>
          <w:p w14:paraId="3F6821FD" w14:textId="77777777" w:rsidR="00A57EE3" w:rsidRPr="009E7160" w:rsidRDefault="00A57EE3" w:rsidP="008A52F7">
            <w:pPr>
              <w:pStyle w:val="TableText"/>
              <w:rPr>
                <w:rFonts w:eastAsia="Times"/>
              </w:rPr>
            </w:pPr>
            <w:r w:rsidRPr="009E7160">
              <w:rPr>
                <w:rFonts w:eastAsia="Times"/>
              </w:rPr>
              <w:t>Power factor</w:t>
            </w:r>
          </w:p>
        </w:tc>
        <w:tc>
          <w:tcPr>
            <w:tcW w:w="2405" w:type="pct"/>
            <w:gridSpan w:val="4"/>
            <w:shd w:val="clear" w:color="auto" w:fill="F0DCDC"/>
            <w:tcMar>
              <w:left w:w="28" w:type="dxa"/>
              <w:right w:w="28" w:type="dxa"/>
            </w:tcMar>
          </w:tcPr>
          <w:p w14:paraId="18ECBD88" w14:textId="77777777" w:rsidR="00A57EE3" w:rsidRPr="009E7160" w:rsidRDefault="00A57EE3" w:rsidP="008A52F7">
            <w:pPr>
              <w:pStyle w:val="TableText"/>
              <w:rPr>
                <w:rFonts w:eastAsia="Times"/>
              </w:rPr>
            </w:pPr>
            <w:r w:rsidRPr="009E7160">
              <w:rPr>
                <w:rFonts w:eastAsia="Times"/>
              </w:rPr>
              <w:t>Class of meter</w:t>
            </w:r>
          </w:p>
        </w:tc>
      </w:tr>
      <w:tr w:rsidR="00A57EE3" w:rsidRPr="009E7160" w14:paraId="08B763F2" w14:textId="77777777" w:rsidTr="00B43AE5">
        <w:trPr>
          <w:jc w:val="center"/>
        </w:trPr>
        <w:tc>
          <w:tcPr>
            <w:tcW w:w="1604" w:type="pct"/>
            <w:vMerge/>
            <w:shd w:val="clear" w:color="auto" w:fill="F0DCDC"/>
            <w:tcMar>
              <w:left w:w="28" w:type="dxa"/>
              <w:right w:w="28" w:type="dxa"/>
            </w:tcMar>
          </w:tcPr>
          <w:p w14:paraId="3B71DA53" w14:textId="77777777" w:rsidR="00A57EE3" w:rsidRPr="009E7160" w:rsidRDefault="00A57EE3" w:rsidP="008A52F7">
            <w:pPr>
              <w:pStyle w:val="TableText"/>
            </w:pPr>
          </w:p>
        </w:tc>
        <w:tc>
          <w:tcPr>
            <w:tcW w:w="991" w:type="pct"/>
            <w:vMerge/>
            <w:shd w:val="clear" w:color="auto" w:fill="F0DCDC"/>
            <w:tcMar>
              <w:left w:w="28" w:type="dxa"/>
              <w:right w:w="28" w:type="dxa"/>
            </w:tcMar>
          </w:tcPr>
          <w:p w14:paraId="19D186A2" w14:textId="77777777" w:rsidR="00A57EE3" w:rsidRPr="009E7160" w:rsidRDefault="00A57EE3" w:rsidP="008A52F7">
            <w:pPr>
              <w:pStyle w:val="TableText"/>
            </w:pPr>
          </w:p>
        </w:tc>
        <w:tc>
          <w:tcPr>
            <w:tcW w:w="594" w:type="pct"/>
            <w:shd w:val="clear" w:color="auto" w:fill="F0DCDC"/>
            <w:tcMar>
              <w:left w:w="28" w:type="dxa"/>
              <w:right w:w="28" w:type="dxa"/>
            </w:tcMar>
          </w:tcPr>
          <w:p w14:paraId="1626BE95" w14:textId="77777777" w:rsidR="00A57EE3" w:rsidRPr="009E7160" w:rsidRDefault="00A57EE3" w:rsidP="008A52F7">
            <w:pPr>
              <w:pStyle w:val="TableText"/>
            </w:pPr>
            <w:r w:rsidRPr="009E7160">
              <w:t>0.2</w:t>
            </w:r>
          </w:p>
        </w:tc>
        <w:tc>
          <w:tcPr>
            <w:tcW w:w="594" w:type="pct"/>
            <w:shd w:val="clear" w:color="auto" w:fill="F0DCDC"/>
            <w:tcMar>
              <w:left w:w="28" w:type="dxa"/>
              <w:right w:w="28" w:type="dxa"/>
            </w:tcMar>
          </w:tcPr>
          <w:p w14:paraId="676A29C7" w14:textId="77777777" w:rsidR="00A57EE3" w:rsidRPr="009E7160" w:rsidRDefault="00A57EE3" w:rsidP="008A52F7">
            <w:pPr>
              <w:pStyle w:val="TableText"/>
            </w:pPr>
            <w:r w:rsidRPr="009E7160">
              <w:t>0.5</w:t>
            </w:r>
          </w:p>
        </w:tc>
        <w:tc>
          <w:tcPr>
            <w:tcW w:w="602" w:type="pct"/>
            <w:shd w:val="clear" w:color="auto" w:fill="F0DCDC"/>
            <w:tcMar>
              <w:left w:w="28" w:type="dxa"/>
              <w:right w:w="28" w:type="dxa"/>
            </w:tcMar>
          </w:tcPr>
          <w:p w14:paraId="6ED1945A" w14:textId="77777777" w:rsidR="00A57EE3" w:rsidRPr="009E7160" w:rsidRDefault="00A57EE3" w:rsidP="008A52F7">
            <w:pPr>
              <w:pStyle w:val="TableText"/>
            </w:pPr>
            <w:r w:rsidRPr="009E7160">
              <w:t>1</w:t>
            </w:r>
          </w:p>
        </w:tc>
        <w:tc>
          <w:tcPr>
            <w:tcW w:w="615" w:type="pct"/>
            <w:shd w:val="clear" w:color="auto" w:fill="F0DCDC"/>
            <w:tcMar>
              <w:left w:w="28" w:type="dxa"/>
              <w:right w:w="28" w:type="dxa"/>
            </w:tcMar>
          </w:tcPr>
          <w:p w14:paraId="79353176" w14:textId="77777777" w:rsidR="00A57EE3" w:rsidRPr="009E7160" w:rsidRDefault="00A57EE3" w:rsidP="008A52F7">
            <w:pPr>
              <w:pStyle w:val="TableText"/>
            </w:pPr>
            <w:r w:rsidRPr="009E7160">
              <w:t>1.5</w:t>
            </w:r>
          </w:p>
        </w:tc>
      </w:tr>
      <w:tr w:rsidR="00A57EE3" w:rsidRPr="00A14168" w14:paraId="2CA707AB" w14:textId="77777777" w:rsidTr="00A57EE3">
        <w:trPr>
          <w:jc w:val="center"/>
        </w:trPr>
        <w:tc>
          <w:tcPr>
            <w:tcW w:w="1604" w:type="pct"/>
            <w:tcMar>
              <w:left w:w="85" w:type="dxa"/>
              <w:right w:w="85" w:type="dxa"/>
            </w:tcMar>
          </w:tcPr>
          <w:p w14:paraId="7E81F9ED" w14:textId="77777777" w:rsidR="00A57EE3" w:rsidRPr="008F1BE1" w:rsidRDefault="00A57EE3" w:rsidP="008A52F7">
            <w:pPr>
              <w:pStyle w:val="TableText"/>
              <w:jc w:val="left"/>
            </w:pPr>
            <w:r w:rsidRPr="008F1BE1">
              <w:t>Direct-connected meter</w:t>
            </w:r>
          </w:p>
        </w:tc>
        <w:tc>
          <w:tcPr>
            <w:tcW w:w="991" w:type="pct"/>
            <w:tcMar>
              <w:left w:w="28" w:type="dxa"/>
              <w:right w:w="28" w:type="dxa"/>
            </w:tcMar>
          </w:tcPr>
          <w:p w14:paraId="5B5DF015" w14:textId="77777777" w:rsidR="00A57EE3" w:rsidRPr="00A57EE3" w:rsidRDefault="00A57EE3" w:rsidP="008A52F7">
            <w:pPr>
              <w:pStyle w:val="TableText"/>
              <w:rPr>
                <w:rFonts w:ascii="Cambria Math" w:hAnsi="Cambria Math"/>
              </w:rPr>
            </w:pPr>
            <w:r w:rsidRPr="00A57EE3">
              <w:rPr>
                <w:rFonts w:ascii="Cambria Math" w:hAnsi="Cambria Math"/>
              </w:rPr>
              <w:t>1</w:t>
            </w:r>
          </w:p>
        </w:tc>
        <w:tc>
          <w:tcPr>
            <w:tcW w:w="594" w:type="pct"/>
            <w:tcMar>
              <w:left w:w="28" w:type="dxa"/>
              <w:right w:w="28" w:type="dxa"/>
            </w:tcMar>
          </w:tcPr>
          <w:p w14:paraId="3DD0408D" w14:textId="77777777" w:rsidR="00A57EE3" w:rsidRPr="00A57EE3" w:rsidRDefault="00A57EE3" w:rsidP="008A52F7">
            <w:pPr>
              <w:pStyle w:val="TableText"/>
              <w:rPr>
                <w:rFonts w:ascii="Cambria Math" w:hAnsi="Cambria Math"/>
              </w:rPr>
            </w:pPr>
            <w:r w:rsidRPr="00A57EE3">
              <w:rPr>
                <w:rFonts w:ascii="Cambria Math" w:hAnsi="Cambria Math"/>
              </w:rPr>
              <w:t>—</w:t>
            </w:r>
          </w:p>
        </w:tc>
        <w:tc>
          <w:tcPr>
            <w:tcW w:w="594" w:type="pct"/>
            <w:tcMar>
              <w:left w:w="28" w:type="dxa"/>
              <w:right w:w="28" w:type="dxa"/>
            </w:tcMar>
          </w:tcPr>
          <w:p w14:paraId="794942C7" w14:textId="77777777" w:rsidR="00A57EE3" w:rsidRPr="00A57EE3" w:rsidRDefault="00A57EE3" w:rsidP="008A52F7">
            <w:pPr>
              <w:pStyle w:val="TableText"/>
              <w:rPr>
                <w:rFonts w:ascii="Cambria Math" w:hAnsi="Cambria Math"/>
              </w:rPr>
            </w:pPr>
            <w:r w:rsidRPr="00A57EE3">
              <w:rPr>
                <w:rFonts w:ascii="Cambria Math" w:hAnsi="Cambria Math"/>
              </w:rPr>
              <w:t>—</w:t>
            </w:r>
          </w:p>
        </w:tc>
        <w:tc>
          <w:tcPr>
            <w:tcW w:w="602" w:type="pct"/>
            <w:tcMar>
              <w:left w:w="28" w:type="dxa"/>
              <w:right w:w="28" w:type="dxa"/>
            </w:tcMar>
          </w:tcPr>
          <w:p w14:paraId="0A93B92B" w14:textId="77777777" w:rsidR="00A57EE3" w:rsidRPr="00A57EE3" w:rsidRDefault="00A57EE3" w:rsidP="008A52F7">
            <w:pPr>
              <w:pStyle w:val="TableText"/>
              <w:rPr>
                <w:rFonts w:ascii="Cambria Math" w:hAnsi="Cambria Math"/>
              </w:rPr>
            </w:pPr>
            <w:r w:rsidRPr="00A57EE3">
              <w:rPr>
                <w:rFonts w:ascii="Cambria Math" w:hAnsi="Cambria Math"/>
              </w:rPr>
              <w:t>0.004</w:t>
            </w:r>
            <w:r w:rsidRPr="00A57EE3">
              <w:rPr>
                <w:rFonts w:ascii="Cambria Math" w:hAnsi="Cambria Math"/>
                <w:i/>
              </w:rPr>
              <w:t xml:space="preserve"> I</w:t>
            </w:r>
            <w:r w:rsidRPr="00A57EE3">
              <w:rPr>
                <w:rFonts w:ascii="Cambria Math" w:hAnsi="Cambria Math"/>
                <w:vertAlign w:val="subscript"/>
                <w:lang w:val="en-US"/>
              </w:rPr>
              <w:t>b</w:t>
            </w:r>
          </w:p>
        </w:tc>
        <w:tc>
          <w:tcPr>
            <w:tcW w:w="615" w:type="pct"/>
            <w:tcMar>
              <w:left w:w="28" w:type="dxa"/>
              <w:right w:w="28" w:type="dxa"/>
            </w:tcMar>
          </w:tcPr>
          <w:p w14:paraId="6033573F" w14:textId="77777777" w:rsidR="00A57EE3" w:rsidRPr="00A57EE3" w:rsidRDefault="00A57EE3" w:rsidP="008A52F7">
            <w:pPr>
              <w:pStyle w:val="TableText"/>
              <w:rPr>
                <w:rFonts w:ascii="Cambria Math" w:hAnsi="Cambria Math"/>
                <w:vertAlign w:val="subscript"/>
              </w:rPr>
            </w:pPr>
            <w:r w:rsidRPr="00A57EE3">
              <w:rPr>
                <w:rFonts w:ascii="Cambria Math" w:hAnsi="Cambria Math"/>
              </w:rPr>
              <w:t>0.005</w:t>
            </w:r>
            <w:r w:rsidRPr="00A57EE3">
              <w:rPr>
                <w:rFonts w:ascii="Cambria Math" w:hAnsi="Cambria Math"/>
                <w:i/>
              </w:rPr>
              <w:t xml:space="preserve"> I</w:t>
            </w:r>
            <w:r w:rsidRPr="00A57EE3">
              <w:rPr>
                <w:rFonts w:ascii="Cambria Math" w:hAnsi="Cambria Math"/>
                <w:vertAlign w:val="subscript"/>
                <w:lang w:val="en-US"/>
              </w:rPr>
              <w:t>b</w:t>
            </w:r>
          </w:p>
        </w:tc>
      </w:tr>
      <w:tr w:rsidR="00A57EE3" w:rsidRPr="00A14168" w14:paraId="7E4549B2" w14:textId="77777777" w:rsidTr="00A57EE3">
        <w:trPr>
          <w:jc w:val="center"/>
        </w:trPr>
        <w:tc>
          <w:tcPr>
            <w:tcW w:w="1604" w:type="pct"/>
            <w:tcMar>
              <w:left w:w="85" w:type="dxa"/>
              <w:right w:w="85" w:type="dxa"/>
            </w:tcMar>
          </w:tcPr>
          <w:p w14:paraId="1EDE07A9" w14:textId="77777777" w:rsidR="00A57EE3" w:rsidRPr="008F1BE1" w:rsidRDefault="00A57EE3" w:rsidP="008A52F7">
            <w:pPr>
              <w:pStyle w:val="TableText"/>
              <w:jc w:val="left"/>
            </w:pPr>
            <w:r w:rsidRPr="008F1BE1">
              <w:t>Transformer-operated meter</w:t>
            </w:r>
          </w:p>
        </w:tc>
        <w:tc>
          <w:tcPr>
            <w:tcW w:w="991" w:type="pct"/>
            <w:tcMar>
              <w:left w:w="28" w:type="dxa"/>
              <w:right w:w="28" w:type="dxa"/>
            </w:tcMar>
            <w:vAlign w:val="center"/>
          </w:tcPr>
          <w:p w14:paraId="46D89E62" w14:textId="77777777" w:rsidR="00A57EE3" w:rsidRPr="00A57EE3" w:rsidRDefault="00A57EE3" w:rsidP="008A52F7">
            <w:pPr>
              <w:pStyle w:val="TableText"/>
              <w:rPr>
                <w:rFonts w:ascii="Cambria Math" w:hAnsi="Cambria Math"/>
              </w:rPr>
            </w:pPr>
            <w:r w:rsidRPr="00A57EE3">
              <w:rPr>
                <w:rFonts w:ascii="Cambria Math" w:hAnsi="Cambria Math"/>
              </w:rPr>
              <w:t>1</w:t>
            </w:r>
          </w:p>
        </w:tc>
        <w:tc>
          <w:tcPr>
            <w:tcW w:w="594" w:type="pct"/>
            <w:tcMar>
              <w:left w:w="28" w:type="dxa"/>
              <w:right w:w="28" w:type="dxa"/>
            </w:tcMar>
            <w:vAlign w:val="center"/>
          </w:tcPr>
          <w:p w14:paraId="7F40F415" w14:textId="77777777" w:rsidR="00A57EE3" w:rsidRPr="00A57EE3" w:rsidRDefault="00A57EE3" w:rsidP="008A52F7">
            <w:pPr>
              <w:pStyle w:val="TableText"/>
              <w:rPr>
                <w:rFonts w:ascii="Cambria Math" w:hAnsi="Cambria Math"/>
              </w:rPr>
            </w:pPr>
            <w:r w:rsidRPr="00A57EE3">
              <w:rPr>
                <w:rFonts w:ascii="Cambria Math" w:hAnsi="Cambria Math"/>
              </w:rPr>
              <w:t>0.001</w:t>
            </w:r>
            <w:r w:rsidRPr="00A57EE3">
              <w:rPr>
                <w:rFonts w:ascii="Cambria Math" w:hAnsi="Cambria Math"/>
                <w:i/>
              </w:rPr>
              <w:t xml:space="preserve"> I</w:t>
            </w:r>
            <w:r w:rsidRPr="00A57EE3">
              <w:rPr>
                <w:rFonts w:ascii="Cambria Math" w:hAnsi="Cambria Math"/>
                <w:vertAlign w:val="subscript"/>
                <w:lang w:val="en-US"/>
              </w:rPr>
              <w:t>n</w:t>
            </w:r>
          </w:p>
        </w:tc>
        <w:tc>
          <w:tcPr>
            <w:tcW w:w="594" w:type="pct"/>
            <w:tcMar>
              <w:left w:w="28" w:type="dxa"/>
              <w:right w:w="28" w:type="dxa"/>
            </w:tcMar>
            <w:vAlign w:val="center"/>
          </w:tcPr>
          <w:p w14:paraId="79E0CBB4" w14:textId="77777777" w:rsidR="00A57EE3" w:rsidRPr="00A57EE3" w:rsidRDefault="00A57EE3" w:rsidP="008A52F7">
            <w:pPr>
              <w:pStyle w:val="TableText"/>
              <w:rPr>
                <w:rFonts w:ascii="Cambria Math" w:hAnsi="Cambria Math"/>
              </w:rPr>
            </w:pPr>
            <w:r w:rsidRPr="00A57EE3">
              <w:rPr>
                <w:rFonts w:ascii="Cambria Math" w:hAnsi="Cambria Math"/>
              </w:rPr>
              <w:t>0.001</w:t>
            </w:r>
            <w:r w:rsidRPr="00A57EE3">
              <w:rPr>
                <w:rFonts w:ascii="Cambria Math" w:hAnsi="Cambria Math"/>
                <w:i/>
              </w:rPr>
              <w:t xml:space="preserve"> I</w:t>
            </w:r>
            <w:r w:rsidRPr="00A57EE3">
              <w:rPr>
                <w:rFonts w:ascii="Cambria Math" w:hAnsi="Cambria Math"/>
                <w:vertAlign w:val="subscript"/>
                <w:lang w:val="en-US"/>
              </w:rPr>
              <w:t>n</w:t>
            </w:r>
          </w:p>
        </w:tc>
        <w:tc>
          <w:tcPr>
            <w:tcW w:w="602" w:type="pct"/>
            <w:tcMar>
              <w:left w:w="28" w:type="dxa"/>
              <w:right w:w="28" w:type="dxa"/>
            </w:tcMar>
            <w:vAlign w:val="center"/>
          </w:tcPr>
          <w:p w14:paraId="3FF39ED1" w14:textId="77777777" w:rsidR="00A57EE3" w:rsidRPr="00A57EE3" w:rsidRDefault="00A57EE3" w:rsidP="008A52F7">
            <w:pPr>
              <w:pStyle w:val="TableText"/>
              <w:rPr>
                <w:rFonts w:ascii="Cambria Math" w:hAnsi="Cambria Math"/>
              </w:rPr>
            </w:pPr>
            <w:r w:rsidRPr="00A57EE3">
              <w:rPr>
                <w:rFonts w:ascii="Cambria Math" w:hAnsi="Cambria Math"/>
              </w:rPr>
              <w:t>0.002</w:t>
            </w:r>
            <w:r w:rsidRPr="00A57EE3">
              <w:rPr>
                <w:rFonts w:ascii="Cambria Math" w:hAnsi="Cambria Math"/>
                <w:i/>
              </w:rPr>
              <w:t xml:space="preserve"> I</w:t>
            </w:r>
            <w:r w:rsidRPr="00A57EE3">
              <w:rPr>
                <w:rFonts w:ascii="Cambria Math" w:hAnsi="Cambria Math"/>
                <w:vertAlign w:val="subscript"/>
                <w:lang w:val="en-US"/>
              </w:rPr>
              <w:t>n</w:t>
            </w:r>
          </w:p>
        </w:tc>
        <w:tc>
          <w:tcPr>
            <w:tcW w:w="615" w:type="pct"/>
            <w:tcMar>
              <w:left w:w="28" w:type="dxa"/>
              <w:right w:w="28" w:type="dxa"/>
            </w:tcMar>
            <w:vAlign w:val="center"/>
          </w:tcPr>
          <w:p w14:paraId="00209D75" w14:textId="77777777" w:rsidR="00A57EE3" w:rsidRPr="00A57EE3" w:rsidRDefault="00A57EE3" w:rsidP="008A52F7">
            <w:pPr>
              <w:pStyle w:val="TableText"/>
              <w:rPr>
                <w:rFonts w:ascii="Cambria Math" w:hAnsi="Cambria Math"/>
              </w:rPr>
            </w:pPr>
            <w:r w:rsidRPr="00A57EE3">
              <w:rPr>
                <w:rFonts w:ascii="Cambria Math" w:hAnsi="Cambria Math"/>
                <w:lang w:val="en-US"/>
              </w:rPr>
              <w:t xml:space="preserve">0.0025 </w:t>
            </w:r>
            <w:r w:rsidRPr="00A57EE3">
              <w:rPr>
                <w:rFonts w:ascii="Cambria Math" w:hAnsi="Cambria Math"/>
                <w:i/>
                <w:lang w:val="en-US"/>
              </w:rPr>
              <w:t>I</w:t>
            </w:r>
            <w:r w:rsidRPr="00A57EE3">
              <w:rPr>
                <w:rFonts w:ascii="Cambria Math" w:hAnsi="Cambria Math"/>
                <w:vertAlign w:val="subscript"/>
                <w:lang w:val="en-US"/>
              </w:rPr>
              <w:t>n</w:t>
            </w:r>
          </w:p>
        </w:tc>
      </w:tr>
    </w:tbl>
    <w:p w14:paraId="43293AB6" w14:textId="77777777" w:rsidR="00A57EE3" w:rsidRDefault="00A57EE3" w:rsidP="00A57EE3">
      <w:pPr>
        <w:pStyle w:val="Heading1"/>
      </w:pPr>
      <w:bookmarkStart w:id="14" w:name="_Toc85486019"/>
      <w:r>
        <w:t>Internal Clocks</w:t>
      </w:r>
      <w:bookmarkEnd w:id="14"/>
    </w:p>
    <w:p w14:paraId="1FBE2286" w14:textId="0C9A0156" w:rsidR="00A57EE3" w:rsidRDefault="00A57EE3" w:rsidP="00A57EE3">
      <w:pPr>
        <w:spacing w:after="200"/>
      </w:pPr>
      <w:r>
        <w:t xml:space="preserve">Any solid state internal clock </w:t>
      </w:r>
      <w:r w:rsidR="00436EDF">
        <w:t xml:space="preserve">intended for use for trade </w:t>
      </w:r>
      <w:r>
        <w:t>shall meet the timing requirements specified in AS 62054.21 [10].</w:t>
      </w:r>
    </w:p>
    <w:p w14:paraId="5C3F3051" w14:textId="77777777" w:rsidR="00A57EE3" w:rsidRDefault="00A57EE3" w:rsidP="00A57EE3">
      <w:pPr>
        <w:spacing w:after="200"/>
      </w:pPr>
      <w:r>
        <w:t>Meters must demonstrate a convenient methodology of clock synchronisation via the local optical or serial port.</w:t>
      </w:r>
    </w:p>
    <w:p w14:paraId="7F2D71C2" w14:textId="77777777" w:rsidR="00A57EE3" w:rsidRDefault="00A57EE3" w:rsidP="00A57EE3">
      <w:pPr>
        <w:spacing w:after="200"/>
      </w:pPr>
      <w:r>
        <w:t>For meters recording load profile for tariff calculation, the clock synchronisation must not permit clock adjustment that crosses an interval boundary.</w:t>
      </w:r>
    </w:p>
    <w:p w14:paraId="0D72139E" w14:textId="77777777" w:rsidR="00A57EE3" w:rsidRDefault="00A57EE3" w:rsidP="00A57EE3">
      <w:pPr>
        <w:pStyle w:val="Heading1"/>
      </w:pPr>
      <w:bookmarkStart w:id="15" w:name="_Toc85486020"/>
      <w:r>
        <w:t>Operational Requirements</w:t>
      </w:r>
      <w:bookmarkEnd w:id="15"/>
    </w:p>
    <w:p w14:paraId="6C675CDA" w14:textId="77777777" w:rsidR="00A57EE3" w:rsidRDefault="00A57EE3" w:rsidP="00A57EE3">
      <w:pPr>
        <w:pStyle w:val="Heading2"/>
      </w:pPr>
      <w:r>
        <w:t>Suitability of Construction</w:t>
      </w:r>
    </w:p>
    <w:p w14:paraId="546209D6" w14:textId="06033893" w:rsidR="00A57EE3" w:rsidRDefault="00A57EE3" w:rsidP="00A57EE3">
      <w:pPr>
        <w:spacing w:after="200"/>
      </w:pPr>
      <w:r>
        <w:t xml:space="preserve">Meters shall withstand the amount of vibration and shock that may be encountered under conditions of normal use, and as given by the tests outlined in Annexes A.2.7 and </w:t>
      </w:r>
      <w:r w:rsidR="00037EBB">
        <w:t>A.2.8</w:t>
      </w:r>
      <w:r>
        <w:t xml:space="preserve">. </w:t>
      </w:r>
    </w:p>
    <w:p w14:paraId="50202D49" w14:textId="77777777" w:rsidR="00A57EE3" w:rsidRDefault="00A57EE3" w:rsidP="00A57EE3">
      <w:pPr>
        <w:spacing w:after="200"/>
      </w:pPr>
      <w:r>
        <w:t>Dust shall not impair the performance of the meter, as demonstrated by the test outlined in Annex A.2.6.</w:t>
      </w:r>
    </w:p>
    <w:p w14:paraId="7D761B7D" w14:textId="77777777" w:rsidR="00A57EE3" w:rsidRDefault="00A57EE3" w:rsidP="00A57EE3">
      <w:pPr>
        <w:pStyle w:val="Heading2"/>
      </w:pPr>
      <w:r>
        <w:t>Acting upon Significant Faults</w:t>
      </w:r>
    </w:p>
    <w:p w14:paraId="37097FAC" w14:textId="77777777" w:rsidR="00A57EE3" w:rsidRDefault="00A57EE3" w:rsidP="00A57EE3">
      <w:pPr>
        <w:spacing w:after="200"/>
      </w:pPr>
      <w:r>
        <w:t>Meters shall be designed and manufactured such that when they are exposed to disturbances, significant faults do not occur, or if they do they are detected, logged and acted upon by communicating this information to the responsible parties until the situation has been rectified, for example through the use of meter alerts. The log shall be in the form of a permanent record with an associated date and time for each event.</w:t>
      </w:r>
    </w:p>
    <w:p w14:paraId="0273CDAB" w14:textId="77777777" w:rsidR="00A57EE3" w:rsidRDefault="00A57EE3" w:rsidP="00A57EE3">
      <w:pPr>
        <w:pStyle w:val="Heading2"/>
      </w:pPr>
      <w:r>
        <w:t>Display</w:t>
      </w:r>
    </w:p>
    <w:p w14:paraId="2FA5C6FB" w14:textId="77777777" w:rsidR="00A57EE3" w:rsidRDefault="00A57EE3" w:rsidP="00A57EE3">
      <w:pPr>
        <w:spacing w:after="200"/>
      </w:pPr>
      <w:r>
        <w:t>A meter shall have a display which is legible whilst operating, and visible to the consumer when installed in the normal installation position as specified by the manufacturer. The display may be physically separate from the meter.</w:t>
      </w:r>
    </w:p>
    <w:p w14:paraId="05CF44F6" w14:textId="77777777" w:rsidR="00A57EE3" w:rsidRDefault="00A57EE3" w:rsidP="00A57EE3">
      <w:pPr>
        <w:spacing w:after="200"/>
      </w:pPr>
      <w:r>
        <w:t>There shall be a procedure that shows all relevant elements of the indicator display, regardless of whether or not current is flowing through the meter, with sufficient time to allow the operator to check them.</w:t>
      </w:r>
    </w:p>
    <w:p w14:paraId="7B953734" w14:textId="77777777" w:rsidR="00A57EE3" w:rsidRDefault="00A57EE3" w:rsidP="00A57EE3">
      <w:pPr>
        <w:spacing w:after="200"/>
      </w:pPr>
      <w:r>
        <w:t>A meter shall be able to display the quantity of electrical energy corresponding to the maximum current (</w:t>
      </w:r>
      <w:r w:rsidRPr="00A57EE3">
        <w:rPr>
          <w:rFonts w:ascii="Cambria Math" w:hAnsi="Cambria Math"/>
          <w:i/>
        </w:rPr>
        <w:t>I</w:t>
      </w:r>
      <w:r w:rsidRPr="00A57EE3">
        <w:rPr>
          <w:rFonts w:ascii="Cambria Math" w:hAnsi="Cambria Math"/>
          <w:vertAlign w:val="subscript"/>
        </w:rPr>
        <w:t>max</w:t>
      </w:r>
      <w:r>
        <w:t>) for at least 4 000 h, without returning to the same index.</w:t>
      </w:r>
    </w:p>
    <w:p w14:paraId="63A74EEA" w14:textId="77777777" w:rsidR="00A57EE3" w:rsidRDefault="00A57EE3" w:rsidP="00A57EE3">
      <w:pPr>
        <w:pStyle w:val="Heading2"/>
      </w:pPr>
      <w:r>
        <w:t>Optical Port</w:t>
      </w:r>
    </w:p>
    <w:p w14:paraId="248B4DE3" w14:textId="77777777" w:rsidR="00A57EE3" w:rsidRDefault="00A57EE3" w:rsidP="00A57EE3">
      <w:pPr>
        <w:spacing w:after="200"/>
      </w:pPr>
      <w:r>
        <w:t>Any optical port shall be capable of reliable operation in the range of lighting conditions specified by the manufacturer. The performance of the optical port shall comply with the requirements of Annex A.1.3.</w:t>
      </w:r>
    </w:p>
    <w:p w14:paraId="0F37C001" w14:textId="77777777" w:rsidR="00A57EE3" w:rsidRDefault="00A57EE3" w:rsidP="00A57EE3">
      <w:pPr>
        <w:pStyle w:val="Heading1"/>
      </w:pPr>
      <w:bookmarkStart w:id="16" w:name="_Toc85486021"/>
      <w:r>
        <w:t>M</w:t>
      </w:r>
      <w:r w:rsidR="00EB4C00">
        <w:t>arkings</w:t>
      </w:r>
      <w:bookmarkEnd w:id="16"/>
    </w:p>
    <w:p w14:paraId="68CDA53A" w14:textId="77777777" w:rsidR="00A57EE3" w:rsidRDefault="00A57EE3" w:rsidP="00A57EE3">
      <w:pPr>
        <w:pStyle w:val="Heading2"/>
      </w:pPr>
      <w:r>
        <w:t>Information to be Displayed on Meter Exterior</w:t>
      </w:r>
    </w:p>
    <w:p w14:paraId="34488B1F" w14:textId="06E63532" w:rsidR="00A57EE3" w:rsidRDefault="00B405A5" w:rsidP="00A57EE3">
      <w:pPr>
        <w:spacing w:after="200"/>
      </w:pPr>
      <w:r w:rsidRPr="00B405A5">
        <w:t>Meters shall be clearly and permanently marked</w:t>
      </w:r>
      <w:r w:rsidR="00BB4ADA">
        <w:t xml:space="preserve"> on the meter exterior</w:t>
      </w:r>
      <w:r w:rsidRPr="00B405A5">
        <w:t>, and the markings shall be visible when the meter is installed</w:t>
      </w:r>
      <w:r>
        <w:t xml:space="preserve">, </w:t>
      </w:r>
      <w:r w:rsidR="00A57EE3">
        <w:t>with the following information:</w:t>
      </w:r>
    </w:p>
    <w:p w14:paraId="5E0DF110" w14:textId="77777777" w:rsidR="00A57EE3" w:rsidRDefault="00A57EE3" w:rsidP="00F74CE3">
      <w:pPr>
        <w:pStyle w:val="ListParagraph"/>
        <w:numPr>
          <w:ilvl w:val="0"/>
          <w:numId w:val="8"/>
        </w:numPr>
        <w:spacing w:after="200"/>
      </w:pPr>
      <w:r>
        <w:t>manufacturer’s name or mark;</w:t>
      </w:r>
    </w:p>
    <w:p w14:paraId="57E5D39E" w14:textId="77777777" w:rsidR="00A57EE3" w:rsidRDefault="00A57EE3" w:rsidP="00F74CE3">
      <w:pPr>
        <w:pStyle w:val="ListParagraph"/>
        <w:numPr>
          <w:ilvl w:val="0"/>
          <w:numId w:val="8"/>
        </w:numPr>
        <w:spacing w:after="200"/>
      </w:pPr>
      <w:r>
        <w:t>model designation;</w:t>
      </w:r>
    </w:p>
    <w:p w14:paraId="26F44850" w14:textId="77777777" w:rsidR="00A57EE3" w:rsidRDefault="00A57EE3" w:rsidP="00F74CE3">
      <w:pPr>
        <w:pStyle w:val="ListParagraph"/>
        <w:numPr>
          <w:ilvl w:val="0"/>
          <w:numId w:val="8"/>
        </w:numPr>
        <w:spacing w:after="200"/>
      </w:pPr>
      <w:r>
        <w:t>serial or identification number;</w:t>
      </w:r>
    </w:p>
    <w:p w14:paraId="0486FED5" w14:textId="75E55523" w:rsidR="00A57EE3" w:rsidRDefault="00B405A5" w:rsidP="00F74CE3">
      <w:pPr>
        <w:pStyle w:val="ListParagraph"/>
        <w:numPr>
          <w:ilvl w:val="0"/>
          <w:numId w:val="8"/>
        </w:numPr>
        <w:spacing w:after="200"/>
      </w:pPr>
      <w:r>
        <w:t xml:space="preserve">space for </w:t>
      </w:r>
      <w:r w:rsidR="00A57EE3">
        <w:t>pattern approval number</w:t>
      </w:r>
      <w:r>
        <w:t xml:space="preserve"> which associates meter with a Certificate of Approval issued by the Chief Metrologist (or delegate)</w:t>
      </w:r>
      <w:r w:rsidR="00A57EE3">
        <w:t>;</w:t>
      </w:r>
    </w:p>
    <w:p w14:paraId="49EAD5B8" w14:textId="77777777" w:rsidR="00A57EE3" w:rsidRDefault="00A57EE3" w:rsidP="00F74CE3">
      <w:pPr>
        <w:pStyle w:val="ListParagraph"/>
        <w:numPr>
          <w:ilvl w:val="0"/>
          <w:numId w:val="8"/>
        </w:numPr>
        <w:spacing w:after="200"/>
      </w:pPr>
      <w:r>
        <w:t>number of phases and the number of wires for which the meter is suitable (for example single-phase two wire, three-phase three wire, three-phase four wire); these markings may be replaced by the graphic symbols used in IEC 62053-52 [11];</w:t>
      </w:r>
    </w:p>
    <w:p w14:paraId="5115D15B" w14:textId="77777777" w:rsidR="00A57EE3" w:rsidRDefault="00A57EE3" w:rsidP="00F74CE3">
      <w:pPr>
        <w:pStyle w:val="ListParagraph"/>
        <w:numPr>
          <w:ilvl w:val="0"/>
          <w:numId w:val="8"/>
        </w:numPr>
        <w:spacing w:after="200"/>
      </w:pPr>
      <w:r>
        <w:t>reference frequency;</w:t>
      </w:r>
    </w:p>
    <w:p w14:paraId="4D0D5DE9" w14:textId="449E2336" w:rsidR="00A57EE3" w:rsidRDefault="00A57EE3" w:rsidP="00F74CE3">
      <w:pPr>
        <w:pStyle w:val="ListParagraph"/>
        <w:numPr>
          <w:ilvl w:val="0"/>
          <w:numId w:val="8"/>
        </w:numPr>
        <w:spacing w:after="200"/>
      </w:pPr>
      <w:r>
        <w:t>temperature limits (if more restrictive than –10</w:t>
      </w:r>
      <w:r w:rsidR="00A7097B">
        <w:t xml:space="preserve"> </w:t>
      </w:r>
      <w:r>
        <w:t>°C to +</w:t>
      </w:r>
      <w:r w:rsidR="006711C3">
        <w:t xml:space="preserve">55 </w:t>
      </w:r>
      <w:r>
        <w:t>°C);</w:t>
      </w:r>
    </w:p>
    <w:p w14:paraId="14D882EC" w14:textId="77777777" w:rsidR="00A57EE3" w:rsidRDefault="00A57EE3" w:rsidP="00F74CE3">
      <w:pPr>
        <w:pStyle w:val="ListParagraph"/>
        <w:numPr>
          <w:ilvl w:val="0"/>
          <w:numId w:val="8"/>
        </w:numPr>
        <w:spacing w:after="200"/>
      </w:pPr>
      <w:r>
        <w:t>meter constant (in units as specified in clause 2.28), which may be marked on the meter using a sticker which must be permanent and indelible;</w:t>
      </w:r>
    </w:p>
    <w:p w14:paraId="512351F4" w14:textId="77777777" w:rsidR="00A57EE3" w:rsidRDefault="00A57EE3" w:rsidP="00F74CE3">
      <w:pPr>
        <w:pStyle w:val="ListParagraph"/>
        <w:numPr>
          <w:ilvl w:val="0"/>
          <w:numId w:val="8"/>
        </w:numPr>
        <w:spacing w:after="200"/>
      </w:pPr>
      <w:r>
        <w:t>rated voltage;</w:t>
      </w:r>
    </w:p>
    <w:p w14:paraId="530BDCA6" w14:textId="77777777" w:rsidR="00A57EE3" w:rsidRDefault="00A57EE3" w:rsidP="00F74CE3">
      <w:pPr>
        <w:pStyle w:val="ListParagraph"/>
        <w:numPr>
          <w:ilvl w:val="0"/>
          <w:numId w:val="8"/>
        </w:numPr>
        <w:spacing w:after="200"/>
      </w:pPr>
      <w:r>
        <w:t>rated currents;</w:t>
      </w:r>
    </w:p>
    <w:p w14:paraId="091CB270" w14:textId="77777777" w:rsidR="00A57EE3" w:rsidRDefault="00A57EE3" w:rsidP="00F74CE3">
      <w:pPr>
        <w:pStyle w:val="ListParagraph"/>
        <w:numPr>
          <w:ilvl w:val="0"/>
          <w:numId w:val="8"/>
        </w:numPr>
        <w:spacing w:after="200"/>
      </w:pPr>
      <w:r>
        <w:t>class of meter; and</w:t>
      </w:r>
    </w:p>
    <w:p w14:paraId="2CF615E8" w14:textId="77777777" w:rsidR="00A57EE3" w:rsidRDefault="00A57EE3" w:rsidP="00F74CE3">
      <w:pPr>
        <w:pStyle w:val="ListParagraph"/>
        <w:numPr>
          <w:ilvl w:val="0"/>
          <w:numId w:val="8"/>
        </w:numPr>
        <w:spacing w:after="200"/>
      </w:pPr>
      <w:r>
        <w:t>‘for indoor use only’ if the meter is intended for indoor use only.</w:t>
      </w:r>
    </w:p>
    <w:p w14:paraId="4820BD5D" w14:textId="76A9381B" w:rsidR="00BB4ADA" w:rsidRDefault="00BB4ADA" w:rsidP="00BB4ADA">
      <w:pPr>
        <w:spacing w:after="200"/>
      </w:pPr>
      <w:r>
        <w:t xml:space="preserve">If there is limited space available on the meter exterior </w:t>
      </w:r>
      <w:r w:rsidR="007D7B17">
        <w:t>that is</w:t>
      </w:r>
      <w:r>
        <w:t xml:space="preserve"> visible when installed, information in points a) to d) are mandatory. In this case, markings e) to l) must be available either via the meter display, or marked elsewhere on the meter exterior.</w:t>
      </w:r>
    </w:p>
    <w:p w14:paraId="77B326FE" w14:textId="77777777" w:rsidR="00A57EE3" w:rsidRDefault="00A57EE3" w:rsidP="00A57EE3">
      <w:pPr>
        <w:spacing w:after="200"/>
      </w:pPr>
      <w:r>
        <w:t>Space for a verification mark shall be provided as described in clause 9.1.</w:t>
      </w:r>
    </w:p>
    <w:p w14:paraId="2EEBC394" w14:textId="77777777" w:rsidR="00A57EE3" w:rsidRDefault="00A57EE3" w:rsidP="00A57EE3">
      <w:pPr>
        <w:pStyle w:val="Heading2"/>
      </w:pPr>
      <w:r>
        <w:t>Notices</w:t>
      </w:r>
    </w:p>
    <w:p w14:paraId="25BACE6C" w14:textId="77777777" w:rsidR="00A57EE3" w:rsidRDefault="00A57EE3" w:rsidP="00A57EE3">
      <w:pPr>
        <w:spacing w:after="200"/>
      </w:pPr>
      <w:r>
        <w:t>Any special notice or limitation of use relating to the meter shall be either clearly marked on a notice visible to the operator or provided in an operators’ manual.</w:t>
      </w:r>
    </w:p>
    <w:p w14:paraId="0A8DCDEB" w14:textId="77777777" w:rsidR="00A57EE3" w:rsidRDefault="00A57EE3" w:rsidP="00A57EE3">
      <w:pPr>
        <w:pStyle w:val="Heading1"/>
      </w:pPr>
      <w:bookmarkStart w:id="17" w:name="_Toc85486022"/>
      <w:r>
        <w:t>Verification Mark and Sealing</w:t>
      </w:r>
      <w:bookmarkEnd w:id="17"/>
    </w:p>
    <w:p w14:paraId="7D216B30" w14:textId="77777777" w:rsidR="00A57EE3" w:rsidRDefault="00A57EE3" w:rsidP="00A57EE3">
      <w:pPr>
        <w:pStyle w:val="Heading2"/>
      </w:pPr>
      <w:r>
        <w:t>Verification Mark</w:t>
      </w:r>
    </w:p>
    <w:p w14:paraId="061A00D5" w14:textId="77777777" w:rsidR="00A57EE3" w:rsidRDefault="00A57EE3" w:rsidP="00A57EE3">
      <w:pPr>
        <w:spacing w:after="200"/>
      </w:pPr>
      <w:r>
        <w:t>Provision shall be made for the application of a verification mark either on a stamping plug or an adhesive label. The following requirements apply:</w:t>
      </w:r>
    </w:p>
    <w:p w14:paraId="2E9EB08A" w14:textId="77777777" w:rsidR="00A57EE3" w:rsidRDefault="00A57EE3" w:rsidP="00F74CE3">
      <w:pPr>
        <w:pStyle w:val="ListParagraph"/>
        <w:numPr>
          <w:ilvl w:val="0"/>
          <w:numId w:val="9"/>
        </w:numPr>
        <w:spacing w:after="200"/>
      </w:pPr>
      <w:r>
        <w:t>the mark shall be easily affixed without affecting the metrological properties of the meter;</w:t>
      </w:r>
    </w:p>
    <w:p w14:paraId="18E76AB6" w14:textId="77777777" w:rsidR="00A57EE3" w:rsidRDefault="00A57EE3" w:rsidP="00F74CE3">
      <w:pPr>
        <w:pStyle w:val="ListParagraph"/>
        <w:numPr>
          <w:ilvl w:val="0"/>
          <w:numId w:val="9"/>
        </w:numPr>
        <w:spacing w:after="200"/>
      </w:pPr>
      <w:r>
        <w:t>the mark shall be visible without moving or dismantling the meter when in use;</w:t>
      </w:r>
    </w:p>
    <w:p w14:paraId="00F59406" w14:textId="77777777" w:rsidR="00A57EE3" w:rsidRDefault="00A57EE3" w:rsidP="00F74CE3">
      <w:pPr>
        <w:pStyle w:val="ListParagraph"/>
        <w:numPr>
          <w:ilvl w:val="0"/>
          <w:numId w:val="9"/>
        </w:numPr>
        <w:spacing w:after="200"/>
      </w:pPr>
      <w:r>
        <w:t>the part on which the mark is located shall not be removable from the meter without damaging the mark; and</w:t>
      </w:r>
    </w:p>
    <w:p w14:paraId="15CDFB51" w14:textId="73B3C84A" w:rsidR="00B32EF1" w:rsidRDefault="00A57EE3" w:rsidP="00B32EF1">
      <w:pPr>
        <w:pStyle w:val="ListParagraph"/>
        <w:numPr>
          <w:ilvl w:val="0"/>
          <w:numId w:val="9"/>
        </w:numPr>
        <w:spacing w:after="200"/>
      </w:pPr>
      <w:r>
        <w:t xml:space="preserve">the size of the space shall be sufficient to contain the marks applied by the </w:t>
      </w:r>
      <w:r w:rsidR="00B32EF1">
        <w:t>Utility Meter Verifier</w:t>
      </w:r>
      <w:r>
        <w:t xml:space="preserve"> and to ensure that those marks shall be legible. A minimum size of 200 mm</w:t>
      </w:r>
      <w:r w:rsidRPr="00342045">
        <w:rPr>
          <w:vertAlign w:val="superscript"/>
        </w:rPr>
        <w:t>2</w:t>
      </w:r>
      <w:r>
        <w:t xml:space="preserve"> is recommended.</w:t>
      </w:r>
    </w:p>
    <w:p w14:paraId="683C5DBA" w14:textId="1B90742B" w:rsidR="00A57EE3" w:rsidRDefault="00B32EF1" w:rsidP="00B32EF1">
      <w:pPr>
        <w:pStyle w:val="Note"/>
      </w:pPr>
      <w:r w:rsidRPr="00B32EF1">
        <w:t xml:space="preserve"> </w:t>
      </w:r>
      <w:r>
        <w:t>Note:</w:t>
      </w:r>
      <w:r>
        <w:tab/>
        <w:t>A verification mark may be in the form of a Certificate of Verification. See NITP 14</w:t>
      </w:r>
      <w:r w:rsidR="006C1AF3">
        <w:t xml:space="preserve"> Utility Meters</w:t>
      </w:r>
      <w:r>
        <w:t xml:space="preserve"> for more information.</w:t>
      </w:r>
    </w:p>
    <w:p w14:paraId="6EE4A793" w14:textId="77777777" w:rsidR="00A57EE3" w:rsidRDefault="00A57EE3" w:rsidP="00342045">
      <w:pPr>
        <w:pStyle w:val="Heading2"/>
      </w:pPr>
      <w:r>
        <w:t>Sealing</w:t>
      </w:r>
    </w:p>
    <w:p w14:paraId="54FD9322" w14:textId="63AE31B0" w:rsidR="00A57EE3" w:rsidRDefault="00A57EE3" w:rsidP="00A57EE3">
      <w:pPr>
        <w:spacing w:after="200"/>
      </w:pPr>
      <w:r>
        <w:t>Provision shall be made for sealing those devices and parameters that have a metrologically significant effect and that determine the measurement result. This may include devices and parameters that affect the configuration of the meter as well as those which affect the calibration. If instructions or data, which alter the parameters that determine the measurement result, can be introduced through an auxiliary device interface into the meter, the interface shall also be sealed.</w:t>
      </w:r>
    </w:p>
    <w:p w14:paraId="1F026C60" w14:textId="77777777" w:rsidR="00A57EE3" w:rsidRDefault="00A57EE3" w:rsidP="00A57EE3">
      <w:pPr>
        <w:spacing w:after="200"/>
      </w:pPr>
      <w:r>
        <w:t>Sealing may be by mechanical or solid state means. Mechanical means include those where access to a solid state means of changing the parameters (for example via a keyboard) is prohibited by a mechanical seal.</w:t>
      </w:r>
    </w:p>
    <w:p w14:paraId="3B045D5E" w14:textId="77777777" w:rsidR="00A57EE3" w:rsidRDefault="00A57EE3" w:rsidP="00A57EE3">
      <w:pPr>
        <w:spacing w:after="200"/>
      </w:pPr>
      <w:r>
        <w:t>The requirements for solid state seals are:</w:t>
      </w:r>
    </w:p>
    <w:p w14:paraId="317EA55C" w14:textId="77777777" w:rsidR="00A57EE3" w:rsidRDefault="00A57EE3" w:rsidP="00F74CE3">
      <w:pPr>
        <w:pStyle w:val="ListParagraph"/>
        <w:numPr>
          <w:ilvl w:val="0"/>
          <w:numId w:val="10"/>
        </w:numPr>
        <w:spacing w:after="200"/>
      </w:pPr>
      <w:r>
        <w:t>Access by authorised persons to protected parameters shall be protected by some form of physical key or a password or access code (for example a four-digit code).</w:t>
      </w:r>
    </w:p>
    <w:p w14:paraId="629A7577" w14:textId="77777777" w:rsidR="00A57EE3" w:rsidRDefault="00A57EE3" w:rsidP="00F74CE3">
      <w:pPr>
        <w:pStyle w:val="ListParagraph"/>
        <w:numPr>
          <w:ilvl w:val="0"/>
          <w:numId w:val="10"/>
        </w:numPr>
        <w:spacing w:after="200"/>
      </w:pPr>
      <w:r>
        <w:t>Any access to alter protected parameters shall be automatically recorded (for example by means of a counter which automatically increments when access is initiated).</w:t>
      </w:r>
    </w:p>
    <w:p w14:paraId="5A99352A" w14:textId="77777777" w:rsidR="00A57EE3" w:rsidRDefault="00A57EE3" w:rsidP="00F74CE3">
      <w:pPr>
        <w:pStyle w:val="ListParagraph"/>
        <w:numPr>
          <w:ilvl w:val="0"/>
          <w:numId w:val="10"/>
        </w:numPr>
        <w:spacing w:after="200"/>
      </w:pPr>
      <w:r>
        <w:t>The record shall be readily accessible by a simple action (for example by display of the counter when a button identified as being for this purpose is pressed, or during the indication check).</w:t>
      </w:r>
    </w:p>
    <w:p w14:paraId="42996B6B" w14:textId="77777777" w:rsidR="00A57EE3" w:rsidRDefault="00A57EE3" w:rsidP="00F74CE3">
      <w:pPr>
        <w:pStyle w:val="ListParagraph"/>
        <w:numPr>
          <w:ilvl w:val="0"/>
          <w:numId w:val="10"/>
        </w:numPr>
        <w:spacing w:after="200"/>
      </w:pPr>
      <w:r>
        <w:t>The record shall be readily identifiable as such and shall not be easily confused with other indications of the meter.</w:t>
      </w:r>
    </w:p>
    <w:p w14:paraId="12BAB593" w14:textId="77777777" w:rsidR="00A57EE3" w:rsidRDefault="00A57EE3" w:rsidP="00F74CE3">
      <w:pPr>
        <w:pStyle w:val="ListParagraph"/>
        <w:numPr>
          <w:ilvl w:val="0"/>
          <w:numId w:val="10"/>
        </w:numPr>
        <w:spacing w:after="200"/>
      </w:pPr>
      <w:r>
        <w:t>A reference record in the same form as the incremental record shall be permanently marked on the meter to indicate that the parameters have been accessed since the last verification (for example the reference record could be associated with the verification mark).</w:t>
      </w:r>
    </w:p>
    <w:p w14:paraId="1FD489BE" w14:textId="77777777" w:rsidR="00A57EE3" w:rsidRDefault="00A57EE3" w:rsidP="00F74CE3">
      <w:pPr>
        <w:pStyle w:val="ListParagraph"/>
        <w:numPr>
          <w:ilvl w:val="0"/>
          <w:numId w:val="10"/>
        </w:numPr>
        <w:spacing w:after="200"/>
      </w:pPr>
      <w:r>
        <w:t>The record shall not repeat in a sequence of less than 99 alterations. It shall also persist reliably for a period of at least two years (unless it is overwritten by a further alteration). The record shall persist through tests for influence factors and disturbances specified in the document.</w:t>
      </w:r>
    </w:p>
    <w:p w14:paraId="37B5007C" w14:textId="77777777" w:rsidR="00342045" w:rsidRDefault="00342045" w:rsidP="00342045">
      <w:pPr>
        <w:pStyle w:val="Heading1"/>
      </w:pPr>
      <w:bookmarkStart w:id="18" w:name="_Toc85486023"/>
      <w:r>
        <w:t>General</w:t>
      </w:r>
      <w:bookmarkEnd w:id="18"/>
    </w:p>
    <w:p w14:paraId="7EB46481" w14:textId="4CB6A8B3" w:rsidR="00D0156B" w:rsidRDefault="00342045" w:rsidP="00D0156B">
      <w:pPr>
        <w:pStyle w:val="Heading2"/>
      </w:pPr>
      <w:r>
        <w:t>Pattern Approval</w:t>
      </w:r>
    </w:p>
    <w:p w14:paraId="5878F7DB" w14:textId="77777777" w:rsidR="00342045" w:rsidRDefault="00342045" w:rsidP="00342045">
      <w:pPr>
        <w:pStyle w:val="Heading3"/>
      </w:pPr>
      <w:r>
        <w:t>Documentation</w:t>
      </w:r>
    </w:p>
    <w:p w14:paraId="33C96739" w14:textId="4E783E6E" w:rsidR="00342045" w:rsidRDefault="00342045" w:rsidP="00342045">
      <w:pPr>
        <w:spacing w:after="200"/>
      </w:pPr>
      <w:r>
        <w:t xml:space="preserve">Submission of a meter for pattern approval shall be in accordance with the latest version of </w:t>
      </w:r>
      <w:r w:rsidRPr="00342045">
        <w:rPr>
          <w:i/>
        </w:rPr>
        <w:t xml:space="preserve">NMI P 106 </w:t>
      </w:r>
      <w:r w:rsidR="008E74EB" w:rsidRPr="00DD4C32">
        <w:rPr>
          <w:i/>
        </w:rPr>
        <w:t>Procedures for the Approval and Certification of Patterns of Measuring Instruments</w:t>
      </w:r>
      <w:r>
        <w:t xml:space="preserve"> [12]. A submission shall be accompanied by sufficient technical information including drawings, specifications, photographs and descriptions to ensure complete understanding of the construction and method of operation of the meter.</w:t>
      </w:r>
    </w:p>
    <w:p w14:paraId="5089C74E" w14:textId="77777777" w:rsidR="00342045" w:rsidRDefault="00342045" w:rsidP="00342045">
      <w:pPr>
        <w:spacing w:after="200"/>
      </w:pPr>
      <w:r>
        <w:t>Details of the measurement data contained in the memory and calculation methods shall also be provided.</w:t>
      </w:r>
    </w:p>
    <w:p w14:paraId="50AFCDC2" w14:textId="73583C60" w:rsidR="00342045" w:rsidRDefault="00342045" w:rsidP="00342045">
      <w:pPr>
        <w:spacing w:after="200"/>
      </w:pPr>
      <w:r>
        <w:t xml:space="preserve">For meters with solid state components the documentation shall include a list of solid state sub-assemblies with their essential characteristics, and a description of the solid state devices with drawings, diagrams and general software information explaining their construction and operation. </w:t>
      </w:r>
    </w:p>
    <w:p w14:paraId="03755DD4" w14:textId="77777777" w:rsidR="00342045" w:rsidRDefault="00342045" w:rsidP="00342045">
      <w:pPr>
        <w:spacing w:after="200"/>
      </w:pPr>
      <w:r>
        <w:t>The software and/or firmware versions for which pattern approval is being sought shall be specified. The applicant shall advise NMI of future modifications to software and/or firmware with the potential to affect the metrology of the meter.</w:t>
      </w:r>
    </w:p>
    <w:p w14:paraId="51BB8968" w14:textId="77777777" w:rsidR="00342045" w:rsidRDefault="00342045" w:rsidP="00342045">
      <w:pPr>
        <w:pStyle w:val="Heading3"/>
      </w:pPr>
      <w:r>
        <w:t>Meters Submitted for Testing</w:t>
      </w:r>
    </w:p>
    <w:p w14:paraId="229329E8" w14:textId="3F969F4E" w:rsidR="00342045" w:rsidRDefault="00B32EF1" w:rsidP="00342045">
      <w:pPr>
        <w:spacing w:after="200"/>
      </w:pPr>
      <w:r>
        <w:t>Testing facilities shall carry out examination on one or more sample meters submitted for laboratory tests</w:t>
      </w:r>
      <w:r w:rsidDel="00B32EF1">
        <w:t xml:space="preserve"> </w:t>
      </w:r>
      <w:r w:rsidR="00342045">
        <w:t>.</w:t>
      </w:r>
    </w:p>
    <w:p w14:paraId="02BB7BEE" w14:textId="77777777" w:rsidR="00342045" w:rsidRDefault="00342045" w:rsidP="00342045">
      <w:pPr>
        <w:pStyle w:val="Heading3"/>
      </w:pPr>
      <w:r>
        <w:t>Laboratory Examination</w:t>
      </w:r>
    </w:p>
    <w:p w14:paraId="6D8E1A59" w14:textId="6DE4B98E" w:rsidR="00342045" w:rsidRDefault="00B32EF1" w:rsidP="00342045">
      <w:pPr>
        <w:spacing w:after="200"/>
      </w:pPr>
      <w:r>
        <w:t>Testing facilities shall examine the sample meters in conjunction with the submitted documentation to assess whether the pattern complies with the applicable specifications</w:t>
      </w:r>
      <w:r w:rsidR="002B0DC9">
        <w:t xml:space="preserve">. </w:t>
      </w:r>
    </w:p>
    <w:p w14:paraId="7F95ADB5" w14:textId="77777777" w:rsidR="00342045" w:rsidRDefault="00342045" w:rsidP="00342045">
      <w:pPr>
        <w:pStyle w:val="Heading3"/>
      </w:pPr>
      <w:r>
        <w:t>Laboratory Tests</w:t>
      </w:r>
    </w:p>
    <w:p w14:paraId="2C3606BF" w14:textId="77777777" w:rsidR="00342045" w:rsidRDefault="00342045" w:rsidP="00342045">
      <w:pPr>
        <w:pStyle w:val="Heading4"/>
      </w:pPr>
      <w:r>
        <w:t>General</w:t>
      </w:r>
    </w:p>
    <w:p w14:paraId="2FAD88F5" w14:textId="77777777" w:rsidR="00342045" w:rsidRDefault="00342045" w:rsidP="00342045">
      <w:pPr>
        <w:spacing w:after="200"/>
      </w:pPr>
      <w:r>
        <w:t>Laboratory tests shall be performed in accordance with any limitations of use marked on the meter or included in any documentation accompanying the meter.</w:t>
      </w:r>
    </w:p>
    <w:p w14:paraId="47963DD1" w14:textId="77777777" w:rsidR="00342045" w:rsidRDefault="00342045" w:rsidP="00342045">
      <w:pPr>
        <w:pStyle w:val="Heading4"/>
      </w:pPr>
      <w:r>
        <w:t>Tests for Interface</w:t>
      </w:r>
    </w:p>
    <w:p w14:paraId="69CE49F9" w14:textId="715A9D21" w:rsidR="00342045" w:rsidRDefault="00342045" w:rsidP="00342045">
      <w:pPr>
        <w:spacing w:after="200"/>
      </w:pPr>
      <w:r>
        <w:t xml:space="preserve">If the meter is provided with an interface through which auxiliary devices or other meters can be connected, the tests shall be carried out with a sample device connected and tests applicable to the interface applied (see clause </w:t>
      </w:r>
      <w:r w:rsidR="00CB4A2D">
        <w:t>9.2</w:t>
      </w:r>
      <w:r>
        <w:t>). The electromagnetic susceptibility test (see Annex A.2.9) may be carried out on a meter with a meandering cable, 3 m long, connected to the interface.</w:t>
      </w:r>
    </w:p>
    <w:p w14:paraId="29F8C780" w14:textId="77777777" w:rsidR="00342045" w:rsidRDefault="00342045" w:rsidP="00342045">
      <w:pPr>
        <w:pStyle w:val="Heading2"/>
      </w:pPr>
      <w:r>
        <w:t>Verification</w:t>
      </w:r>
    </w:p>
    <w:p w14:paraId="7F52BBED" w14:textId="26C49FB5" w:rsidR="0026206A" w:rsidRDefault="00342045" w:rsidP="00A57EE3">
      <w:pPr>
        <w:spacing w:after="200"/>
      </w:pPr>
      <w:r>
        <w:t xml:space="preserve">Verification shall be performed in accordance with </w:t>
      </w:r>
      <w:r w:rsidRPr="00342045">
        <w:rPr>
          <w:i/>
        </w:rPr>
        <w:t>NITP 14 National Instrument Test Procedures for Utility Meters</w:t>
      </w:r>
      <w:r>
        <w:t>. Meters shall comply with any requirements listed in the certificate of approval.</w:t>
      </w:r>
      <w:r w:rsidR="0026206A">
        <w:br w:type="page"/>
      </w:r>
    </w:p>
    <w:p w14:paraId="413458A2" w14:textId="77777777" w:rsidR="00E54B90" w:rsidRDefault="002D0549" w:rsidP="002D0549">
      <w:pPr>
        <w:pStyle w:val="HeadingAnnexA"/>
      </w:pPr>
      <w:bookmarkStart w:id="19" w:name="_Toc528660298"/>
      <w:bookmarkStart w:id="20" w:name="_Toc85486024"/>
      <w:bookmarkEnd w:id="19"/>
      <w:r>
        <w:t>Performance Tests (Mandatory)</w:t>
      </w:r>
      <w:bookmarkEnd w:id="20"/>
    </w:p>
    <w:bookmarkEnd w:id="1"/>
    <w:p w14:paraId="103910AD" w14:textId="77777777" w:rsidR="00931CD7" w:rsidRDefault="002D0549" w:rsidP="002D0549">
      <w:pPr>
        <w:pStyle w:val="HeadingAnnexB"/>
      </w:pPr>
      <w:r>
        <w:t>Conditions for Tests</w:t>
      </w:r>
    </w:p>
    <w:p w14:paraId="78417DCF" w14:textId="77777777" w:rsidR="002D0549" w:rsidRDefault="002D0549" w:rsidP="002D0549">
      <w:pPr>
        <w:pStyle w:val="HeadingAnnexC"/>
      </w:pPr>
      <w:r>
        <w:t>Reference Conditions</w:t>
      </w:r>
    </w:p>
    <w:p w14:paraId="03845A8D" w14:textId="77777777" w:rsidR="002D0549" w:rsidRDefault="002D0549" w:rsidP="002D0549">
      <w:r>
        <w:t>The reference conditions which should be used when determining accuracy are summarised in Table A.1.</w:t>
      </w:r>
    </w:p>
    <w:p w14:paraId="07927984" w14:textId="77777777" w:rsidR="002D0549" w:rsidRDefault="002D0549" w:rsidP="002D0549">
      <w:r>
        <w:t xml:space="preserve">The following test conditions shall be maintained: </w:t>
      </w:r>
    </w:p>
    <w:p w14:paraId="194C6977" w14:textId="77777777" w:rsidR="002D0549" w:rsidRDefault="002D0549" w:rsidP="00F74CE3">
      <w:pPr>
        <w:pStyle w:val="ListParagraph"/>
        <w:numPr>
          <w:ilvl w:val="0"/>
          <w:numId w:val="12"/>
        </w:numPr>
      </w:pPr>
      <w:r>
        <w:t>the meter shall be tested in its case with the cover in position; all parts intended to be earthed shall be earthed; and</w:t>
      </w:r>
    </w:p>
    <w:p w14:paraId="2376A9AA" w14:textId="77777777" w:rsidR="002D0549" w:rsidRDefault="002D0549" w:rsidP="00F74CE3">
      <w:pPr>
        <w:pStyle w:val="ListParagraph"/>
        <w:numPr>
          <w:ilvl w:val="0"/>
          <w:numId w:val="12"/>
        </w:numPr>
      </w:pPr>
      <w:r>
        <w:t>before any test is made, the circuits shall have been energised for a time sufficient to reach thermal stability.</w:t>
      </w:r>
    </w:p>
    <w:p w14:paraId="1A579169" w14:textId="77777777" w:rsidR="00933301" w:rsidRDefault="00933301" w:rsidP="00933301">
      <w:r>
        <w:t>In addition, for polyphase meters:</w:t>
      </w:r>
    </w:p>
    <w:p w14:paraId="2C723AE5" w14:textId="77777777" w:rsidR="00933301" w:rsidRDefault="00933301" w:rsidP="00F74CE3">
      <w:pPr>
        <w:pStyle w:val="ListParagraph"/>
        <w:numPr>
          <w:ilvl w:val="0"/>
          <w:numId w:val="13"/>
        </w:numPr>
      </w:pPr>
      <w:r>
        <w:t>the phase sequence shall be as marked on the diagram of connections;</w:t>
      </w:r>
    </w:p>
    <w:p w14:paraId="354A1D30" w14:textId="77777777" w:rsidR="00933301" w:rsidRDefault="00933301" w:rsidP="00F74CE3">
      <w:pPr>
        <w:pStyle w:val="ListParagraph"/>
        <w:numPr>
          <w:ilvl w:val="0"/>
          <w:numId w:val="13"/>
        </w:numPr>
      </w:pPr>
      <w:r>
        <w:t>the voltages and currents shall be substantially balanced:</w:t>
      </w:r>
    </w:p>
    <w:p w14:paraId="774E848A" w14:textId="77777777" w:rsidR="00933301" w:rsidRDefault="00933301" w:rsidP="00F74CE3">
      <w:pPr>
        <w:pStyle w:val="ListParagraph"/>
        <w:numPr>
          <w:ilvl w:val="0"/>
          <w:numId w:val="13"/>
        </w:numPr>
      </w:pPr>
      <w:r>
        <w:t>each of the voltages between phase and neutral and between any two phases shall not differ from the corresponding voltage by more than ±1%;</w:t>
      </w:r>
    </w:p>
    <w:p w14:paraId="1A3F94A0" w14:textId="77777777" w:rsidR="00933301" w:rsidRDefault="00933301" w:rsidP="00F74CE3">
      <w:pPr>
        <w:pStyle w:val="ListParagraph"/>
        <w:numPr>
          <w:ilvl w:val="0"/>
          <w:numId w:val="13"/>
        </w:numPr>
      </w:pPr>
      <w:r>
        <w:t>each of the currents in the conduits shall not differ from the average current by more than ±2%; and</w:t>
      </w:r>
    </w:p>
    <w:p w14:paraId="14358695" w14:textId="77777777" w:rsidR="00933301" w:rsidRDefault="00933301" w:rsidP="00F74CE3">
      <w:pPr>
        <w:pStyle w:val="ListParagraph"/>
        <w:numPr>
          <w:ilvl w:val="0"/>
          <w:numId w:val="13"/>
        </w:numPr>
      </w:pPr>
      <w:r>
        <w:t>the phase displacements of each of these currents from the corresponding phase-to-neutral voltage, irrespective of the phase angle, shall not differ from each other by more than 2°.</w:t>
      </w:r>
    </w:p>
    <w:p w14:paraId="6478CE67" w14:textId="77777777" w:rsidR="00933301" w:rsidRDefault="00933301" w:rsidP="00933301">
      <w:pPr>
        <w:pStyle w:val="HeadingAnnexC"/>
      </w:pPr>
      <w:r>
        <w:t>Tests for Influence Factors and Disturbances</w:t>
      </w:r>
    </w:p>
    <w:p w14:paraId="0993422D" w14:textId="08BCF3EA" w:rsidR="00933301" w:rsidRDefault="00933301" w:rsidP="00933301">
      <w:r>
        <w:t xml:space="preserve">Before tests are conducted the meter shall be in zero or ready condition. The tests shall first be carried out under reference conditions and then as specified in Table 4 and Annex A.2. Static meters shall undergo all the tests listed in Annex A.2. Induction meters may be exempt from tests listed in Annexes A.2.7, </w:t>
      </w:r>
      <w:r w:rsidR="00037EBB">
        <w:t>A.2.8</w:t>
      </w:r>
      <w:r>
        <w:t>, A.2.9, A.2.10, A.2.11, A.2.14 and A.2.15 but shall undergo the additional tests indicated in Table 4. The procedures for these additional tests are specified in AS 1284.1 [5].</w:t>
      </w:r>
    </w:p>
    <w:p w14:paraId="715E7C61" w14:textId="77777777" w:rsidR="00933301" w:rsidRDefault="00933301" w:rsidP="00933301">
      <w:r>
        <w:t>Only one influence factor or disturbance shall be evaluated at a time. All indicators shall be checked. Any calculated quantities shall be checked for correct multiplication and rounding (see clause 4.3).</w:t>
      </w:r>
    </w:p>
    <w:p w14:paraId="50D692BE" w14:textId="06D81AD0" w:rsidR="00933301" w:rsidRDefault="00933301" w:rsidP="00933301">
      <w:r>
        <w:t>The effect of influence factors and disturbances on any interfaces or solid state sealing provisions (see clause 9.2) shall also be checked.</w:t>
      </w:r>
    </w:p>
    <w:p w14:paraId="52C86674" w14:textId="77777777" w:rsidR="00933301" w:rsidRDefault="00933301" w:rsidP="00933301">
      <w:pPr>
        <w:pStyle w:val="HeadingAnnexC"/>
      </w:pPr>
      <w:r>
        <w:t>Requirements for Optical Ports</w:t>
      </w:r>
    </w:p>
    <w:p w14:paraId="6D0F4B67" w14:textId="77777777" w:rsidR="00933301" w:rsidRDefault="00933301" w:rsidP="00933301">
      <w:r>
        <w:t>Optical ports shall comply with the requirements of clauses 4.3.5.4 and 5.2 of AS 62056.21 [13].</w:t>
      </w:r>
    </w:p>
    <w:p w14:paraId="7ECC9165" w14:textId="77777777" w:rsidR="00933301" w:rsidRDefault="00933301" w:rsidP="00933301">
      <w:pPr>
        <w:pStyle w:val="Caption"/>
        <w:keepNext/>
      </w:pPr>
      <w:r>
        <w:t xml:space="preserve">Table A.1. </w:t>
      </w:r>
      <w:r w:rsidRPr="00933301">
        <w:t>Reference conditions and their permissible tolerances</w:t>
      </w:r>
    </w:p>
    <w:tbl>
      <w:tblPr>
        <w:tblStyle w:val="TableGrid"/>
        <w:tblW w:w="5000" w:type="pct"/>
        <w:tblLayout w:type="fixed"/>
        <w:tblLook w:val="01E0" w:firstRow="1" w:lastRow="1" w:firstColumn="1" w:lastColumn="1" w:noHBand="0" w:noVBand="0"/>
      </w:tblPr>
      <w:tblGrid>
        <w:gridCol w:w="2829"/>
        <w:gridCol w:w="2837"/>
        <w:gridCol w:w="1019"/>
        <w:gridCol w:w="1019"/>
        <w:gridCol w:w="1019"/>
        <w:gridCol w:w="1019"/>
      </w:tblGrid>
      <w:tr w:rsidR="00AB0D3D" w:rsidRPr="002D0549" w14:paraId="639B77B1" w14:textId="77777777" w:rsidTr="005D5605">
        <w:tc>
          <w:tcPr>
            <w:tcW w:w="1452" w:type="pct"/>
            <w:vMerge w:val="restart"/>
            <w:shd w:val="clear" w:color="auto" w:fill="F0DCDC"/>
          </w:tcPr>
          <w:p w14:paraId="08F2CDF3" w14:textId="77777777" w:rsidR="002D0549" w:rsidRPr="002D0549" w:rsidRDefault="002D0549" w:rsidP="00933301">
            <w:pPr>
              <w:pStyle w:val="TableText"/>
              <w:keepNext/>
            </w:pPr>
            <w:r w:rsidRPr="002D0549">
              <w:t>Influence quantity</w:t>
            </w:r>
          </w:p>
        </w:tc>
        <w:tc>
          <w:tcPr>
            <w:tcW w:w="1456" w:type="pct"/>
            <w:vMerge w:val="restart"/>
            <w:shd w:val="clear" w:color="auto" w:fill="F0DCDC"/>
          </w:tcPr>
          <w:p w14:paraId="65D3994C" w14:textId="77777777" w:rsidR="002D0549" w:rsidRPr="002D0549" w:rsidRDefault="002D0549" w:rsidP="00933301">
            <w:pPr>
              <w:pStyle w:val="TableText"/>
              <w:keepNext/>
            </w:pPr>
            <w:r w:rsidRPr="002D0549">
              <w:t>Reference value</w:t>
            </w:r>
          </w:p>
        </w:tc>
        <w:tc>
          <w:tcPr>
            <w:tcW w:w="2092" w:type="pct"/>
            <w:gridSpan w:val="4"/>
            <w:shd w:val="clear" w:color="auto" w:fill="F0DCDC"/>
          </w:tcPr>
          <w:p w14:paraId="01ACF764" w14:textId="77777777" w:rsidR="002D0549" w:rsidRPr="002D0549" w:rsidRDefault="002D0549" w:rsidP="00933301">
            <w:pPr>
              <w:pStyle w:val="TableText"/>
              <w:keepNext/>
            </w:pPr>
            <w:r w:rsidRPr="002D0549">
              <w:t>Permissible tolerances for meters of class</w:t>
            </w:r>
          </w:p>
        </w:tc>
      </w:tr>
      <w:tr w:rsidR="00CD1FD8" w:rsidRPr="002D0549" w14:paraId="21CFED5C" w14:textId="77777777" w:rsidTr="00793927">
        <w:tc>
          <w:tcPr>
            <w:tcW w:w="1452" w:type="pct"/>
            <w:vMerge/>
            <w:shd w:val="clear" w:color="auto" w:fill="F0DCDC"/>
          </w:tcPr>
          <w:p w14:paraId="5E4B9C44" w14:textId="77777777" w:rsidR="002D0549" w:rsidRPr="002D0549" w:rsidRDefault="002D0549" w:rsidP="00933301">
            <w:pPr>
              <w:pStyle w:val="TableText"/>
              <w:keepNext/>
            </w:pPr>
          </w:p>
        </w:tc>
        <w:tc>
          <w:tcPr>
            <w:tcW w:w="1456" w:type="pct"/>
            <w:vMerge/>
            <w:shd w:val="clear" w:color="auto" w:fill="F0DCDC"/>
          </w:tcPr>
          <w:p w14:paraId="15B6BAD1" w14:textId="77777777" w:rsidR="002D0549" w:rsidRPr="002D0549" w:rsidRDefault="002D0549" w:rsidP="00933301">
            <w:pPr>
              <w:pStyle w:val="TableText"/>
              <w:keepNext/>
            </w:pPr>
          </w:p>
        </w:tc>
        <w:tc>
          <w:tcPr>
            <w:tcW w:w="523" w:type="pct"/>
            <w:shd w:val="clear" w:color="auto" w:fill="F0DCDC"/>
          </w:tcPr>
          <w:p w14:paraId="1E299CCC" w14:textId="77777777" w:rsidR="002D0549" w:rsidRPr="002D0549" w:rsidRDefault="002D0549" w:rsidP="00933301">
            <w:pPr>
              <w:pStyle w:val="TableText"/>
              <w:keepNext/>
            </w:pPr>
            <w:r w:rsidRPr="002D0549">
              <w:t>0.2</w:t>
            </w:r>
          </w:p>
        </w:tc>
        <w:tc>
          <w:tcPr>
            <w:tcW w:w="523" w:type="pct"/>
            <w:shd w:val="clear" w:color="auto" w:fill="F0DCDC"/>
          </w:tcPr>
          <w:p w14:paraId="3D7112C7" w14:textId="77777777" w:rsidR="002D0549" w:rsidRPr="002D0549" w:rsidRDefault="002D0549" w:rsidP="00933301">
            <w:pPr>
              <w:pStyle w:val="TableText"/>
              <w:keepNext/>
            </w:pPr>
            <w:r w:rsidRPr="002D0549">
              <w:t>0.5</w:t>
            </w:r>
          </w:p>
        </w:tc>
        <w:tc>
          <w:tcPr>
            <w:tcW w:w="523" w:type="pct"/>
            <w:shd w:val="clear" w:color="auto" w:fill="F0DCDC"/>
          </w:tcPr>
          <w:p w14:paraId="35EA3FE0" w14:textId="77777777" w:rsidR="002D0549" w:rsidRPr="002D0549" w:rsidRDefault="002D0549" w:rsidP="00933301">
            <w:pPr>
              <w:pStyle w:val="TableText"/>
              <w:keepNext/>
            </w:pPr>
            <w:r w:rsidRPr="002D0549">
              <w:t>1</w:t>
            </w:r>
          </w:p>
        </w:tc>
        <w:tc>
          <w:tcPr>
            <w:tcW w:w="523" w:type="pct"/>
            <w:shd w:val="clear" w:color="auto" w:fill="F0DCDC"/>
          </w:tcPr>
          <w:p w14:paraId="76A13735" w14:textId="77777777" w:rsidR="002D0549" w:rsidRPr="002D0549" w:rsidRDefault="002D0549" w:rsidP="00933301">
            <w:pPr>
              <w:pStyle w:val="TableText"/>
              <w:keepNext/>
            </w:pPr>
            <w:r w:rsidRPr="002D0549">
              <w:t>1.5</w:t>
            </w:r>
          </w:p>
        </w:tc>
      </w:tr>
      <w:tr w:rsidR="00CD1FD8" w:rsidRPr="002D0549" w14:paraId="414A691B" w14:textId="77777777" w:rsidTr="00793927">
        <w:tc>
          <w:tcPr>
            <w:tcW w:w="1452" w:type="pct"/>
          </w:tcPr>
          <w:p w14:paraId="40D194B3" w14:textId="77777777" w:rsidR="002D0549" w:rsidRPr="002D0549" w:rsidRDefault="002D0549" w:rsidP="00933301">
            <w:pPr>
              <w:pStyle w:val="TableText"/>
              <w:keepNext/>
              <w:jc w:val="left"/>
              <w:rPr>
                <w:vertAlign w:val="superscript"/>
              </w:rPr>
            </w:pPr>
            <w:r w:rsidRPr="002D0549">
              <w:t>Ambient temperature</w:t>
            </w:r>
            <w:r w:rsidRPr="002D0549">
              <w:rPr>
                <w:vertAlign w:val="superscript"/>
              </w:rPr>
              <w:t>1</w:t>
            </w:r>
          </w:p>
        </w:tc>
        <w:tc>
          <w:tcPr>
            <w:tcW w:w="1456" w:type="pct"/>
          </w:tcPr>
          <w:p w14:paraId="43426C4C" w14:textId="6EC74C82" w:rsidR="002D0549" w:rsidRPr="002D0549" w:rsidRDefault="002D0549" w:rsidP="00BB34ED">
            <w:pPr>
              <w:pStyle w:val="TableText"/>
              <w:keepNext/>
              <w:jc w:val="left"/>
            </w:pPr>
            <w:r w:rsidRPr="002D0549">
              <w:t>Reference temperature of 23</w:t>
            </w:r>
            <w:r w:rsidR="00A7097B">
              <w:t> </w:t>
            </w:r>
            <w:r w:rsidRPr="002D0549">
              <w:sym w:font="Symbol" w:char="F0B0"/>
            </w:r>
            <w:r w:rsidRPr="002D0549">
              <w:t>C</w:t>
            </w:r>
          </w:p>
        </w:tc>
        <w:tc>
          <w:tcPr>
            <w:tcW w:w="523" w:type="pct"/>
          </w:tcPr>
          <w:p w14:paraId="66416E35" w14:textId="6ECF049F"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523" w:type="pct"/>
          </w:tcPr>
          <w:p w14:paraId="772DD5D8" w14:textId="16F12919"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523" w:type="pct"/>
          </w:tcPr>
          <w:p w14:paraId="3471C392" w14:textId="3CC255C3"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523" w:type="pct"/>
          </w:tcPr>
          <w:p w14:paraId="0B687482" w14:textId="0660DDBB"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r>
      <w:tr w:rsidR="00CD1FD8" w:rsidRPr="002D0549" w14:paraId="0129CA63" w14:textId="77777777" w:rsidTr="00793927">
        <w:tc>
          <w:tcPr>
            <w:tcW w:w="1452" w:type="pct"/>
          </w:tcPr>
          <w:p w14:paraId="5EAF0E64" w14:textId="77777777" w:rsidR="002D0549" w:rsidRPr="002D0549" w:rsidRDefault="002D0549" w:rsidP="00933301">
            <w:pPr>
              <w:pStyle w:val="TableText"/>
              <w:keepNext/>
              <w:jc w:val="left"/>
            </w:pPr>
            <w:r w:rsidRPr="002D0549">
              <w:t>Voltage</w:t>
            </w:r>
          </w:p>
        </w:tc>
        <w:tc>
          <w:tcPr>
            <w:tcW w:w="1456" w:type="pct"/>
          </w:tcPr>
          <w:p w14:paraId="7CC80D82" w14:textId="77777777" w:rsidR="002D0549" w:rsidRPr="002D0549" w:rsidRDefault="002D0549" w:rsidP="00933301">
            <w:pPr>
              <w:pStyle w:val="TableText"/>
              <w:keepNext/>
              <w:jc w:val="left"/>
            </w:pPr>
            <w:r w:rsidRPr="002D0549">
              <w:t>For direct-connected and current-transformer operated meters: 230/400</w:t>
            </w:r>
            <w:r w:rsidR="00933301">
              <w:t xml:space="preserve">  </w:t>
            </w:r>
            <w:r w:rsidRPr="002D0549">
              <w:t>V</w:t>
            </w:r>
            <w:r w:rsidRPr="002D0549">
              <w:br/>
              <w:t>For voltage-transformer operated meters: 63.5/110 V</w:t>
            </w:r>
          </w:p>
        </w:tc>
        <w:tc>
          <w:tcPr>
            <w:tcW w:w="523" w:type="pct"/>
          </w:tcPr>
          <w:p w14:paraId="21BB25BF"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523" w:type="pct"/>
          </w:tcPr>
          <w:p w14:paraId="23A3CB0F"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523" w:type="pct"/>
          </w:tcPr>
          <w:p w14:paraId="5DB1BA8A"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523" w:type="pct"/>
          </w:tcPr>
          <w:p w14:paraId="064E33E7"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r>
      <w:tr w:rsidR="00CD1FD8" w:rsidRPr="002D0549" w14:paraId="5D537F9A" w14:textId="77777777" w:rsidTr="00793927">
        <w:tc>
          <w:tcPr>
            <w:tcW w:w="1452" w:type="pct"/>
          </w:tcPr>
          <w:p w14:paraId="3B45E48C" w14:textId="77777777" w:rsidR="002D0549" w:rsidRPr="002D0549" w:rsidRDefault="002D0549" w:rsidP="00933301">
            <w:pPr>
              <w:pStyle w:val="TableText"/>
              <w:keepNext/>
              <w:jc w:val="left"/>
            </w:pPr>
            <w:r w:rsidRPr="002D0549">
              <w:t>Frequency</w:t>
            </w:r>
          </w:p>
        </w:tc>
        <w:tc>
          <w:tcPr>
            <w:tcW w:w="1456" w:type="pct"/>
          </w:tcPr>
          <w:p w14:paraId="035DABA0" w14:textId="77777777" w:rsidR="002D0549" w:rsidRPr="002D0549" w:rsidRDefault="002D0549" w:rsidP="00933301">
            <w:pPr>
              <w:pStyle w:val="TableText"/>
              <w:keepNext/>
              <w:jc w:val="left"/>
            </w:pPr>
            <w:r w:rsidRPr="002D0549">
              <w:t>50 Hz</w:t>
            </w:r>
          </w:p>
        </w:tc>
        <w:tc>
          <w:tcPr>
            <w:tcW w:w="523" w:type="pct"/>
          </w:tcPr>
          <w:p w14:paraId="3B8DD31F"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523" w:type="pct"/>
          </w:tcPr>
          <w:p w14:paraId="4AE9165E"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523" w:type="pct"/>
          </w:tcPr>
          <w:p w14:paraId="6B0BE046"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523" w:type="pct"/>
          </w:tcPr>
          <w:p w14:paraId="41A7CC40"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r>
      <w:tr w:rsidR="00CD1FD8" w:rsidRPr="002D0549" w14:paraId="2C15AD2D" w14:textId="77777777" w:rsidTr="00793927">
        <w:tc>
          <w:tcPr>
            <w:tcW w:w="1452" w:type="pct"/>
          </w:tcPr>
          <w:p w14:paraId="6753144E" w14:textId="77777777" w:rsidR="002D0549" w:rsidRPr="002D0549" w:rsidRDefault="002D0549" w:rsidP="00933301">
            <w:pPr>
              <w:pStyle w:val="TableText"/>
              <w:keepNext/>
              <w:jc w:val="left"/>
            </w:pPr>
            <w:r w:rsidRPr="002D0549">
              <w:t>Phase sequence</w:t>
            </w:r>
          </w:p>
        </w:tc>
        <w:tc>
          <w:tcPr>
            <w:tcW w:w="1456" w:type="pct"/>
          </w:tcPr>
          <w:p w14:paraId="793EDA9C" w14:textId="77777777" w:rsidR="002D0549" w:rsidRPr="002D0549" w:rsidRDefault="002D0549" w:rsidP="00933301">
            <w:pPr>
              <w:pStyle w:val="TableText"/>
              <w:keepNext/>
              <w:jc w:val="left"/>
            </w:pPr>
            <w:r w:rsidRPr="002D0549">
              <w:t>L1-L2-L3</w:t>
            </w:r>
          </w:p>
        </w:tc>
        <w:tc>
          <w:tcPr>
            <w:tcW w:w="523" w:type="pct"/>
          </w:tcPr>
          <w:p w14:paraId="7B55908C"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1C97510F"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740D6C36"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41FD438F"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CD1FD8" w:rsidRPr="002D0549" w14:paraId="2E7DFAF4" w14:textId="77777777" w:rsidTr="00793927">
        <w:tc>
          <w:tcPr>
            <w:tcW w:w="1452" w:type="pct"/>
          </w:tcPr>
          <w:p w14:paraId="56A16439" w14:textId="77777777" w:rsidR="002D0549" w:rsidRPr="002D0549" w:rsidRDefault="002D0549" w:rsidP="00933301">
            <w:pPr>
              <w:pStyle w:val="TableText"/>
              <w:keepNext/>
              <w:jc w:val="left"/>
            </w:pPr>
            <w:r w:rsidRPr="002D0549">
              <w:t>Voltage unbalance</w:t>
            </w:r>
          </w:p>
        </w:tc>
        <w:tc>
          <w:tcPr>
            <w:tcW w:w="1456" w:type="pct"/>
          </w:tcPr>
          <w:p w14:paraId="088EC67D" w14:textId="77777777" w:rsidR="002D0549" w:rsidRPr="002D0549" w:rsidRDefault="002D0549" w:rsidP="00933301">
            <w:pPr>
              <w:pStyle w:val="TableText"/>
              <w:keepNext/>
              <w:jc w:val="left"/>
            </w:pPr>
            <w:r w:rsidRPr="002D0549">
              <w:t>All phases connected</w:t>
            </w:r>
          </w:p>
        </w:tc>
        <w:tc>
          <w:tcPr>
            <w:tcW w:w="523" w:type="pct"/>
          </w:tcPr>
          <w:p w14:paraId="68614C79"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77BFBE75"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11FA7C0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5175C7C7"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2D0549" w:rsidRPr="002D0549" w14:paraId="3AE4A746" w14:textId="77777777" w:rsidTr="005D5605">
        <w:tc>
          <w:tcPr>
            <w:tcW w:w="1452" w:type="pct"/>
            <w:vMerge w:val="restart"/>
          </w:tcPr>
          <w:p w14:paraId="32113E6E" w14:textId="77777777" w:rsidR="002D0549" w:rsidRPr="002D0549" w:rsidRDefault="002D0549" w:rsidP="00933301">
            <w:pPr>
              <w:pStyle w:val="TableText"/>
              <w:keepNext/>
              <w:jc w:val="left"/>
            </w:pPr>
            <w:r w:rsidRPr="002D0549">
              <w:t>Waveform</w:t>
            </w:r>
          </w:p>
        </w:tc>
        <w:tc>
          <w:tcPr>
            <w:tcW w:w="1456" w:type="pct"/>
            <w:vMerge w:val="restart"/>
          </w:tcPr>
          <w:p w14:paraId="5A94C8FE" w14:textId="77777777" w:rsidR="002D0549" w:rsidRPr="002D0549" w:rsidRDefault="002D0549" w:rsidP="00933301">
            <w:pPr>
              <w:pStyle w:val="TableText"/>
              <w:keepNext/>
              <w:jc w:val="left"/>
            </w:pPr>
            <w:r w:rsidRPr="002D0549">
              <w:t>Sinusoidal voltages and currents</w:t>
            </w:r>
          </w:p>
        </w:tc>
        <w:tc>
          <w:tcPr>
            <w:tcW w:w="2092" w:type="pct"/>
            <w:gridSpan w:val="4"/>
          </w:tcPr>
          <w:p w14:paraId="18EF999C" w14:textId="77777777" w:rsidR="002D0549" w:rsidRPr="002D0549" w:rsidRDefault="002D0549" w:rsidP="00933301">
            <w:pPr>
              <w:pStyle w:val="TableText"/>
              <w:keepNext/>
              <w:rPr>
                <w:rFonts w:ascii="Cambria Math" w:hAnsi="Cambria Math"/>
              </w:rPr>
            </w:pPr>
            <w:r w:rsidRPr="002D0549">
              <w:rPr>
                <w:rFonts w:ascii="Cambria Math" w:hAnsi="Cambria Math"/>
              </w:rPr>
              <w:t>Distortion factor less than</w:t>
            </w:r>
          </w:p>
        </w:tc>
      </w:tr>
      <w:tr w:rsidR="00CD1FD8" w:rsidRPr="002D0549" w14:paraId="1514B0A9" w14:textId="77777777" w:rsidTr="00793927">
        <w:tc>
          <w:tcPr>
            <w:tcW w:w="1452" w:type="pct"/>
            <w:vMerge/>
          </w:tcPr>
          <w:p w14:paraId="70F20BB5" w14:textId="77777777" w:rsidR="002D0549" w:rsidRPr="002D0549" w:rsidRDefault="002D0549" w:rsidP="00933301">
            <w:pPr>
              <w:pStyle w:val="TableText"/>
              <w:keepNext/>
              <w:jc w:val="left"/>
            </w:pPr>
          </w:p>
        </w:tc>
        <w:tc>
          <w:tcPr>
            <w:tcW w:w="1456" w:type="pct"/>
            <w:vMerge/>
          </w:tcPr>
          <w:p w14:paraId="10B81272" w14:textId="77777777" w:rsidR="002D0549" w:rsidRPr="002D0549" w:rsidRDefault="002D0549" w:rsidP="00933301">
            <w:pPr>
              <w:pStyle w:val="TableText"/>
              <w:keepNext/>
              <w:jc w:val="left"/>
            </w:pPr>
          </w:p>
        </w:tc>
        <w:tc>
          <w:tcPr>
            <w:tcW w:w="523" w:type="pct"/>
          </w:tcPr>
          <w:p w14:paraId="00A86447"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523" w:type="pct"/>
          </w:tcPr>
          <w:p w14:paraId="571BA87F"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523" w:type="pct"/>
          </w:tcPr>
          <w:p w14:paraId="5B1BEC86"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523" w:type="pct"/>
          </w:tcPr>
          <w:p w14:paraId="594DB48F" w14:textId="77777777" w:rsidR="002D0549" w:rsidRPr="002D0549" w:rsidRDefault="002D0549" w:rsidP="00933301">
            <w:pPr>
              <w:pStyle w:val="TableText"/>
              <w:keepNext/>
              <w:rPr>
                <w:rFonts w:ascii="Cambria Math" w:hAnsi="Cambria Math"/>
              </w:rPr>
            </w:pPr>
            <w:r w:rsidRPr="002D0549">
              <w:rPr>
                <w:rFonts w:ascii="Cambria Math" w:hAnsi="Cambria Math"/>
              </w:rPr>
              <w:t xml:space="preserve">3% </w:t>
            </w:r>
          </w:p>
        </w:tc>
      </w:tr>
      <w:tr w:rsidR="00CD1FD8" w:rsidRPr="002D0549" w14:paraId="43A08321" w14:textId="77777777" w:rsidTr="00793927">
        <w:tc>
          <w:tcPr>
            <w:tcW w:w="1452" w:type="pct"/>
          </w:tcPr>
          <w:p w14:paraId="55CA0DA6" w14:textId="77777777" w:rsidR="002D0549" w:rsidRPr="002D0549" w:rsidRDefault="002D0549" w:rsidP="00933301">
            <w:pPr>
              <w:pStyle w:val="TableText"/>
              <w:keepNext/>
              <w:jc w:val="left"/>
            </w:pPr>
            <w:r w:rsidRPr="002D0549">
              <w:t>Continuous magnetic induction of external origin</w:t>
            </w:r>
          </w:p>
        </w:tc>
        <w:tc>
          <w:tcPr>
            <w:tcW w:w="1456" w:type="pct"/>
          </w:tcPr>
          <w:p w14:paraId="437A735E" w14:textId="77777777" w:rsidR="002D0549" w:rsidRPr="002D0549" w:rsidRDefault="002D0549" w:rsidP="00933301">
            <w:pPr>
              <w:pStyle w:val="TableText"/>
              <w:keepNext/>
              <w:jc w:val="left"/>
            </w:pPr>
            <w:r w:rsidRPr="002D0549">
              <w:t>Equal to zero</w:t>
            </w:r>
          </w:p>
        </w:tc>
        <w:tc>
          <w:tcPr>
            <w:tcW w:w="523" w:type="pct"/>
          </w:tcPr>
          <w:p w14:paraId="4BA8C3BA"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24698399"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7EEA53E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7EA2B90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2D0549" w:rsidRPr="002D0549" w14:paraId="5CC4A9D9" w14:textId="77777777" w:rsidTr="005D5605">
        <w:tc>
          <w:tcPr>
            <w:tcW w:w="1452" w:type="pct"/>
            <w:vMerge w:val="restart"/>
          </w:tcPr>
          <w:p w14:paraId="7FD35723" w14:textId="77777777" w:rsidR="002D0549" w:rsidRPr="002D0549" w:rsidRDefault="002D0549" w:rsidP="00933301">
            <w:pPr>
              <w:pStyle w:val="TableText"/>
              <w:keepNext/>
              <w:jc w:val="left"/>
              <w:rPr>
                <w:vertAlign w:val="superscript"/>
              </w:rPr>
            </w:pPr>
            <w:r w:rsidRPr="002D0549">
              <w:t xml:space="preserve">Magnetic induction of external origin at the reference frequency </w:t>
            </w:r>
            <w:r w:rsidRPr="002D0549">
              <w:rPr>
                <w:vertAlign w:val="superscript"/>
              </w:rPr>
              <w:t>2</w:t>
            </w:r>
          </w:p>
        </w:tc>
        <w:tc>
          <w:tcPr>
            <w:tcW w:w="1456" w:type="pct"/>
            <w:vMerge w:val="restart"/>
          </w:tcPr>
          <w:p w14:paraId="69C2C4DC" w14:textId="77777777" w:rsidR="002D0549" w:rsidRPr="002D0549" w:rsidRDefault="002D0549" w:rsidP="00933301">
            <w:pPr>
              <w:pStyle w:val="TableText"/>
              <w:keepNext/>
              <w:jc w:val="left"/>
            </w:pPr>
            <w:r w:rsidRPr="002D0549">
              <w:t>Magnetic induction equal to zero</w:t>
            </w:r>
          </w:p>
        </w:tc>
        <w:tc>
          <w:tcPr>
            <w:tcW w:w="2092" w:type="pct"/>
            <w:gridSpan w:val="4"/>
          </w:tcPr>
          <w:p w14:paraId="70072288" w14:textId="77777777" w:rsidR="002D0549" w:rsidRPr="002D0549" w:rsidRDefault="002D0549" w:rsidP="00933301">
            <w:pPr>
              <w:pStyle w:val="TableText"/>
              <w:keepNext/>
              <w:rPr>
                <w:rFonts w:ascii="Cambria Math" w:hAnsi="Cambria Math"/>
              </w:rPr>
            </w:pPr>
            <w:r w:rsidRPr="002D0549">
              <w:rPr>
                <w:rFonts w:ascii="Cambria Math" w:hAnsi="Cambria Math"/>
              </w:rPr>
              <w:t>Induction value which causes a variation of error not greater than</w:t>
            </w:r>
          </w:p>
        </w:tc>
      </w:tr>
      <w:tr w:rsidR="00CD1FD8" w:rsidRPr="002D0549" w14:paraId="7BE0CD79" w14:textId="77777777" w:rsidTr="00793927">
        <w:tc>
          <w:tcPr>
            <w:tcW w:w="1452" w:type="pct"/>
            <w:vMerge/>
          </w:tcPr>
          <w:p w14:paraId="7FB4E024" w14:textId="77777777" w:rsidR="002D0549" w:rsidRPr="002D0549" w:rsidRDefault="002D0549" w:rsidP="00933301">
            <w:pPr>
              <w:pStyle w:val="TableText"/>
              <w:keepNext/>
              <w:jc w:val="left"/>
            </w:pPr>
          </w:p>
        </w:tc>
        <w:tc>
          <w:tcPr>
            <w:tcW w:w="1456" w:type="pct"/>
            <w:vMerge/>
          </w:tcPr>
          <w:p w14:paraId="5907BE03" w14:textId="77777777" w:rsidR="002D0549" w:rsidRPr="002D0549" w:rsidRDefault="002D0549" w:rsidP="00933301">
            <w:pPr>
              <w:pStyle w:val="TableText"/>
              <w:keepNext/>
              <w:jc w:val="left"/>
            </w:pPr>
          </w:p>
        </w:tc>
        <w:tc>
          <w:tcPr>
            <w:tcW w:w="523" w:type="pct"/>
          </w:tcPr>
          <w:p w14:paraId="19115986" w14:textId="77777777" w:rsidR="002D0549" w:rsidRPr="002D0549" w:rsidRDefault="002D0549" w:rsidP="00933301">
            <w:pPr>
              <w:pStyle w:val="TableText"/>
              <w:keepNext/>
              <w:rPr>
                <w:rFonts w:ascii="Cambria Math" w:hAnsi="Cambria Math"/>
              </w:rPr>
            </w:pPr>
            <w:r w:rsidRPr="002D0549">
              <w:rPr>
                <w:rFonts w:ascii="Cambria Math" w:hAnsi="Cambria Math"/>
              </w:rPr>
              <w:t>±0.1%</w:t>
            </w:r>
          </w:p>
        </w:tc>
        <w:tc>
          <w:tcPr>
            <w:tcW w:w="523" w:type="pct"/>
          </w:tcPr>
          <w:p w14:paraId="49A43AC0" w14:textId="77777777" w:rsidR="002D0549" w:rsidRPr="002D0549" w:rsidRDefault="002D0549" w:rsidP="00933301">
            <w:pPr>
              <w:pStyle w:val="TableText"/>
              <w:keepNext/>
              <w:rPr>
                <w:rFonts w:ascii="Cambria Math" w:hAnsi="Cambria Math"/>
              </w:rPr>
            </w:pPr>
            <w:r w:rsidRPr="002D0549">
              <w:rPr>
                <w:rFonts w:ascii="Cambria Math" w:hAnsi="Cambria Math"/>
              </w:rPr>
              <w:t>±0.1%</w:t>
            </w:r>
          </w:p>
        </w:tc>
        <w:tc>
          <w:tcPr>
            <w:tcW w:w="523" w:type="pct"/>
          </w:tcPr>
          <w:p w14:paraId="3C6EC61F" w14:textId="77777777" w:rsidR="002D0549" w:rsidRPr="002D0549" w:rsidRDefault="002D0549" w:rsidP="00933301">
            <w:pPr>
              <w:pStyle w:val="TableText"/>
              <w:keepNext/>
              <w:rPr>
                <w:rFonts w:ascii="Cambria Math" w:hAnsi="Cambria Math"/>
              </w:rPr>
            </w:pPr>
            <w:r w:rsidRPr="002D0549">
              <w:rPr>
                <w:rFonts w:ascii="Cambria Math" w:hAnsi="Cambria Math"/>
              </w:rPr>
              <w:t>±0.2%</w:t>
            </w:r>
          </w:p>
        </w:tc>
        <w:tc>
          <w:tcPr>
            <w:tcW w:w="523" w:type="pct"/>
          </w:tcPr>
          <w:p w14:paraId="00B35C19" w14:textId="77777777" w:rsidR="002D0549" w:rsidRPr="002D0549" w:rsidRDefault="002D0549" w:rsidP="00933301">
            <w:pPr>
              <w:pStyle w:val="TableText"/>
              <w:keepNext/>
              <w:rPr>
                <w:rFonts w:ascii="Cambria Math" w:hAnsi="Cambria Math"/>
              </w:rPr>
            </w:pPr>
            <w:r w:rsidRPr="002D0549">
              <w:rPr>
                <w:rFonts w:ascii="Cambria Math" w:hAnsi="Cambria Math"/>
              </w:rPr>
              <w:t>±0.2%</w:t>
            </w:r>
          </w:p>
        </w:tc>
      </w:tr>
      <w:tr w:rsidR="002D0549" w:rsidRPr="002D0549" w14:paraId="2CF44D59" w14:textId="77777777" w:rsidTr="005D5605">
        <w:tc>
          <w:tcPr>
            <w:tcW w:w="1452" w:type="pct"/>
            <w:vMerge/>
          </w:tcPr>
          <w:p w14:paraId="7A37831B" w14:textId="77777777" w:rsidR="002D0549" w:rsidRPr="002D0549" w:rsidRDefault="002D0549" w:rsidP="00933301">
            <w:pPr>
              <w:pStyle w:val="TableText"/>
              <w:keepNext/>
              <w:jc w:val="left"/>
            </w:pPr>
          </w:p>
        </w:tc>
        <w:tc>
          <w:tcPr>
            <w:tcW w:w="1456" w:type="pct"/>
            <w:vMerge/>
          </w:tcPr>
          <w:p w14:paraId="3EAD9A9F" w14:textId="77777777" w:rsidR="002D0549" w:rsidRPr="002D0549" w:rsidRDefault="002D0549" w:rsidP="00933301">
            <w:pPr>
              <w:pStyle w:val="TableText"/>
              <w:keepNext/>
              <w:jc w:val="left"/>
            </w:pPr>
          </w:p>
        </w:tc>
        <w:tc>
          <w:tcPr>
            <w:tcW w:w="2092" w:type="pct"/>
            <w:gridSpan w:val="4"/>
          </w:tcPr>
          <w:p w14:paraId="25118A53" w14:textId="77777777" w:rsidR="002D0549" w:rsidRPr="002D0549" w:rsidRDefault="002D0549" w:rsidP="00933301">
            <w:pPr>
              <w:pStyle w:val="TableText"/>
              <w:keepNext/>
              <w:rPr>
                <w:rFonts w:ascii="Cambria Math" w:hAnsi="Cambria Math"/>
              </w:rPr>
            </w:pPr>
            <w:r w:rsidRPr="002D0549">
              <w:rPr>
                <w:rFonts w:ascii="Cambria Math" w:hAnsi="Cambria Math"/>
              </w:rPr>
              <w:t>But shall in any case be smaller than 0.05 mT</w:t>
            </w:r>
          </w:p>
        </w:tc>
      </w:tr>
      <w:tr w:rsidR="00CD1FD8" w:rsidRPr="002D0549" w14:paraId="3B9175E5" w14:textId="77777777" w:rsidTr="00793927">
        <w:tc>
          <w:tcPr>
            <w:tcW w:w="1452" w:type="pct"/>
          </w:tcPr>
          <w:p w14:paraId="334815D7" w14:textId="77777777" w:rsidR="002D0549" w:rsidRPr="002D0549" w:rsidRDefault="002D0549" w:rsidP="00933301">
            <w:pPr>
              <w:pStyle w:val="TableText"/>
              <w:keepNext/>
              <w:jc w:val="left"/>
            </w:pPr>
            <w:r w:rsidRPr="002D0549">
              <w:t>Electromagnetic RF fields, 30 kHz to 2.4 GHz</w:t>
            </w:r>
          </w:p>
        </w:tc>
        <w:tc>
          <w:tcPr>
            <w:tcW w:w="1456" w:type="pct"/>
          </w:tcPr>
          <w:p w14:paraId="6F7AB005" w14:textId="77777777" w:rsidR="002D0549" w:rsidRPr="002D0549" w:rsidRDefault="002D0549" w:rsidP="00933301">
            <w:pPr>
              <w:pStyle w:val="TableText"/>
              <w:keepNext/>
              <w:jc w:val="left"/>
            </w:pPr>
            <w:r w:rsidRPr="002D0549">
              <w:t>Equal to zero</w:t>
            </w:r>
          </w:p>
        </w:tc>
        <w:tc>
          <w:tcPr>
            <w:tcW w:w="523" w:type="pct"/>
          </w:tcPr>
          <w:p w14:paraId="50BFA4A1"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523" w:type="pct"/>
          </w:tcPr>
          <w:p w14:paraId="631B9538"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523" w:type="pct"/>
          </w:tcPr>
          <w:p w14:paraId="3438724A"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523" w:type="pct"/>
          </w:tcPr>
          <w:p w14:paraId="74855EC4"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r>
      <w:tr w:rsidR="00CD1FD8" w:rsidRPr="002D0549" w14:paraId="52AAB422" w14:textId="77777777" w:rsidTr="00793927">
        <w:tc>
          <w:tcPr>
            <w:tcW w:w="1452" w:type="pct"/>
          </w:tcPr>
          <w:p w14:paraId="5664B339" w14:textId="77777777" w:rsidR="002D0549" w:rsidRPr="002D0549" w:rsidRDefault="002D0549" w:rsidP="00933301">
            <w:pPr>
              <w:pStyle w:val="TableText"/>
              <w:keepNext/>
              <w:jc w:val="left"/>
            </w:pPr>
            <w:r w:rsidRPr="002D0549">
              <w:t>Operation of accessories</w:t>
            </w:r>
          </w:p>
        </w:tc>
        <w:tc>
          <w:tcPr>
            <w:tcW w:w="1456" w:type="pct"/>
          </w:tcPr>
          <w:p w14:paraId="703C7429" w14:textId="77777777" w:rsidR="002D0549" w:rsidRPr="002D0549" w:rsidRDefault="002D0549" w:rsidP="00933301">
            <w:pPr>
              <w:pStyle w:val="TableText"/>
              <w:keepNext/>
              <w:jc w:val="left"/>
            </w:pPr>
            <w:r w:rsidRPr="002D0549">
              <w:t>None</w:t>
            </w:r>
          </w:p>
        </w:tc>
        <w:tc>
          <w:tcPr>
            <w:tcW w:w="523" w:type="pct"/>
          </w:tcPr>
          <w:p w14:paraId="5A413CA8"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13C0EB4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6B0F9C85"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50F4995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CD1FD8" w:rsidRPr="002D0549" w14:paraId="595F5198" w14:textId="77777777" w:rsidTr="00793927">
        <w:tc>
          <w:tcPr>
            <w:tcW w:w="1452" w:type="pct"/>
          </w:tcPr>
          <w:p w14:paraId="79CD51EB" w14:textId="77777777" w:rsidR="002D0549" w:rsidRPr="002D0549" w:rsidRDefault="002D0549" w:rsidP="00933301">
            <w:pPr>
              <w:pStyle w:val="TableText"/>
              <w:keepNext/>
              <w:jc w:val="left"/>
            </w:pPr>
            <w:r w:rsidRPr="002D0549">
              <w:t>Conducted disturbances, induced by RF fields, 150</w:t>
            </w:r>
            <w:r>
              <w:t> </w:t>
            </w:r>
            <w:r w:rsidRPr="002D0549">
              <w:t>kHz to 80 MHz</w:t>
            </w:r>
          </w:p>
        </w:tc>
        <w:tc>
          <w:tcPr>
            <w:tcW w:w="1456" w:type="pct"/>
          </w:tcPr>
          <w:p w14:paraId="54CC8ED8" w14:textId="77777777" w:rsidR="002D0549" w:rsidRPr="002D0549" w:rsidRDefault="002D0549" w:rsidP="00933301">
            <w:pPr>
              <w:pStyle w:val="TableText"/>
              <w:keepNext/>
              <w:jc w:val="left"/>
            </w:pPr>
            <w:r w:rsidRPr="002D0549">
              <w:t>Equal to zero</w:t>
            </w:r>
          </w:p>
        </w:tc>
        <w:tc>
          <w:tcPr>
            <w:tcW w:w="523" w:type="pct"/>
          </w:tcPr>
          <w:p w14:paraId="4690D2A7"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523" w:type="pct"/>
          </w:tcPr>
          <w:p w14:paraId="3CEE36DF"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523" w:type="pct"/>
          </w:tcPr>
          <w:p w14:paraId="19BBD990"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523" w:type="pct"/>
          </w:tcPr>
          <w:p w14:paraId="569626E7"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r>
      <w:tr w:rsidR="00CD1FD8" w:rsidRPr="002D0549" w14:paraId="5BF47E3E" w14:textId="77777777" w:rsidTr="00793927">
        <w:tc>
          <w:tcPr>
            <w:tcW w:w="1452" w:type="pct"/>
          </w:tcPr>
          <w:p w14:paraId="38CA20B7" w14:textId="77777777" w:rsidR="002D0549" w:rsidRPr="002D0549" w:rsidRDefault="002D0549" w:rsidP="00933301">
            <w:pPr>
              <w:pStyle w:val="TableText"/>
              <w:keepNext/>
              <w:jc w:val="left"/>
              <w:rPr>
                <w:vertAlign w:val="superscript"/>
              </w:rPr>
            </w:pPr>
            <w:r w:rsidRPr="002D0549">
              <w:t>Mounting position</w:t>
            </w:r>
            <w:r w:rsidRPr="002D0549">
              <w:rPr>
                <w:vertAlign w:val="superscript"/>
              </w:rPr>
              <w:t>3</w:t>
            </w:r>
          </w:p>
        </w:tc>
        <w:tc>
          <w:tcPr>
            <w:tcW w:w="1456" w:type="pct"/>
          </w:tcPr>
          <w:p w14:paraId="3D55E6EB" w14:textId="77777777" w:rsidR="002D0549" w:rsidRPr="002D0549" w:rsidRDefault="002D0549" w:rsidP="00933301">
            <w:pPr>
              <w:pStyle w:val="TableText"/>
              <w:keepNext/>
              <w:jc w:val="left"/>
              <w:rPr>
                <w:vertAlign w:val="superscript"/>
              </w:rPr>
            </w:pPr>
            <w:r w:rsidRPr="002D0549">
              <w:t>Vertical</w:t>
            </w:r>
            <w:r w:rsidRPr="002D0549">
              <w:rPr>
                <w:vertAlign w:val="superscript"/>
              </w:rPr>
              <w:t>3</w:t>
            </w:r>
          </w:p>
        </w:tc>
        <w:tc>
          <w:tcPr>
            <w:tcW w:w="523" w:type="pct"/>
          </w:tcPr>
          <w:p w14:paraId="2388A86E"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4CB23C6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6CC34CD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523" w:type="pct"/>
          </w:tcPr>
          <w:p w14:paraId="1B671099" w14:textId="77777777" w:rsidR="002D0549" w:rsidRPr="002D0549" w:rsidRDefault="002D0549" w:rsidP="00933301">
            <w:pPr>
              <w:pStyle w:val="TableText"/>
              <w:keepNext/>
              <w:rPr>
                <w:rFonts w:ascii="Cambria Math" w:hAnsi="Cambria Math"/>
              </w:rPr>
            </w:pPr>
            <w:r w:rsidRPr="002D0549">
              <w:rPr>
                <w:rFonts w:ascii="Cambria Math" w:hAnsi="Cambria Math"/>
              </w:rPr>
              <w:t>0.5</w:t>
            </w:r>
            <w:r w:rsidRPr="002D0549">
              <w:rPr>
                <w:rFonts w:ascii="Cambria Math" w:hAnsi="Cambria Math"/>
              </w:rPr>
              <w:sym w:font="Symbol" w:char="F0B0"/>
            </w:r>
            <w:r w:rsidRPr="002D0549">
              <w:rPr>
                <w:rFonts w:ascii="Cambria Math" w:hAnsi="Cambria Math"/>
              </w:rPr>
              <w:t xml:space="preserve"> in any direction</w:t>
            </w:r>
          </w:p>
        </w:tc>
      </w:tr>
      <w:tr w:rsidR="00CD1FD8" w:rsidRPr="002D0549" w14:paraId="5D27F72D" w14:textId="77777777" w:rsidTr="00793927">
        <w:tc>
          <w:tcPr>
            <w:tcW w:w="1452" w:type="pct"/>
          </w:tcPr>
          <w:p w14:paraId="4D9C075C" w14:textId="77777777" w:rsidR="002D0549" w:rsidRPr="002D0549" w:rsidRDefault="002D0549" w:rsidP="00933301">
            <w:pPr>
              <w:pStyle w:val="TableText"/>
              <w:keepNext/>
              <w:jc w:val="left"/>
              <w:rPr>
                <w:vertAlign w:val="superscript"/>
              </w:rPr>
            </w:pPr>
            <w:r w:rsidRPr="002D0549">
              <w:t>Phase angle between each current and corresponding line-to-neutral voltage</w:t>
            </w:r>
          </w:p>
        </w:tc>
        <w:tc>
          <w:tcPr>
            <w:tcW w:w="1456" w:type="pct"/>
          </w:tcPr>
          <w:p w14:paraId="75D33168" w14:textId="77777777" w:rsidR="002D0549" w:rsidRPr="002D0549" w:rsidRDefault="002D0549" w:rsidP="00933301">
            <w:pPr>
              <w:pStyle w:val="TableText"/>
              <w:keepNext/>
              <w:jc w:val="left"/>
            </w:pPr>
            <w:r w:rsidRPr="002D0549">
              <w:t>Angle equivalent to specified power factor</w:t>
            </w:r>
          </w:p>
        </w:tc>
        <w:tc>
          <w:tcPr>
            <w:tcW w:w="523" w:type="pct"/>
          </w:tcPr>
          <w:p w14:paraId="421B4C95"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523" w:type="pct"/>
          </w:tcPr>
          <w:p w14:paraId="2C55B5E4"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523" w:type="pct"/>
          </w:tcPr>
          <w:p w14:paraId="6F2FA36C"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523" w:type="pct"/>
          </w:tcPr>
          <w:p w14:paraId="119D5DE6"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r>
      <w:tr w:rsidR="00CD1FD8" w:rsidRPr="002D0549" w14:paraId="5D5E72B9" w14:textId="77777777" w:rsidTr="00793927">
        <w:tc>
          <w:tcPr>
            <w:tcW w:w="1452" w:type="pct"/>
          </w:tcPr>
          <w:p w14:paraId="61426325" w14:textId="77777777" w:rsidR="002D0549" w:rsidRPr="002D0549" w:rsidRDefault="002D0549" w:rsidP="00933301">
            <w:pPr>
              <w:pStyle w:val="TableText"/>
              <w:keepNext/>
              <w:jc w:val="left"/>
            </w:pPr>
            <w:r w:rsidRPr="002D0549">
              <w:t>Current unbalance where balanced currents required</w:t>
            </w:r>
          </w:p>
        </w:tc>
        <w:tc>
          <w:tcPr>
            <w:tcW w:w="1456" w:type="pct"/>
          </w:tcPr>
          <w:p w14:paraId="4AE26E90" w14:textId="77777777" w:rsidR="002D0549" w:rsidRPr="002D0549" w:rsidRDefault="002D0549" w:rsidP="00933301">
            <w:pPr>
              <w:pStyle w:val="TableText"/>
              <w:keepNext/>
              <w:jc w:val="left"/>
            </w:pPr>
            <w:r w:rsidRPr="002D0549">
              <w:t>Specified value with all phases equal</w:t>
            </w:r>
          </w:p>
        </w:tc>
        <w:tc>
          <w:tcPr>
            <w:tcW w:w="523" w:type="pct"/>
          </w:tcPr>
          <w:p w14:paraId="6BB86845" w14:textId="77777777" w:rsidR="002D0549" w:rsidRPr="002D0549" w:rsidRDefault="002D0549" w:rsidP="00933301">
            <w:pPr>
              <w:pStyle w:val="TableText"/>
              <w:keepNext/>
              <w:rPr>
                <w:rFonts w:ascii="Cambria Math" w:hAnsi="Cambria Math"/>
              </w:rPr>
            </w:pPr>
            <w:r w:rsidRPr="002D0549">
              <w:rPr>
                <w:rFonts w:ascii="Cambria Math" w:hAnsi="Cambria Math"/>
              </w:rPr>
              <w:t>±1%</w:t>
            </w:r>
          </w:p>
        </w:tc>
        <w:tc>
          <w:tcPr>
            <w:tcW w:w="523" w:type="pct"/>
          </w:tcPr>
          <w:p w14:paraId="1C8516BB" w14:textId="77777777" w:rsidR="002D0549" w:rsidRPr="002D0549" w:rsidRDefault="002D0549" w:rsidP="00933301">
            <w:pPr>
              <w:pStyle w:val="TableText"/>
              <w:keepNext/>
              <w:rPr>
                <w:rFonts w:ascii="Cambria Math" w:hAnsi="Cambria Math"/>
              </w:rPr>
            </w:pPr>
            <w:r w:rsidRPr="002D0549">
              <w:rPr>
                <w:rFonts w:ascii="Cambria Math" w:hAnsi="Cambria Math"/>
              </w:rPr>
              <w:t>±1%</w:t>
            </w:r>
          </w:p>
        </w:tc>
        <w:tc>
          <w:tcPr>
            <w:tcW w:w="523" w:type="pct"/>
          </w:tcPr>
          <w:p w14:paraId="38C5BA8F"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523" w:type="pct"/>
          </w:tcPr>
          <w:p w14:paraId="1492C363"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r>
      <w:tr w:rsidR="00CD1FD8" w:rsidRPr="002D0549" w14:paraId="7EE1DDE9" w14:textId="77777777" w:rsidTr="00793927">
        <w:tc>
          <w:tcPr>
            <w:tcW w:w="1452" w:type="pct"/>
          </w:tcPr>
          <w:p w14:paraId="0B64012C" w14:textId="77777777" w:rsidR="002D0549" w:rsidRPr="002D0549" w:rsidRDefault="002D0549" w:rsidP="00933301">
            <w:pPr>
              <w:pStyle w:val="TableText"/>
              <w:keepNext/>
              <w:jc w:val="left"/>
            </w:pPr>
            <w:r w:rsidRPr="002D0549">
              <w:t xml:space="preserve">Voltage unbalance </w:t>
            </w:r>
            <w:r w:rsidRPr="002D0549">
              <w:br/>
              <w:t>(l-l or l-n as appropriate)</w:t>
            </w:r>
          </w:p>
        </w:tc>
        <w:tc>
          <w:tcPr>
            <w:tcW w:w="1456" w:type="pct"/>
          </w:tcPr>
          <w:p w14:paraId="168D9FEC" w14:textId="77777777" w:rsidR="002D0549" w:rsidRPr="002D0549" w:rsidRDefault="002D0549" w:rsidP="00933301">
            <w:pPr>
              <w:pStyle w:val="TableText"/>
              <w:keepNext/>
              <w:jc w:val="left"/>
            </w:pPr>
            <w:r w:rsidRPr="002D0549">
              <w:t>All phases connected. All phases equal</w:t>
            </w:r>
          </w:p>
        </w:tc>
        <w:tc>
          <w:tcPr>
            <w:tcW w:w="523" w:type="pct"/>
          </w:tcPr>
          <w:p w14:paraId="523CD748"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523" w:type="pct"/>
          </w:tcPr>
          <w:p w14:paraId="031BC7FE"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523" w:type="pct"/>
          </w:tcPr>
          <w:p w14:paraId="5BD3FECA"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523" w:type="pct"/>
          </w:tcPr>
          <w:p w14:paraId="6EE268F8" w14:textId="77777777" w:rsidR="002D0549" w:rsidRPr="002D0549" w:rsidRDefault="002D0549" w:rsidP="00933301">
            <w:pPr>
              <w:pStyle w:val="TableText"/>
              <w:keepNext/>
              <w:rPr>
                <w:rFonts w:ascii="Cambria Math" w:hAnsi="Cambria Math"/>
                <w:u w:val="single"/>
              </w:rPr>
            </w:pPr>
            <w:r w:rsidRPr="002D0549">
              <w:rPr>
                <w:rFonts w:ascii="Cambria Math" w:hAnsi="Cambria Math"/>
              </w:rPr>
              <w:t>±2%</w:t>
            </w:r>
          </w:p>
        </w:tc>
      </w:tr>
    </w:tbl>
    <w:p w14:paraId="3A0B4289" w14:textId="77777777" w:rsidR="00933301" w:rsidRPr="00684AAF" w:rsidRDefault="00933301" w:rsidP="00684AAF">
      <w:pPr>
        <w:pStyle w:val="Note"/>
      </w:pPr>
      <w:r w:rsidRPr="00684AAF">
        <w:t>Note 1:</w:t>
      </w:r>
      <w:r w:rsidRPr="00684AAF">
        <w:tab/>
        <w:t>If the tests are made at a temperature other than the reference temperature, including permissible tolerances, the results shall be corrected by applying the appropriate temperature coefficient of the meter.</w:t>
      </w:r>
    </w:p>
    <w:p w14:paraId="5D04443B" w14:textId="77777777" w:rsidR="00933301" w:rsidRPr="00684AAF" w:rsidRDefault="00933301" w:rsidP="00684AAF">
      <w:pPr>
        <w:pStyle w:val="Note"/>
        <w:spacing w:after="0"/>
      </w:pPr>
      <w:r w:rsidRPr="00684AAF">
        <w:t>Note 2:</w:t>
      </w:r>
      <w:r w:rsidRPr="00684AAF">
        <w:tab/>
        <w:t>The test consists of:</w:t>
      </w:r>
    </w:p>
    <w:p w14:paraId="07BA69B2" w14:textId="77777777" w:rsidR="00933301" w:rsidRPr="00684AAF" w:rsidRDefault="00933301" w:rsidP="00F74CE3">
      <w:pPr>
        <w:pStyle w:val="Note"/>
        <w:numPr>
          <w:ilvl w:val="0"/>
          <w:numId w:val="14"/>
        </w:numPr>
        <w:spacing w:after="0"/>
        <w:ind w:left="1151" w:hanging="357"/>
      </w:pPr>
      <w:r w:rsidRPr="00684AAF">
        <w:t xml:space="preserve">For a single-phase meter, determining the errors first with the meter normally connected to the mains and then after inverting the connections to the current circuits as well as to the voltage circuits. Half of the difference between the two errors is the value of the variation of error. Because of the unknown phase of the external field, the test should be made at 0.1 </w:t>
      </w:r>
      <w:r w:rsidRPr="006959A7">
        <w:rPr>
          <w:rFonts w:ascii="Cambria Math" w:hAnsi="Cambria Math"/>
          <w:i/>
        </w:rPr>
        <w:t>I</w:t>
      </w:r>
      <w:r w:rsidRPr="006959A7">
        <w:rPr>
          <w:rFonts w:ascii="Cambria Math" w:hAnsi="Cambria Math"/>
          <w:vertAlign w:val="subscript"/>
        </w:rPr>
        <w:t>b</w:t>
      </w:r>
      <w:r w:rsidRPr="00684AAF">
        <w:t xml:space="preserve"> or 0.05 </w:t>
      </w:r>
      <w:r w:rsidRPr="006959A7">
        <w:rPr>
          <w:rFonts w:ascii="Cambria Math" w:hAnsi="Cambria Math"/>
          <w:i/>
        </w:rPr>
        <w:t>I</w:t>
      </w:r>
      <w:r w:rsidRPr="006959A7">
        <w:rPr>
          <w:rFonts w:ascii="Cambria Math" w:hAnsi="Cambria Math"/>
          <w:vertAlign w:val="subscript"/>
        </w:rPr>
        <w:t>n</w:t>
      </w:r>
      <w:r w:rsidRPr="00684AAF">
        <w:t xml:space="preserve"> at unity power factor and 0.2 </w:t>
      </w:r>
      <w:r w:rsidR="006959A7" w:rsidRPr="006959A7">
        <w:rPr>
          <w:rFonts w:ascii="Cambria Math" w:hAnsi="Cambria Math"/>
          <w:i/>
        </w:rPr>
        <w:t>I</w:t>
      </w:r>
      <w:r w:rsidR="006959A7" w:rsidRPr="006959A7">
        <w:rPr>
          <w:rFonts w:ascii="Cambria Math" w:hAnsi="Cambria Math"/>
          <w:vertAlign w:val="subscript"/>
        </w:rPr>
        <w:t>b</w:t>
      </w:r>
      <w:r w:rsidR="006959A7" w:rsidRPr="00684AAF">
        <w:t xml:space="preserve"> </w:t>
      </w:r>
      <w:r w:rsidRPr="00684AAF">
        <w:t xml:space="preserve">or 0.1 </w:t>
      </w:r>
      <w:r w:rsidR="006959A7" w:rsidRPr="006959A7">
        <w:rPr>
          <w:rFonts w:ascii="Cambria Math" w:hAnsi="Cambria Math"/>
          <w:i/>
        </w:rPr>
        <w:t>I</w:t>
      </w:r>
      <w:r w:rsidR="006959A7" w:rsidRPr="006959A7">
        <w:rPr>
          <w:rFonts w:ascii="Cambria Math" w:hAnsi="Cambria Math"/>
          <w:vertAlign w:val="subscript"/>
        </w:rPr>
        <w:t>n</w:t>
      </w:r>
      <w:r w:rsidRPr="00684AAF">
        <w:t xml:space="preserve"> at 0.5 power factor.</w:t>
      </w:r>
    </w:p>
    <w:p w14:paraId="15759879" w14:textId="77777777" w:rsidR="00933301" w:rsidRPr="00684AAF" w:rsidRDefault="00933301" w:rsidP="00F74CE3">
      <w:pPr>
        <w:pStyle w:val="Note"/>
        <w:numPr>
          <w:ilvl w:val="0"/>
          <w:numId w:val="14"/>
        </w:numPr>
        <w:ind w:left="1151" w:hanging="357"/>
      </w:pPr>
      <w:r w:rsidRPr="00684AAF">
        <w:t>For a three-phase meter, making three measurements at 0.1</w:t>
      </w:r>
      <w:r w:rsidR="006959A7" w:rsidRPr="006959A7">
        <w:rPr>
          <w:rFonts w:ascii="Cambria Math" w:hAnsi="Cambria Math"/>
          <w:i/>
        </w:rPr>
        <w:t xml:space="preserve"> I</w:t>
      </w:r>
      <w:r w:rsidR="006959A7" w:rsidRPr="006959A7">
        <w:rPr>
          <w:rFonts w:ascii="Cambria Math" w:hAnsi="Cambria Math"/>
          <w:vertAlign w:val="subscript"/>
        </w:rPr>
        <w:t>b</w:t>
      </w:r>
      <w:r w:rsidR="006959A7" w:rsidRPr="00684AAF">
        <w:t xml:space="preserve"> </w:t>
      </w:r>
      <w:r w:rsidRPr="00684AAF">
        <w:t xml:space="preserve">or 0.05 </w:t>
      </w:r>
      <w:r w:rsidR="006959A7" w:rsidRPr="006959A7">
        <w:rPr>
          <w:rFonts w:ascii="Cambria Math" w:hAnsi="Cambria Math"/>
          <w:i/>
        </w:rPr>
        <w:t>I</w:t>
      </w:r>
      <w:r w:rsidR="006959A7" w:rsidRPr="006959A7">
        <w:rPr>
          <w:rFonts w:ascii="Cambria Math" w:hAnsi="Cambria Math"/>
          <w:vertAlign w:val="subscript"/>
        </w:rPr>
        <w:t>n</w:t>
      </w:r>
      <w:r w:rsidRPr="00684AAF">
        <w:t xml:space="preserve"> at unity power factor, after each of which the connection to the current circuits and to the voltage circuits are changed over 120</w:t>
      </w:r>
      <w:r w:rsidRPr="00684AAF">
        <w:sym w:font="Symbol" w:char="F0B0"/>
      </w:r>
      <w:r w:rsidRPr="00684AAF">
        <w:t xml:space="preserve"> while the phase sequence is not altered. The greatest difference between each of the errors so determined and their average value is the value of the variation of error.</w:t>
      </w:r>
    </w:p>
    <w:p w14:paraId="5B672662" w14:textId="77777777" w:rsidR="00933301" w:rsidRDefault="00933301" w:rsidP="00684AAF">
      <w:pPr>
        <w:pStyle w:val="Note"/>
      </w:pPr>
      <w:r w:rsidRPr="00684AAF">
        <w:t>Note 3:</w:t>
      </w:r>
      <w:r w:rsidRPr="00684AAF">
        <w:tab/>
        <w:t>Applicable to induction meters only.</w:t>
      </w:r>
    </w:p>
    <w:p w14:paraId="1F3861EF" w14:textId="77777777" w:rsidR="00D603BA" w:rsidRDefault="00D603BA" w:rsidP="00D603BA">
      <w:pPr>
        <w:pStyle w:val="HeadingAnnexB"/>
      </w:pPr>
      <w:r>
        <w:t>Test Procedures for Influence Factors and Disturbances</w:t>
      </w:r>
    </w:p>
    <w:p w14:paraId="5111C99E" w14:textId="77777777" w:rsidR="00D603BA" w:rsidRDefault="00D603BA" w:rsidP="00D603BA">
      <w:r>
        <w:t xml:space="preserve">Please note that this section is only intended to provide summaries of the various test procedures; the format and some of the wording is based on </w:t>
      </w:r>
      <w:r w:rsidRPr="006959A7">
        <w:rPr>
          <w:i/>
        </w:rPr>
        <w:t>OIML D 11</w:t>
      </w:r>
      <w:r>
        <w:t xml:space="preserve"> [1]. Detailed information can be found in the references cited in each table.</w:t>
      </w:r>
    </w:p>
    <w:p w14:paraId="32708A4A" w14:textId="77777777" w:rsidR="006959A7" w:rsidRPr="006959A7" w:rsidRDefault="006959A7" w:rsidP="006959A7">
      <w:pPr>
        <w:pStyle w:val="HeadingAnnexC"/>
      </w:pPr>
      <w:bookmarkStart w:id="21" w:name="_Ref254079310"/>
      <w:bookmarkStart w:id="22" w:name="_Toc291768439"/>
      <w:bookmarkStart w:id="23" w:name="_Toc291769506"/>
      <w:r w:rsidRPr="006959A7">
        <w:t>Dry Heat</w:t>
      </w:r>
      <w:bookmarkEnd w:id="21"/>
      <w:bookmarkEnd w:id="22"/>
      <w:bookmarkEnd w:id="23"/>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6959A7" w14:paraId="5C767B85" w14:textId="77777777" w:rsidTr="00B43AE5">
        <w:tc>
          <w:tcPr>
            <w:tcW w:w="1000" w:type="pct"/>
            <w:shd w:val="clear" w:color="auto" w:fill="F0DCDC"/>
            <w:vAlign w:val="center"/>
          </w:tcPr>
          <w:p w14:paraId="22761532" w14:textId="77777777" w:rsidR="006959A7" w:rsidRPr="006959A7" w:rsidRDefault="006959A7" w:rsidP="0077285E">
            <w:pPr>
              <w:pStyle w:val="TestTableText"/>
            </w:pPr>
            <w:r w:rsidRPr="006959A7">
              <w:t>Applicable standards</w:t>
            </w:r>
          </w:p>
        </w:tc>
        <w:tc>
          <w:tcPr>
            <w:tcW w:w="4000" w:type="pct"/>
            <w:vAlign w:val="center"/>
          </w:tcPr>
          <w:p w14:paraId="2717F09D" w14:textId="77777777" w:rsidR="006959A7" w:rsidRPr="006959A7" w:rsidRDefault="006959A7" w:rsidP="0077285E">
            <w:pPr>
              <w:pStyle w:val="TestTableText"/>
            </w:pPr>
            <w:r w:rsidRPr="006959A7">
              <w:t>AS 60068.2.2</w:t>
            </w:r>
            <w:r w:rsidR="0077285E">
              <w:t xml:space="preserve"> [14]</w:t>
            </w:r>
          </w:p>
        </w:tc>
      </w:tr>
      <w:tr w:rsidR="00F96D1E" w:rsidRPr="006959A7" w14:paraId="7C5AF168" w14:textId="77777777" w:rsidTr="00B43AE5">
        <w:tc>
          <w:tcPr>
            <w:tcW w:w="1000" w:type="pct"/>
            <w:shd w:val="clear" w:color="auto" w:fill="F0DCDC"/>
          </w:tcPr>
          <w:p w14:paraId="486D77E8" w14:textId="77777777" w:rsidR="006959A7" w:rsidRPr="006959A7" w:rsidRDefault="006959A7" w:rsidP="0077285E">
            <w:pPr>
              <w:pStyle w:val="TestTableText"/>
            </w:pPr>
            <w:r w:rsidRPr="006959A7">
              <w:t>Object of test</w:t>
            </w:r>
          </w:p>
        </w:tc>
        <w:tc>
          <w:tcPr>
            <w:tcW w:w="4000" w:type="pct"/>
            <w:vAlign w:val="center"/>
          </w:tcPr>
          <w:p w14:paraId="2A9DC9E9" w14:textId="77777777" w:rsidR="006959A7" w:rsidRPr="006959A7" w:rsidRDefault="006959A7" w:rsidP="0077285E">
            <w:pPr>
              <w:pStyle w:val="TestTableText"/>
            </w:pPr>
            <w:r w:rsidRPr="006959A7">
              <w:t>To verify compliance with the provisions of clause</w:t>
            </w:r>
            <w:r w:rsidR="0077285E">
              <w:t xml:space="preserve"> 4.8</w:t>
            </w:r>
            <w:r w:rsidRPr="006959A7">
              <w:t xml:space="preserve"> under conditions of high temperature, taking into account the appropriate temperature coefficient specified in clause</w:t>
            </w:r>
            <w:r w:rsidR="0077285E">
              <w:t xml:space="preserve"> 5.3</w:t>
            </w:r>
            <w:r w:rsidRPr="006959A7">
              <w:t>.</w:t>
            </w:r>
          </w:p>
          <w:p w14:paraId="0257C631" w14:textId="77777777" w:rsidR="006959A7" w:rsidRPr="006959A7" w:rsidRDefault="006959A7" w:rsidP="0077285E">
            <w:pPr>
              <w:pStyle w:val="TestTableText"/>
            </w:pPr>
            <w:r w:rsidRPr="006959A7">
              <w:t>In addition, at the end of the test, the EUT shall show no damage or change of information and shall operate correctly.</w:t>
            </w:r>
          </w:p>
        </w:tc>
      </w:tr>
      <w:tr w:rsidR="00F96D1E" w:rsidRPr="006959A7" w14:paraId="337EB5D2" w14:textId="77777777" w:rsidTr="00B43AE5">
        <w:tc>
          <w:tcPr>
            <w:tcW w:w="1000" w:type="pct"/>
            <w:shd w:val="clear" w:color="auto" w:fill="F0DCDC"/>
          </w:tcPr>
          <w:p w14:paraId="47EC180C" w14:textId="77777777" w:rsidR="006959A7" w:rsidRPr="006959A7" w:rsidRDefault="006959A7" w:rsidP="00DF25D9">
            <w:pPr>
              <w:pStyle w:val="TestTableText"/>
            </w:pPr>
            <w:r w:rsidRPr="006959A7">
              <w:t>Test procedure</w:t>
            </w:r>
            <w:r w:rsidR="00DF25D9">
              <w:t xml:space="preserve"> </w:t>
            </w:r>
            <w:r w:rsidRPr="006959A7">
              <w:t>in brief</w:t>
            </w:r>
          </w:p>
        </w:tc>
        <w:tc>
          <w:tcPr>
            <w:tcW w:w="4000" w:type="pct"/>
            <w:vAlign w:val="center"/>
          </w:tcPr>
          <w:p w14:paraId="4763591A" w14:textId="77777777" w:rsidR="006959A7" w:rsidRPr="006959A7" w:rsidRDefault="006959A7" w:rsidP="0077285E">
            <w:pPr>
              <w:pStyle w:val="TestTableText"/>
            </w:pPr>
            <w:r w:rsidRPr="006959A7">
              <w:t>The test consists of exposure to the specified high temperature under ‘free air’ conditions for the time specified (the time specified is the time after the EUT has reached temperature stability).</w:t>
            </w:r>
          </w:p>
          <w:p w14:paraId="495E24FE" w14:textId="6A162486" w:rsidR="006959A7" w:rsidRPr="006959A7" w:rsidRDefault="006959A7" w:rsidP="0077285E">
            <w:pPr>
              <w:pStyle w:val="TestTableText"/>
            </w:pPr>
            <w:r w:rsidRPr="006959A7">
              <w:t>The change of temperature shall not exceed 1</w:t>
            </w:r>
            <w:r w:rsidR="00A7097B">
              <w:t> </w:t>
            </w:r>
            <w:r w:rsidRPr="006959A7">
              <w:sym w:font="Symbol" w:char="F0B0"/>
            </w:r>
            <w:r w:rsidRPr="006959A7">
              <w:t>C/min during heating up and cooling down. The absolute humidity of the test atmosphere shall not exceed 20 g/m</w:t>
            </w:r>
            <w:r w:rsidRPr="006959A7">
              <w:rPr>
                <w:vertAlign w:val="superscript"/>
              </w:rPr>
              <w:t>3</w:t>
            </w:r>
            <w:r w:rsidRPr="006959A7">
              <w:t>. When testing is performed at temperatures lower than 35</w:t>
            </w:r>
            <w:r w:rsidR="00A7097B">
              <w:t> </w:t>
            </w:r>
            <w:r w:rsidRPr="006959A7">
              <w:sym w:font="Symbol" w:char="F0B0"/>
            </w:r>
            <w:r w:rsidRPr="006959A7">
              <w:t>C, the relative humidity shall not exceed 50%.</w:t>
            </w:r>
          </w:p>
          <w:p w14:paraId="3BBE095A" w14:textId="77777777" w:rsidR="006959A7" w:rsidRPr="006959A7" w:rsidRDefault="006959A7" w:rsidP="0077285E">
            <w:pPr>
              <w:pStyle w:val="TestTableText"/>
            </w:pPr>
            <w:r w:rsidRPr="006959A7">
              <w:t>The EUT shall remain in operating condition for the duration of its exposure to high temperature conditions. Power to the EUT shall then be switched off before the temperature is lowered. The EUT may be switched on again once sufficient time has elapsed during the recovery period for its temperature to stabilise.</w:t>
            </w:r>
          </w:p>
          <w:p w14:paraId="04799CD0" w14:textId="77777777" w:rsidR="006959A7" w:rsidRPr="006959A7" w:rsidRDefault="006959A7" w:rsidP="0077285E">
            <w:pPr>
              <w:pStyle w:val="TestTableText"/>
            </w:pPr>
            <w:r w:rsidRPr="006959A7">
              <w:t xml:space="preserve">The EUT shall be tested as specified in Annex </w:t>
            </w:r>
            <w:r w:rsidR="0077285E">
              <w:t>A.1</w:t>
            </w:r>
            <w:r w:rsidRPr="006959A7">
              <w:t>:</w:t>
            </w:r>
          </w:p>
          <w:p w14:paraId="4881863E" w14:textId="77777777" w:rsidR="006959A7" w:rsidRPr="006959A7" w:rsidRDefault="006959A7" w:rsidP="00F74CE3">
            <w:pPr>
              <w:pStyle w:val="TestTableText"/>
              <w:numPr>
                <w:ilvl w:val="0"/>
                <w:numId w:val="16"/>
              </w:numPr>
            </w:pPr>
            <w:r w:rsidRPr="006959A7">
              <w:t>at the reference temperature following conditioning;</w:t>
            </w:r>
          </w:p>
          <w:p w14:paraId="2C07D895" w14:textId="77777777" w:rsidR="006959A7" w:rsidRPr="006959A7" w:rsidRDefault="006959A7" w:rsidP="00F74CE3">
            <w:pPr>
              <w:pStyle w:val="TestTableText"/>
              <w:numPr>
                <w:ilvl w:val="0"/>
                <w:numId w:val="16"/>
              </w:numPr>
            </w:pPr>
            <w:r w:rsidRPr="006959A7">
              <w:t>at the maximum operating temperature, 72 h after temperature stabilisation; and</w:t>
            </w:r>
          </w:p>
          <w:p w14:paraId="440CA0B9" w14:textId="77777777" w:rsidR="006959A7" w:rsidRPr="006959A7" w:rsidRDefault="006959A7" w:rsidP="00F74CE3">
            <w:pPr>
              <w:pStyle w:val="TestTableText"/>
              <w:numPr>
                <w:ilvl w:val="0"/>
                <w:numId w:val="16"/>
              </w:numPr>
            </w:pPr>
            <w:r w:rsidRPr="006959A7">
              <w:t>after recovery of the EUT at the reference temperature.</w:t>
            </w:r>
          </w:p>
        </w:tc>
      </w:tr>
      <w:tr w:rsidR="00F96D1E" w:rsidRPr="006959A7" w14:paraId="7073B256" w14:textId="77777777" w:rsidTr="00B43AE5">
        <w:tc>
          <w:tcPr>
            <w:tcW w:w="1000" w:type="pct"/>
            <w:shd w:val="clear" w:color="auto" w:fill="F0DCDC"/>
            <w:vAlign w:val="center"/>
          </w:tcPr>
          <w:p w14:paraId="1F120040" w14:textId="77777777" w:rsidR="006959A7" w:rsidRPr="006959A7" w:rsidRDefault="006959A7" w:rsidP="0077285E">
            <w:pPr>
              <w:pStyle w:val="TestTableText"/>
            </w:pPr>
            <w:r w:rsidRPr="006959A7">
              <w:t>High temperature</w:t>
            </w:r>
          </w:p>
        </w:tc>
        <w:tc>
          <w:tcPr>
            <w:tcW w:w="4000" w:type="pct"/>
            <w:vAlign w:val="center"/>
          </w:tcPr>
          <w:p w14:paraId="10A04B41" w14:textId="6E842296" w:rsidR="006959A7" w:rsidRPr="006959A7" w:rsidRDefault="006959A7" w:rsidP="0077285E">
            <w:pPr>
              <w:pStyle w:val="TestTableText"/>
            </w:pPr>
            <w:r w:rsidRPr="006959A7">
              <w:t>The maximum temperature specified by the manufacturer for the specified operating range, ±2</w:t>
            </w:r>
            <w:r w:rsidR="00A7097B">
              <w:t> </w:t>
            </w:r>
            <w:r w:rsidRPr="006959A7">
              <w:sym w:font="Symbol" w:char="F0B0"/>
            </w:r>
            <w:r w:rsidRPr="006959A7">
              <w:t>C.</w:t>
            </w:r>
          </w:p>
        </w:tc>
      </w:tr>
      <w:tr w:rsidR="00F96D1E" w:rsidRPr="006959A7" w14:paraId="03E80A23" w14:textId="77777777" w:rsidTr="00B43AE5">
        <w:tc>
          <w:tcPr>
            <w:tcW w:w="1000" w:type="pct"/>
            <w:shd w:val="clear" w:color="auto" w:fill="F0DCDC"/>
            <w:vAlign w:val="center"/>
          </w:tcPr>
          <w:p w14:paraId="218D7026" w14:textId="77777777" w:rsidR="006959A7" w:rsidRPr="006959A7" w:rsidRDefault="006959A7" w:rsidP="00D603BA">
            <w:pPr>
              <w:pStyle w:val="TestTableText"/>
              <w:keepNext w:val="0"/>
            </w:pPr>
            <w:r w:rsidRPr="006959A7">
              <w:t>Duration</w:t>
            </w:r>
          </w:p>
        </w:tc>
        <w:tc>
          <w:tcPr>
            <w:tcW w:w="4000" w:type="pct"/>
            <w:vAlign w:val="center"/>
          </w:tcPr>
          <w:p w14:paraId="4A1432A7" w14:textId="77777777" w:rsidR="006959A7" w:rsidRPr="006959A7" w:rsidRDefault="006959A7" w:rsidP="0077285E">
            <w:pPr>
              <w:pStyle w:val="TestTableText"/>
            </w:pPr>
            <w:r w:rsidRPr="006959A7">
              <w:t>72 h</w:t>
            </w:r>
          </w:p>
        </w:tc>
      </w:tr>
    </w:tbl>
    <w:p w14:paraId="77D98F8B" w14:textId="77777777" w:rsidR="0077285E" w:rsidRPr="004D23A4" w:rsidRDefault="0077285E" w:rsidP="00F96D1E">
      <w:pPr>
        <w:pStyle w:val="HeadingAnnexC"/>
      </w:pPr>
      <w:bookmarkStart w:id="24" w:name="_Ref217391576"/>
      <w:bookmarkStart w:id="25" w:name="_Toc291768440"/>
      <w:bookmarkStart w:id="26" w:name="_Toc291769507"/>
      <w:r w:rsidRPr="004D23A4">
        <w:t>Cold</w:t>
      </w:r>
      <w:bookmarkEnd w:id="24"/>
      <w:bookmarkEnd w:id="25"/>
      <w:bookmarkEnd w:id="26"/>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F25D9" w:rsidRPr="003075C7" w14:paraId="4D1AFC0F" w14:textId="77777777" w:rsidTr="00B43AE5">
        <w:tc>
          <w:tcPr>
            <w:tcW w:w="1000" w:type="pct"/>
            <w:shd w:val="clear" w:color="auto" w:fill="F0DCDC"/>
          </w:tcPr>
          <w:p w14:paraId="7064B57D" w14:textId="77777777" w:rsidR="0077285E" w:rsidRPr="003075C7" w:rsidRDefault="0077285E" w:rsidP="0077285E">
            <w:pPr>
              <w:pStyle w:val="TestTableText"/>
            </w:pPr>
            <w:r w:rsidRPr="003075C7">
              <w:t>Applicable standards</w:t>
            </w:r>
          </w:p>
        </w:tc>
        <w:tc>
          <w:tcPr>
            <w:tcW w:w="4000" w:type="pct"/>
            <w:vAlign w:val="center"/>
          </w:tcPr>
          <w:p w14:paraId="62936F20" w14:textId="77777777" w:rsidR="0077285E" w:rsidRPr="003075C7" w:rsidRDefault="0077285E" w:rsidP="00306FC9">
            <w:pPr>
              <w:pStyle w:val="TestTableText"/>
            </w:pPr>
            <w:r w:rsidRPr="003075C7">
              <w:t>AS 60068.2.1</w:t>
            </w:r>
            <w:r>
              <w:t>[15]</w:t>
            </w:r>
          </w:p>
        </w:tc>
      </w:tr>
      <w:tr w:rsidR="00DF25D9" w:rsidRPr="003075C7" w14:paraId="1DD96A90" w14:textId="77777777" w:rsidTr="00B43AE5">
        <w:tc>
          <w:tcPr>
            <w:tcW w:w="1000" w:type="pct"/>
            <w:shd w:val="clear" w:color="auto" w:fill="F0DCDC"/>
          </w:tcPr>
          <w:p w14:paraId="1F44B8B2" w14:textId="77777777" w:rsidR="0077285E" w:rsidRPr="003075C7" w:rsidRDefault="0077285E" w:rsidP="0077285E">
            <w:pPr>
              <w:pStyle w:val="TestTableText"/>
            </w:pPr>
            <w:r w:rsidRPr="003075C7">
              <w:t>Object of test</w:t>
            </w:r>
          </w:p>
        </w:tc>
        <w:tc>
          <w:tcPr>
            <w:tcW w:w="4000" w:type="pct"/>
            <w:vAlign w:val="center"/>
          </w:tcPr>
          <w:p w14:paraId="2A6E5810" w14:textId="77777777" w:rsidR="0077285E" w:rsidRPr="003075C7" w:rsidRDefault="0077285E" w:rsidP="00306FC9">
            <w:pPr>
              <w:pStyle w:val="TestTableText"/>
            </w:pPr>
            <w:r w:rsidRPr="003075C7">
              <w:t xml:space="preserve">To verify compliance with the provisions of clause </w:t>
            </w:r>
            <w:r>
              <w:t>4.8</w:t>
            </w:r>
            <w:r w:rsidRPr="003075C7">
              <w:t xml:space="preserve"> under conditions of low temperature, taking into account the appropriate temperature coefficient specified in clause </w:t>
            </w:r>
            <w:r>
              <w:t>5.3</w:t>
            </w:r>
            <w:r w:rsidRPr="003075C7">
              <w:t>.</w:t>
            </w:r>
          </w:p>
          <w:p w14:paraId="663517A8" w14:textId="77777777" w:rsidR="0077285E" w:rsidRPr="003075C7" w:rsidRDefault="0077285E" w:rsidP="00306FC9">
            <w:pPr>
              <w:pStyle w:val="TestTableText"/>
            </w:pPr>
            <w:r w:rsidRPr="003075C7">
              <w:t>In addition, at the end of the test, the EUT shall show no damage or change of information and shall operate correctly.</w:t>
            </w:r>
          </w:p>
        </w:tc>
      </w:tr>
      <w:tr w:rsidR="00DF25D9" w:rsidRPr="003075C7" w14:paraId="55CD2DB6" w14:textId="77777777" w:rsidTr="00B43AE5">
        <w:tc>
          <w:tcPr>
            <w:tcW w:w="1000" w:type="pct"/>
            <w:shd w:val="clear" w:color="auto" w:fill="F0DCDC"/>
          </w:tcPr>
          <w:p w14:paraId="38D9EAAF" w14:textId="77777777" w:rsidR="0077285E" w:rsidRPr="003075C7" w:rsidRDefault="0077285E" w:rsidP="00DF25D9">
            <w:pPr>
              <w:pStyle w:val="TestTableText"/>
              <w:rPr>
                <w:szCs w:val="22"/>
              </w:rPr>
            </w:pPr>
            <w:r w:rsidRPr="003075C7">
              <w:rPr>
                <w:szCs w:val="22"/>
              </w:rPr>
              <w:t>Test procedure</w:t>
            </w:r>
            <w:r w:rsidR="00DF25D9">
              <w:rPr>
                <w:szCs w:val="22"/>
              </w:rPr>
              <w:t xml:space="preserve"> </w:t>
            </w:r>
            <w:r w:rsidRPr="003075C7">
              <w:rPr>
                <w:szCs w:val="22"/>
              </w:rPr>
              <w:t>in brief</w:t>
            </w:r>
          </w:p>
        </w:tc>
        <w:tc>
          <w:tcPr>
            <w:tcW w:w="4000" w:type="pct"/>
            <w:vAlign w:val="center"/>
          </w:tcPr>
          <w:p w14:paraId="1B0D0348" w14:textId="77777777" w:rsidR="0077285E" w:rsidRPr="003075C7" w:rsidRDefault="0077285E" w:rsidP="00306FC9">
            <w:pPr>
              <w:pStyle w:val="TestTableText"/>
            </w:pPr>
            <w:r w:rsidRPr="003075C7">
              <w:t>The test consists of exposure to the specified low temperature under ‘free air’ conditions for the time specified (the time specified is the time after the EUT has reached temperature stability).</w:t>
            </w:r>
          </w:p>
          <w:p w14:paraId="5D43B47A" w14:textId="659F339D" w:rsidR="0077285E" w:rsidRPr="003075C7" w:rsidRDefault="0077285E" w:rsidP="00306FC9">
            <w:pPr>
              <w:pStyle w:val="TestTableText"/>
            </w:pPr>
            <w:r w:rsidRPr="003075C7">
              <w:t>The change of temperature shall not exceed 1</w:t>
            </w:r>
            <w:r w:rsidR="0070071E">
              <w:t xml:space="preserve"> </w:t>
            </w:r>
            <w:r w:rsidRPr="003075C7">
              <w:sym w:font="Symbol" w:char="F0B0"/>
            </w:r>
            <w:r w:rsidRPr="003075C7">
              <w:t>C/min during cooling down and heating up.</w:t>
            </w:r>
          </w:p>
          <w:p w14:paraId="096F8590" w14:textId="77777777" w:rsidR="0077285E" w:rsidRPr="003075C7" w:rsidRDefault="0077285E" w:rsidP="00306FC9">
            <w:pPr>
              <w:pStyle w:val="TestTableText"/>
            </w:pPr>
            <w:r w:rsidRPr="003075C7">
              <w:t>The EUT shall remain in operating condition for the duration of its exposure to low temperature conditions. Power to the EUT shall then be switched off before the temperature is raised. The EUT may be switched on again once sufficient time has elapsed during the recovery period for its temperature to stabilise.</w:t>
            </w:r>
          </w:p>
          <w:p w14:paraId="1663A59B" w14:textId="77777777" w:rsidR="0077285E" w:rsidRPr="003075C7" w:rsidRDefault="0077285E" w:rsidP="00306FC9">
            <w:pPr>
              <w:pStyle w:val="TestTableText"/>
            </w:pPr>
            <w:r w:rsidRPr="003075C7">
              <w:t xml:space="preserve">The EUT shall be tested under conditions specified in Annex </w:t>
            </w:r>
            <w:r>
              <w:t>A.1</w:t>
            </w:r>
            <w:r w:rsidRPr="003075C7">
              <w:t>:</w:t>
            </w:r>
          </w:p>
          <w:p w14:paraId="07D4D8F2" w14:textId="77777777" w:rsidR="0077285E" w:rsidRPr="003075C7" w:rsidRDefault="0077285E" w:rsidP="00F74CE3">
            <w:pPr>
              <w:pStyle w:val="TestTableText"/>
              <w:numPr>
                <w:ilvl w:val="0"/>
                <w:numId w:val="18"/>
              </w:numPr>
            </w:pPr>
            <w:r w:rsidRPr="003075C7">
              <w:t>at the reference temperature following conditioning;</w:t>
            </w:r>
          </w:p>
          <w:p w14:paraId="0B9360C8" w14:textId="77777777" w:rsidR="0077285E" w:rsidRPr="003075C7" w:rsidRDefault="0077285E" w:rsidP="00F74CE3">
            <w:pPr>
              <w:pStyle w:val="TestTableText"/>
              <w:numPr>
                <w:ilvl w:val="0"/>
                <w:numId w:val="18"/>
              </w:numPr>
            </w:pPr>
            <w:r w:rsidRPr="003075C7">
              <w:t>at the minimum operating temperature, 72 h after temperature stabilisation; and</w:t>
            </w:r>
          </w:p>
          <w:p w14:paraId="2FF49A38" w14:textId="77777777" w:rsidR="0077285E" w:rsidRPr="003075C7" w:rsidRDefault="0077285E" w:rsidP="00F74CE3">
            <w:pPr>
              <w:pStyle w:val="TestTableText"/>
              <w:numPr>
                <w:ilvl w:val="0"/>
                <w:numId w:val="18"/>
              </w:numPr>
            </w:pPr>
            <w:r w:rsidRPr="003075C7">
              <w:t>after recovery of the EUT at the reference temperature.</w:t>
            </w:r>
          </w:p>
        </w:tc>
      </w:tr>
      <w:tr w:rsidR="00DF25D9" w:rsidRPr="003075C7" w14:paraId="4EBA8DD4" w14:textId="77777777" w:rsidTr="00B43AE5">
        <w:tc>
          <w:tcPr>
            <w:tcW w:w="1000" w:type="pct"/>
            <w:shd w:val="clear" w:color="auto" w:fill="F0DCDC"/>
          </w:tcPr>
          <w:p w14:paraId="3B5F7104" w14:textId="77777777" w:rsidR="0077285E" w:rsidRPr="003075C7" w:rsidRDefault="0077285E" w:rsidP="0077285E">
            <w:pPr>
              <w:pStyle w:val="TestTableText"/>
              <w:rPr>
                <w:szCs w:val="22"/>
              </w:rPr>
            </w:pPr>
            <w:r w:rsidRPr="003075C7">
              <w:rPr>
                <w:szCs w:val="22"/>
              </w:rPr>
              <w:t>Lower temperature</w:t>
            </w:r>
          </w:p>
        </w:tc>
        <w:tc>
          <w:tcPr>
            <w:tcW w:w="4000" w:type="pct"/>
            <w:vAlign w:val="center"/>
          </w:tcPr>
          <w:p w14:paraId="577F6E62" w14:textId="5E2FC2A3" w:rsidR="0077285E" w:rsidRPr="003075C7" w:rsidRDefault="0077285E" w:rsidP="00306FC9">
            <w:pPr>
              <w:pStyle w:val="TestTableText"/>
            </w:pPr>
            <w:r w:rsidRPr="003075C7">
              <w:t xml:space="preserve">The minimum temperature specified by the manufacturer for the </w:t>
            </w:r>
            <w:r>
              <w:t>s</w:t>
            </w:r>
            <w:r w:rsidRPr="003075C7">
              <w:t>pecified operating range, ±3</w:t>
            </w:r>
            <w:r w:rsidR="00A7097B">
              <w:t> </w:t>
            </w:r>
            <w:r w:rsidRPr="003075C7">
              <w:sym w:font="Symbol" w:char="F0B0"/>
            </w:r>
            <w:r w:rsidRPr="003075C7">
              <w:t>C</w:t>
            </w:r>
            <w:r>
              <w:t>.</w:t>
            </w:r>
          </w:p>
        </w:tc>
      </w:tr>
      <w:tr w:rsidR="00DF25D9" w:rsidRPr="003075C7" w14:paraId="62C127BD" w14:textId="77777777" w:rsidTr="00B43AE5">
        <w:tc>
          <w:tcPr>
            <w:tcW w:w="1000" w:type="pct"/>
            <w:shd w:val="clear" w:color="auto" w:fill="F0DCDC"/>
          </w:tcPr>
          <w:p w14:paraId="65DFCAE4" w14:textId="77777777" w:rsidR="0077285E" w:rsidRPr="003075C7" w:rsidRDefault="0077285E" w:rsidP="00F96D1E">
            <w:pPr>
              <w:pStyle w:val="TestTableText"/>
              <w:keepNext w:val="0"/>
              <w:rPr>
                <w:szCs w:val="22"/>
              </w:rPr>
            </w:pPr>
            <w:r w:rsidRPr="003075C7">
              <w:rPr>
                <w:szCs w:val="22"/>
              </w:rPr>
              <w:t>Duration</w:t>
            </w:r>
          </w:p>
        </w:tc>
        <w:tc>
          <w:tcPr>
            <w:tcW w:w="4000" w:type="pct"/>
            <w:vAlign w:val="center"/>
          </w:tcPr>
          <w:p w14:paraId="5577749A" w14:textId="77777777" w:rsidR="0077285E" w:rsidRPr="003075C7" w:rsidRDefault="0077285E" w:rsidP="00F96D1E">
            <w:pPr>
              <w:pStyle w:val="TestTableText"/>
              <w:keepNext w:val="0"/>
            </w:pPr>
            <w:r w:rsidRPr="003075C7">
              <w:t>72</w:t>
            </w:r>
            <w:r>
              <w:t xml:space="preserve"> h</w:t>
            </w:r>
          </w:p>
        </w:tc>
      </w:tr>
    </w:tbl>
    <w:p w14:paraId="271E57CD" w14:textId="77777777" w:rsidR="002D0549" w:rsidRDefault="00F96D1E" w:rsidP="00F96D1E">
      <w:pPr>
        <w:pStyle w:val="HeadingAnnexC"/>
      </w:pPr>
      <w:bookmarkStart w:id="27" w:name="_Ref247541515"/>
      <w:bookmarkStart w:id="28" w:name="_Ref251688670"/>
      <w:bookmarkStart w:id="29" w:name="_Toc291768441"/>
      <w:bookmarkStart w:id="30" w:name="_Toc291769508"/>
      <w:r w:rsidRPr="004D23A4">
        <w:t>Mean Temperature Coefficient</w:t>
      </w:r>
      <w:bookmarkEnd w:id="27"/>
      <w:bookmarkEnd w:id="28"/>
      <w:bookmarkEnd w:id="29"/>
      <w:bookmarkEnd w:id="30"/>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306FC9" w14:paraId="79D231E8" w14:textId="77777777" w:rsidTr="00B43AE5">
        <w:tc>
          <w:tcPr>
            <w:tcW w:w="1000" w:type="pct"/>
            <w:shd w:val="clear" w:color="auto" w:fill="F0DCDC"/>
          </w:tcPr>
          <w:p w14:paraId="521B1AA7" w14:textId="77777777" w:rsidR="00306FC9" w:rsidRPr="00306FC9" w:rsidRDefault="00306FC9" w:rsidP="00306FC9">
            <w:pPr>
              <w:pStyle w:val="TestTableText"/>
            </w:pPr>
            <w:r w:rsidRPr="00306FC9">
              <w:t>Object of test</w:t>
            </w:r>
          </w:p>
        </w:tc>
        <w:tc>
          <w:tcPr>
            <w:tcW w:w="4000" w:type="pct"/>
            <w:vAlign w:val="center"/>
          </w:tcPr>
          <w:p w14:paraId="74DA67EF" w14:textId="77777777" w:rsidR="00306FC9" w:rsidRPr="00306FC9" w:rsidRDefault="00306FC9" w:rsidP="00F96D1E">
            <w:pPr>
              <w:pStyle w:val="TestTableText"/>
            </w:pPr>
            <w:r w:rsidRPr="00306FC9">
              <w:t xml:space="preserve">To verify compliance with the provisions of clause </w:t>
            </w:r>
            <w:r w:rsidR="00F96D1E">
              <w:t>5.3</w:t>
            </w:r>
            <w:r w:rsidRPr="00306FC9">
              <w:t xml:space="preserve"> and </w:t>
            </w:r>
            <w:r w:rsidR="00F96D1E">
              <w:t>Table 6</w:t>
            </w:r>
            <w:r w:rsidRPr="00306FC9">
              <w:t xml:space="preserve">. </w:t>
            </w:r>
          </w:p>
        </w:tc>
      </w:tr>
      <w:tr w:rsidR="00F96D1E" w:rsidRPr="00306FC9" w14:paraId="0730948B" w14:textId="77777777" w:rsidTr="00B43AE5">
        <w:tc>
          <w:tcPr>
            <w:tcW w:w="1000" w:type="pct"/>
            <w:shd w:val="clear" w:color="auto" w:fill="F0DCDC"/>
          </w:tcPr>
          <w:p w14:paraId="0FD19BAD" w14:textId="77777777" w:rsidR="00306FC9" w:rsidRPr="00306FC9" w:rsidRDefault="00306FC9" w:rsidP="00DF25D9">
            <w:pPr>
              <w:pStyle w:val="TestTableText"/>
              <w:keepNext w:val="0"/>
            </w:pPr>
            <w:r w:rsidRPr="00306FC9">
              <w:t>Test procedure</w:t>
            </w:r>
            <w:r w:rsidR="00DF25D9">
              <w:t xml:space="preserve"> </w:t>
            </w:r>
            <w:r w:rsidRPr="00306FC9">
              <w:t>in brief</w:t>
            </w:r>
          </w:p>
        </w:tc>
        <w:tc>
          <w:tcPr>
            <w:tcW w:w="4000" w:type="pct"/>
            <w:vAlign w:val="center"/>
          </w:tcPr>
          <w:p w14:paraId="774E0234" w14:textId="77777777" w:rsidR="00306FC9" w:rsidRPr="00306FC9" w:rsidRDefault="00306FC9" w:rsidP="00306FC9">
            <w:pPr>
              <w:pStyle w:val="TestTableText"/>
            </w:pPr>
            <w:r w:rsidRPr="00306FC9">
              <w:t>The meter error shall be determined at a minimum of four temperature values across the whole operating range. These temperatures should be selected so as to meet the following criteria:</w:t>
            </w:r>
          </w:p>
          <w:p w14:paraId="06B7743D" w14:textId="77777777" w:rsidR="00306FC9" w:rsidRPr="00306FC9" w:rsidRDefault="00306FC9" w:rsidP="00F74CE3">
            <w:pPr>
              <w:pStyle w:val="TestTableText"/>
              <w:numPr>
                <w:ilvl w:val="0"/>
                <w:numId w:val="19"/>
              </w:numPr>
            </w:pPr>
            <w:r w:rsidRPr="00306FC9">
              <w:t>the minimum and maximum temperatures of the specified operating range must be included;</w:t>
            </w:r>
          </w:p>
          <w:p w14:paraId="46F2F8A3" w14:textId="53E61A05" w:rsidR="00306FC9" w:rsidRPr="00306FC9" w:rsidRDefault="00306FC9" w:rsidP="00F74CE3">
            <w:pPr>
              <w:pStyle w:val="TestTableText"/>
              <w:numPr>
                <w:ilvl w:val="0"/>
                <w:numId w:val="19"/>
              </w:numPr>
            </w:pPr>
            <w:r w:rsidRPr="00306FC9">
              <w:t>where the specified operating range is –</w:t>
            </w:r>
            <w:r w:rsidR="00A7097B" w:rsidRPr="00306FC9">
              <w:t>10</w:t>
            </w:r>
            <w:r w:rsidR="00A7097B">
              <w:t> </w:t>
            </w:r>
            <w:r w:rsidR="00A7097B" w:rsidRPr="00306FC9">
              <w:sym w:font="Symbol" w:char="F0B0"/>
            </w:r>
            <w:r w:rsidR="00A7097B" w:rsidRPr="00306FC9">
              <w:t xml:space="preserve">C </w:t>
            </w:r>
            <w:r w:rsidRPr="00306FC9">
              <w:t>to 60</w:t>
            </w:r>
            <w:r w:rsidR="00A7097B">
              <w:t> </w:t>
            </w:r>
            <w:r w:rsidRPr="00306FC9">
              <w:sym w:font="Symbol" w:char="F0B0"/>
            </w:r>
            <w:r w:rsidRPr="00306FC9">
              <w:t>C, the temperatures selected should include 15</w:t>
            </w:r>
            <w:r w:rsidR="00A7097B">
              <w:t> </w:t>
            </w:r>
            <w:r w:rsidR="00A7097B" w:rsidRPr="00306FC9">
              <w:sym w:font="Symbol" w:char="F0B0"/>
            </w:r>
            <w:r w:rsidR="00A7097B" w:rsidRPr="00306FC9">
              <w:t>C</w:t>
            </w:r>
            <w:r w:rsidRPr="00306FC9">
              <w:t xml:space="preserve"> and 35</w:t>
            </w:r>
            <w:r w:rsidR="00A7097B">
              <w:t> </w:t>
            </w:r>
            <w:r w:rsidRPr="00306FC9">
              <w:sym w:font="Symbol" w:char="F0B0"/>
            </w:r>
            <w:r w:rsidRPr="00306FC9">
              <w:t>C;</w:t>
            </w:r>
          </w:p>
          <w:p w14:paraId="7239730F" w14:textId="11107DAD" w:rsidR="00306FC9" w:rsidRPr="00306FC9" w:rsidRDefault="00306FC9" w:rsidP="00F74CE3">
            <w:pPr>
              <w:pStyle w:val="TestTableText"/>
              <w:numPr>
                <w:ilvl w:val="0"/>
                <w:numId w:val="19"/>
              </w:numPr>
            </w:pPr>
            <w:r w:rsidRPr="00306FC9">
              <w:t>where the specified operating range is –10</w:t>
            </w:r>
            <w:r w:rsidR="00A7097B">
              <w:t> </w:t>
            </w:r>
            <w:r w:rsidR="00A7097B" w:rsidRPr="00306FC9">
              <w:sym w:font="Symbol" w:char="F0B0"/>
            </w:r>
            <w:r w:rsidR="00A7097B" w:rsidRPr="00306FC9">
              <w:t>C</w:t>
            </w:r>
            <w:r w:rsidRPr="00306FC9">
              <w:t xml:space="preserve"> to 45</w:t>
            </w:r>
            <w:r w:rsidR="00A7097B">
              <w:t> </w:t>
            </w:r>
            <w:r w:rsidRPr="00306FC9">
              <w:sym w:font="Symbol" w:char="F0B0"/>
            </w:r>
            <w:r w:rsidRPr="00306FC9">
              <w:t>C, the temperatures selected should include 25</w:t>
            </w:r>
            <w:r w:rsidR="00A7097B">
              <w:t> </w:t>
            </w:r>
            <w:r w:rsidRPr="00306FC9">
              <w:sym w:font="Symbol" w:char="F0B0"/>
            </w:r>
            <w:r w:rsidRPr="00306FC9">
              <w:t>C; and</w:t>
            </w:r>
          </w:p>
          <w:p w14:paraId="20FFEB3B" w14:textId="3C94B454" w:rsidR="00306FC9" w:rsidRPr="00306FC9" w:rsidRDefault="00306FC9" w:rsidP="00F74CE3">
            <w:pPr>
              <w:pStyle w:val="TestTableText"/>
              <w:numPr>
                <w:ilvl w:val="0"/>
                <w:numId w:val="19"/>
              </w:numPr>
            </w:pPr>
            <w:r w:rsidRPr="00306FC9">
              <w:t xml:space="preserve">for other specified operating ranges, temperature values selected should preferably be 20 </w:t>
            </w:r>
            <w:r w:rsidR="00BC2B88" w:rsidRPr="00306FC9">
              <w:sym w:font="Symbol" w:char="F0B0"/>
            </w:r>
            <w:r w:rsidR="00BC2B88" w:rsidRPr="00306FC9">
              <w:t>C</w:t>
            </w:r>
            <w:r w:rsidRPr="00306FC9">
              <w:t xml:space="preserve"> but absolutely no more than 25 </w:t>
            </w:r>
            <w:r w:rsidR="00BC2B88" w:rsidRPr="00306FC9">
              <w:sym w:font="Symbol" w:char="F0B0"/>
            </w:r>
            <w:r w:rsidR="00BC2B88" w:rsidRPr="00306FC9">
              <w:t>C</w:t>
            </w:r>
            <w:r w:rsidRPr="00306FC9">
              <w:t xml:space="preserve"> away from the next nearest temperature value.</w:t>
            </w:r>
          </w:p>
          <w:p w14:paraId="14EFF5C0" w14:textId="77777777" w:rsidR="00306FC9" w:rsidRPr="00306FC9" w:rsidRDefault="00306FC9" w:rsidP="00306FC9">
            <w:pPr>
              <w:pStyle w:val="TestTableText"/>
            </w:pPr>
            <w:r w:rsidRPr="00306FC9">
              <w:t xml:space="preserve">The mean temperature coefficient shall then be determined for each of the temperature intervals between successive temperature values. All values of the mean temperature coefficient shall comply with the values in </w:t>
            </w:r>
            <w:r w:rsidR="00F96D1E">
              <w:t>Table 6</w:t>
            </w:r>
            <w:r w:rsidRPr="00306FC9">
              <w:t>.</w:t>
            </w:r>
          </w:p>
          <w:p w14:paraId="54B38CE2" w14:textId="77777777" w:rsidR="00306FC9" w:rsidRPr="00306FC9" w:rsidRDefault="00306FC9" w:rsidP="006A13B9">
            <w:pPr>
              <w:pStyle w:val="TestTableText"/>
              <w:keepNext w:val="0"/>
            </w:pPr>
            <w:r w:rsidRPr="00306FC9">
              <w:t>The temperature shall not fall outside the specified operating temperature range at any time during the test.</w:t>
            </w:r>
          </w:p>
        </w:tc>
      </w:tr>
    </w:tbl>
    <w:p w14:paraId="6DBF5530" w14:textId="77777777" w:rsidR="00F96D1E" w:rsidRPr="00F96D1E" w:rsidRDefault="00F96D1E" w:rsidP="006A13B9">
      <w:pPr>
        <w:pStyle w:val="HeadingAnnexC"/>
      </w:pPr>
      <w:r w:rsidRPr="00F96D1E">
        <w:t>Damp Heat Cyclic Test</w:t>
      </w:r>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F96D1E" w14:paraId="4E2CA846" w14:textId="77777777" w:rsidTr="00B43AE5">
        <w:tc>
          <w:tcPr>
            <w:tcW w:w="1000" w:type="pct"/>
            <w:shd w:val="clear" w:color="auto" w:fill="F0DCDC"/>
          </w:tcPr>
          <w:p w14:paraId="6033F138" w14:textId="77777777" w:rsidR="00F96D1E" w:rsidRPr="00F96D1E" w:rsidRDefault="00F96D1E" w:rsidP="00F96D1E">
            <w:pPr>
              <w:pStyle w:val="TestTableText"/>
            </w:pPr>
            <w:r w:rsidRPr="00F96D1E">
              <w:t>Applicable standards</w:t>
            </w:r>
          </w:p>
        </w:tc>
        <w:tc>
          <w:tcPr>
            <w:tcW w:w="4000" w:type="pct"/>
            <w:vAlign w:val="center"/>
          </w:tcPr>
          <w:p w14:paraId="43B9E901" w14:textId="77777777" w:rsidR="00F96D1E" w:rsidRPr="00F96D1E" w:rsidRDefault="00F96D1E" w:rsidP="006A13B9">
            <w:pPr>
              <w:pStyle w:val="TestTableText"/>
            </w:pPr>
            <w:r w:rsidRPr="00F96D1E">
              <w:t xml:space="preserve">AS 60068.2.30 </w:t>
            </w:r>
            <w:r w:rsidR="006A13B9">
              <w:t>[16]</w:t>
            </w:r>
          </w:p>
        </w:tc>
      </w:tr>
      <w:tr w:rsidR="00F96D1E" w:rsidRPr="00F96D1E" w14:paraId="1BBBCD50" w14:textId="77777777" w:rsidTr="00B43AE5">
        <w:tc>
          <w:tcPr>
            <w:tcW w:w="1000" w:type="pct"/>
            <w:shd w:val="clear" w:color="auto" w:fill="F0DCDC"/>
          </w:tcPr>
          <w:p w14:paraId="22406843" w14:textId="77777777" w:rsidR="00F96D1E" w:rsidRPr="00F96D1E" w:rsidRDefault="00F96D1E" w:rsidP="00F96D1E">
            <w:pPr>
              <w:pStyle w:val="TestTableText"/>
            </w:pPr>
            <w:r w:rsidRPr="00F96D1E">
              <w:t>Object of test</w:t>
            </w:r>
          </w:p>
        </w:tc>
        <w:tc>
          <w:tcPr>
            <w:tcW w:w="4000" w:type="pct"/>
            <w:tcMar>
              <w:left w:w="57" w:type="dxa"/>
              <w:right w:w="28" w:type="dxa"/>
            </w:tcMar>
            <w:vAlign w:val="center"/>
          </w:tcPr>
          <w:p w14:paraId="1BEC9C39" w14:textId="77777777" w:rsidR="00F96D1E" w:rsidRPr="00F96D1E" w:rsidRDefault="00F96D1E" w:rsidP="00F96D1E">
            <w:pPr>
              <w:pStyle w:val="TestTableText"/>
            </w:pPr>
            <w:r w:rsidRPr="00F96D1E">
              <w:t xml:space="preserve">To verify compliance with the provisions of clause </w:t>
            </w:r>
            <w:r w:rsidR="006A13B9">
              <w:t>4.8</w:t>
            </w:r>
            <w:r w:rsidRPr="00F96D1E">
              <w:t xml:space="preserve"> under conditions of high humidity when combined with cyclic temperature changes, taking into account the appropriate temperature coefficient specified in clause </w:t>
            </w:r>
            <w:r w:rsidR="006A13B9">
              <w:t>5.3</w:t>
            </w:r>
            <w:r w:rsidRPr="00F96D1E">
              <w:t>.</w:t>
            </w:r>
          </w:p>
          <w:p w14:paraId="5F31EDED" w14:textId="77777777" w:rsidR="00F96D1E" w:rsidRPr="00F96D1E" w:rsidRDefault="00F96D1E" w:rsidP="00F96D1E">
            <w:pPr>
              <w:pStyle w:val="TestTableText"/>
            </w:pPr>
            <w:r w:rsidRPr="00F96D1E">
              <w:t xml:space="preserve">In addition, 24 h after the end of this test, the EUT shall be submitted to an insulation test according to </w:t>
            </w:r>
            <w:r w:rsidR="006A13B9">
              <w:t>A.2.19</w:t>
            </w:r>
            <w:r w:rsidRPr="00F96D1E">
              <w:t xml:space="preserve"> and </w:t>
            </w:r>
            <w:r w:rsidR="006A13B9">
              <w:t>A.2.20</w:t>
            </w:r>
            <w:r w:rsidRPr="00F96D1E">
              <w:t>, except that the impulse voltage shall be multiplied by a factor of 0.8, and a functional test, during which the EUT shall show no damage or change of information and shall function correctly.</w:t>
            </w:r>
          </w:p>
          <w:p w14:paraId="19819848" w14:textId="77777777" w:rsidR="00F96D1E" w:rsidRPr="00F96D1E" w:rsidRDefault="00F96D1E" w:rsidP="00F96D1E">
            <w:pPr>
              <w:pStyle w:val="TestTableText"/>
            </w:pPr>
            <w:r w:rsidRPr="00F96D1E">
              <w:t>No trace of corrosion likely to affect the functional properties of the EUT shall be apparent.</w:t>
            </w:r>
          </w:p>
        </w:tc>
      </w:tr>
      <w:tr w:rsidR="00F96D1E" w:rsidRPr="00F96D1E" w14:paraId="3936AFB7" w14:textId="77777777" w:rsidTr="00B43AE5">
        <w:tc>
          <w:tcPr>
            <w:tcW w:w="1000" w:type="pct"/>
            <w:shd w:val="clear" w:color="auto" w:fill="F0DCDC"/>
          </w:tcPr>
          <w:p w14:paraId="0EC030A9" w14:textId="77777777" w:rsidR="00F96D1E" w:rsidRPr="00F96D1E" w:rsidRDefault="00F96D1E" w:rsidP="00DF25D9">
            <w:pPr>
              <w:pStyle w:val="TestTableText"/>
            </w:pPr>
            <w:r w:rsidRPr="00F96D1E">
              <w:t>Test procedure</w:t>
            </w:r>
            <w:r w:rsidR="00DF25D9">
              <w:t xml:space="preserve"> </w:t>
            </w:r>
            <w:r w:rsidRPr="00F96D1E">
              <w:t>in brief</w:t>
            </w:r>
          </w:p>
        </w:tc>
        <w:tc>
          <w:tcPr>
            <w:tcW w:w="4000" w:type="pct"/>
            <w:tcMar>
              <w:left w:w="57" w:type="dxa"/>
              <w:right w:w="28" w:type="dxa"/>
            </w:tcMar>
            <w:vAlign w:val="center"/>
          </w:tcPr>
          <w:p w14:paraId="7E177884" w14:textId="49C13527" w:rsidR="00F96D1E" w:rsidRPr="00F96D1E" w:rsidRDefault="00F96D1E" w:rsidP="00F96D1E">
            <w:pPr>
              <w:pStyle w:val="TestTableText"/>
            </w:pPr>
            <w:r w:rsidRPr="00F96D1E">
              <w:t>The test consists of exposure to cyclic temperature variation between 25</w:t>
            </w:r>
            <w:r w:rsidR="00A7097B">
              <w:t> </w:t>
            </w:r>
            <w:r w:rsidRPr="00F96D1E">
              <w:sym w:font="Symbol" w:char="F0B0"/>
            </w:r>
            <w:r w:rsidRPr="00F96D1E">
              <w:t>C and the appropriate upper temperature, maintaining the relative humidity above 95% during the temperature change and low temperature phases, and at 93% at the upper temperature phases. Condensation should occur on the EUT during the temperature rise.</w:t>
            </w:r>
          </w:p>
          <w:p w14:paraId="657757D6" w14:textId="77777777" w:rsidR="00F96D1E" w:rsidRPr="00F96D1E" w:rsidRDefault="00F96D1E" w:rsidP="00F96D1E">
            <w:pPr>
              <w:pStyle w:val="TestTableText"/>
            </w:pPr>
            <w:r w:rsidRPr="00F96D1E">
              <w:t>At the commencement of the test, the EUT shall be in an unpacked, switched-off and ready-to-use condition. It shall be mounted so that for all practical purposes it is thermally isolated.</w:t>
            </w:r>
          </w:p>
          <w:p w14:paraId="2E719E8F" w14:textId="77777777" w:rsidR="00F96D1E" w:rsidRPr="00F96D1E" w:rsidRDefault="00F96D1E" w:rsidP="00F96D1E">
            <w:pPr>
              <w:pStyle w:val="TestTableText"/>
            </w:pPr>
            <w:r w:rsidRPr="00F96D1E">
              <w:t>The 24 h cycle consists of:</w:t>
            </w:r>
          </w:p>
          <w:p w14:paraId="57DCAA6A" w14:textId="77777777" w:rsidR="00F96D1E" w:rsidRPr="00F96D1E" w:rsidRDefault="00F96D1E" w:rsidP="007C176B">
            <w:pPr>
              <w:pStyle w:val="TestTableText"/>
              <w:numPr>
                <w:ilvl w:val="0"/>
                <w:numId w:val="20"/>
              </w:numPr>
              <w:rPr>
                <w:lang w:val="en-US"/>
              </w:rPr>
            </w:pPr>
            <w:r w:rsidRPr="00F96D1E">
              <w:rPr>
                <w:lang w:val="en-US"/>
              </w:rPr>
              <w:t>Temperature rise during 3 h.</w:t>
            </w:r>
          </w:p>
          <w:p w14:paraId="478295E0" w14:textId="77777777" w:rsidR="00F96D1E" w:rsidRPr="00F96D1E" w:rsidRDefault="00F96D1E" w:rsidP="007C176B">
            <w:pPr>
              <w:pStyle w:val="TestTableText"/>
              <w:numPr>
                <w:ilvl w:val="0"/>
                <w:numId w:val="20"/>
              </w:numPr>
              <w:rPr>
                <w:lang w:val="en-US"/>
              </w:rPr>
            </w:pPr>
            <w:r w:rsidRPr="00F96D1E">
              <w:rPr>
                <w:lang w:val="en-US"/>
              </w:rPr>
              <w:t>Temperature maintained at upper value until 12 h from the start of the cycle.</w:t>
            </w:r>
          </w:p>
          <w:p w14:paraId="77BC8564" w14:textId="77777777" w:rsidR="00F96D1E" w:rsidRPr="00F96D1E" w:rsidRDefault="00F96D1E" w:rsidP="007C176B">
            <w:pPr>
              <w:pStyle w:val="TestTableText"/>
              <w:numPr>
                <w:ilvl w:val="0"/>
                <w:numId w:val="20"/>
              </w:numPr>
              <w:rPr>
                <w:lang w:val="en-US"/>
              </w:rPr>
            </w:pPr>
            <w:r w:rsidRPr="00F96D1E">
              <w:rPr>
                <w:lang w:val="en-US"/>
              </w:rPr>
              <w:t>Temperature lowered to lower value within 3 h to 6 h, the rate of fall during the first hour and a half being such that the lower value would be reached in 3 h. The humidity shall be not less than 95%, except for the first 15 min when it shall be not less than 90%.</w:t>
            </w:r>
          </w:p>
          <w:p w14:paraId="1656576D" w14:textId="77777777" w:rsidR="00F96D1E" w:rsidRPr="00F96D1E" w:rsidRDefault="00F96D1E" w:rsidP="007C176B">
            <w:pPr>
              <w:pStyle w:val="TestTableText"/>
              <w:numPr>
                <w:ilvl w:val="0"/>
                <w:numId w:val="20"/>
              </w:numPr>
              <w:rPr>
                <w:lang w:val="en-US"/>
              </w:rPr>
            </w:pPr>
            <w:r w:rsidRPr="00F96D1E">
              <w:rPr>
                <w:lang w:val="en-US"/>
              </w:rPr>
              <w:t>Temperature maintained at lower value until the 24 h cycle is completed.</w:t>
            </w:r>
          </w:p>
          <w:p w14:paraId="09649B16" w14:textId="40B20E0B" w:rsidR="00F96D1E" w:rsidRPr="00F96D1E" w:rsidRDefault="00F96D1E" w:rsidP="00F96D1E">
            <w:pPr>
              <w:pStyle w:val="TestTableText"/>
            </w:pPr>
            <w:r w:rsidRPr="00F96D1E">
              <w:t>The stabilising period before and recovery after the cyclic exposure shall be such that all parts of the EUT are within 3</w:t>
            </w:r>
            <w:r w:rsidR="00A7097B">
              <w:t> </w:t>
            </w:r>
            <w:r w:rsidRPr="00F96D1E">
              <w:sym w:font="Symbol" w:char="F0B0"/>
            </w:r>
            <w:r w:rsidRPr="00F96D1E">
              <w:t>C of their final temperature.</w:t>
            </w:r>
          </w:p>
          <w:p w14:paraId="739E4E17" w14:textId="77777777" w:rsidR="00F96D1E" w:rsidRPr="00F96D1E" w:rsidRDefault="00F96D1E" w:rsidP="00F96D1E">
            <w:pPr>
              <w:pStyle w:val="TestTableText"/>
            </w:pPr>
            <w:r w:rsidRPr="00F96D1E">
              <w:t>Voltage and auxiliary circuits shall be energised with the reference voltage, without any current in the current circuits.</w:t>
            </w:r>
          </w:p>
          <w:p w14:paraId="1B26C3EA" w14:textId="77777777" w:rsidR="00F96D1E" w:rsidRPr="00F96D1E" w:rsidRDefault="00F96D1E" w:rsidP="00F96D1E">
            <w:pPr>
              <w:pStyle w:val="TestTableText"/>
            </w:pPr>
            <w:r w:rsidRPr="00F96D1E">
              <w:t>No special precautions are to be taken regarding the removal of surface moisture.</w:t>
            </w:r>
          </w:p>
        </w:tc>
      </w:tr>
      <w:tr w:rsidR="00F96D1E" w:rsidRPr="00F96D1E" w14:paraId="0F67BBC6" w14:textId="77777777" w:rsidTr="00B43AE5">
        <w:tc>
          <w:tcPr>
            <w:tcW w:w="1000" w:type="pct"/>
            <w:shd w:val="clear" w:color="auto" w:fill="F0DCDC"/>
          </w:tcPr>
          <w:p w14:paraId="01FFD2CE" w14:textId="77777777" w:rsidR="00F96D1E" w:rsidRPr="00F96D1E" w:rsidRDefault="00F96D1E" w:rsidP="00F96D1E">
            <w:pPr>
              <w:pStyle w:val="TestTableText"/>
            </w:pPr>
            <w:r w:rsidRPr="00F96D1E">
              <w:t>Upper temperature</w:t>
            </w:r>
          </w:p>
        </w:tc>
        <w:tc>
          <w:tcPr>
            <w:tcW w:w="4000" w:type="pct"/>
            <w:vAlign w:val="center"/>
          </w:tcPr>
          <w:p w14:paraId="4E46DBB6" w14:textId="09D19EAE" w:rsidR="00F96D1E" w:rsidRPr="00F96D1E" w:rsidRDefault="00F96D1E" w:rsidP="00F96D1E">
            <w:pPr>
              <w:pStyle w:val="TestTableText"/>
            </w:pPr>
            <w:r w:rsidRPr="00F96D1E">
              <w:t>The maximum temperature specified by the manufacturer for the specified operating range, ±2</w:t>
            </w:r>
            <w:r w:rsidR="00A7097B">
              <w:t> </w:t>
            </w:r>
            <w:r w:rsidRPr="00F96D1E">
              <w:sym w:font="Symbol" w:char="F0B0"/>
            </w:r>
            <w:r w:rsidRPr="00F96D1E">
              <w:t>C.</w:t>
            </w:r>
          </w:p>
        </w:tc>
      </w:tr>
      <w:tr w:rsidR="00F96D1E" w:rsidRPr="00F96D1E" w14:paraId="463C9D7E" w14:textId="77777777" w:rsidTr="00B43AE5">
        <w:tc>
          <w:tcPr>
            <w:tcW w:w="1000" w:type="pct"/>
            <w:shd w:val="clear" w:color="auto" w:fill="F0DCDC"/>
          </w:tcPr>
          <w:p w14:paraId="199B5F91" w14:textId="77777777" w:rsidR="00F96D1E" w:rsidRPr="00F96D1E" w:rsidRDefault="00F96D1E" w:rsidP="00F96D1E">
            <w:pPr>
              <w:pStyle w:val="TestTableText"/>
            </w:pPr>
            <w:r w:rsidRPr="00F96D1E">
              <w:t>Duration</w:t>
            </w:r>
          </w:p>
        </w:tc>
        <w:tc>
          <w:tcPr>
            <w:tcW w:w="4000" w:type="pct"/>
            <w:vAlign w:val="center"/>
          </w:tcPr>
          <w:p w14:paraId="78ADFFD6" w14:textId="77777777" w:rsidR="00F96D1E" w:rsidRPr="00F96D1E" w:rsidRDefault="00F96D1E" w:rsidP="00F96D1E">
            <w:pPr>
              <w:pStyle w:val="TestTableText"/>
            </w:pPr>
            <w:r w:rsidRPr="00F96D1E">
              <w:t>6 cycles</w:t>
            </w:r>
          </w:p>
        </w:tc>
      </w:tr>
    </w:tbl>
    <w:p w14:paraId="1E72C238" w14:textId="77777777" w:rsidR="008774B5" w:rsidRDefault="008774B5" w:rsidP="00481FE8">
      <w:bookmarkStart w:id="31" w:name="_Ref222807646"/>
      <w:bookmarkStart w:id="32" w:name="_Toc291768443"/>
      <w:bookmarkStart w:id="33" w:name="_Toc291769510"/>
      <w:r>
        <w:br w:type="page"/>
      </w:r>
    </w:p>
    <w:p w14:paraId="339190D9" w14:textId="77777777" w:rsidR="00DF25D9" w:rsidRPr="004D23A4" w:rsidRDefault="00DF25D9" w:rsidP="00DF25D9">
      <w:pPr>
        <w:pStyle w:val="HeadingAnnexC"/>
      </w:pPr>
      <w:r w:rsidRPr="004D23A4">
        <w:t>Solar Radiation Test</w:t>
      </w:r>
      <w:bookmarkEnd w:id="31"/>
      <w:bookmarkEnd w:id="32"/>
      <w:bookmarkEnd w:id="33"/>
    </w:p>
    <w:tbl>
      <w:tblPr>
        <w:tblStyle w:val="TableGrid"/>
        <w:tblW w:w="4988" w:type="pct"/>
        <w:tblLayout w:type="fixed"/>
        <w:tblCellMar>
          <w:left w:w="57" w:type="dxa"/>
          <w:right w:w="57" w:type="dxa"/>
        </w:tblCellMar>
        <w:tblLook w:val="01E0" w:firstRow="1" w:lastRow="1" w:firstColumn="1" w:lastColumn="1" w:noHBand="0" w:noVBand="0"/>
      </w:tblPr>
      <w:tblGrid>
        <w:gridCol w:w="1944"/>
        <w:gridCol w:w="7775"/>
      </w:tblGrid>
      <w:tr w:rsidR="00DF25D9" w:rsidRPr="003075C7" w14:paraId="6F271210" w14:textId="77777777" w:rsidTr="00B43AE5">
        <w:tc>
          <w:tcPr>
            <w:tcW w:w="1000" w:type="pct"/>
            <w:shd w:val="clear" w:color="auto" w:fill="F0DCDC"/>
          </w:tcPr>
          <w:p w14:paraId="726E98A4" w14:textId="77777777" w:rsidR="00DF25D9" w:rsidRPr="003075C7" w:rsidRDefault="00DF25D9" w:rsidP="00DF25D9">
            <w:pPr>
              <w:pStyle w:val="TestTableText"/>
            </w:pPr>
            <w:r w:rsidRPr="003075C7">
              <w:t>Applicable standards</w:t>
            </w:r>
          </w:p>
        </w:tc>
        <w:tc>
          <w:tcPr>
            <w:tcW w:w="4000" w:type="pct"/>
            <w:vAlign w:val="center"/>
          </w:tcPr>
          <w:p w14:paraId="17E2B42E" w14:textId="77777777" w:rsidR="00DF25D9" w:rsidRPr="003075C7" w:rsidRDefault="00DF25D9" w:rsidP="00DF25D9">
            <w:pPr>
              <w:pStyle w:val="TestTableText"/>
            </w:pPr>
            <w:r w:rsidRPr="003075C7">
              <w:t xml:space="preserve">Appendix D, AS 1284.1 </w:t>
            </w:r>
            <w:r>
              <w:t>[5]</w:t>
            </w:r>
          </w:p>
        </w:tc>
      </w:tr>
      <w:tr w:rsidR="00DF25D9" w:rsidRPr="003075C7" w14:paraId="18A1FD6B" w14:textId="77777777" w:rsidTr="00B43AE5">
        <w:tc>
          <w:tcPr>
            <w:tcW w:w="1000" w:type="pct"/>
            <w:shd w:val="clear" w:color="auto" w:fill="F0DCDC"/>
          </w:tcPr>
          <w:p w14:paraId="48ECE959" w14:textId="77777777" w:rsidR="00DF25D9" w:rsidRPr="003075C7" w:rsidRDefault="00DF25D9" w:rsidP="00DF25D9">
            <w:pPr>
              <w:pStyle w:val="TestTableText"/>
            </w:pPr>
            <w:r w:rsidRPr="003075C7">
              <w:t>Object of test</w:t>
            </w:r>
          </w:p>
        </w:tc>
        <w:tc>
          <w:tcPr>
            <w:tcW w:w="4000" w:type="pct"/>
            <w:vAlign w:val="center"/>
          </w:tcPr>
          <w:p w14:paraId="43C0C6C9" w14:textId="77777777" w:rsidR="00DF25D9" w:rsidRPr="003075C7" w:rsidRDefault="00DF25D9" w:rsidP="00DF25D9">
            <w:pPr>
              <w:pStyle w:val="TestTableText"/>
            </w:pPr>
            <w:r w:rsidRPr="003075C7">
              <w:t xml:space="preserve">To verify compliance with the provisions of clause </w:t>
            </w:r>
            <w:r>
              <w:t>5.5</w:t>
            </w:r>
            <w:r w:rsidRPr="003075C7">
              <w:t xml:space="preserve"> by checking for visual changes in appearance after exposure to ultraviolet light.</w:t>
            </w:r>
          </w:p>
          <w:p w14:paraId="5596E37C" w14:textId="77777777" w:rsidR="00DF25D9" w:rsidRPr="003075C7" w:rsidRDefault="00DF25D9" w:rsidP="00DF25D9">
            <w:pPr>
              <w:pStyle w:val="TestTableText"/>
            </w:pPr>
            <w:r w:rsidRPr="003075C7">
              <w:t>At the conclusion of the test, the function of the meter shall not be impaired and no changes in the meter appearance shall be apparent.</w:t>
            </w:r>
          </w:p>
        </w:tc>
      </w:tr>
      <w:tr w:rsidR="00DF25D9" w:rsidRPr="003075C7" w14:paraId="40C88CDB" w14:textId="77777777" w:rsidTr="00B43AE5">
        <w:tc>
          <w:tcPr>
            <w:tcW w:w="1000" w:type="pct"/>
            <w:shd w:val="clear" w:color="auto" w:fill="F0DCDC"/>
          </w:tcPr>
          <w:p w14:paraId="19839E88" w14:textId="77777777" w:rsidR="00DF25D9" w:rsidRPr="003075C7" w:rsidRDefault="00DF25D9" w:rsidP="00D603BA">
            <w:pPr>
              <w:pStyle w:val="TestTableText"/>
              <w:keepNext w:val="0"/>
            </w:pPr>
            <w:r w:rsidRPr="003075C7">
              <w:t>Test procedure in brief</w:t>
            </w:r>
          </w:p>
        </w:tc>
        <w:tc>
          <w:tcPr>
            <w:tcW w:w="4000" w:type="pct"/>
            <w:tcMar>
              <w:right w:w="28" w:type="dxa"/>
            </w:tcMar>
            <w:vAlign w:val="center"/>
          </w:tcPr>
          <w:p w14:paraId="696584C5" w14:textId="77777777" w:rsidR="00DF25D9" w:rsidRPr="003075C7" w:rsidRDefault="00DF25D9" w:rsidP="00DF25D9">
            <w:pPr>
              <w:pStyle w:val="TestTableText"/>
            </w:pPr>
            <w:r w:rsidRPr="003075C7">
              <w:t xml:space="preserve">The test consists of exposure to an ultraviolet lamp with light output between 21 750 lm and 27 000 lm for a period of 48 </w:t>
            </w:r>
            <w:r>
              <w:t>h</w:t>
            </w:r>
            <w:r w:rsidRPr="003075C7">
              <w:t xml:space="preserve"> at a distance of 250 mm.</w:t>
            </w:r>
          </w:p>
          <w:p w14:paraId="76A370B3" w14:textId="77777777" w:rsidR="00DF25D9" w:rsidRPr="003075C7" w:rsidRDefault="00DF25D9" w:rsidP="00DF25D9">
            <w:pPr>
              <w:pStyle w:val="TestTableText"/>
            </w:pPr>
            <w:r w:rsidRPr="003075C7">
              <w:t>At the commencement of the test, part of the EUT shall be covered to prevent irradiation. The test surfaces of the EUT shall face the lamp.</w:t>
            </w:r>
          </w:p>
          <w:p w14:paraId="77277BE2" w14:textId="77777777" w:rsidR="00DF25D9" w:rsidRPr="003075C7" w:rsidRDefault="00DF25D9" w:rsidP="00DF25D9">
            <w:pPr>
              <w:pStyle w:val="TestTableText"/>
            </w:pPr>
            <w:r w:rsidRPr="003075C7">
              <w:t xml:space="preserve">After 48 </w:t>
            </w:r>
            <w:r>
              <w:t>h</w:t>
            </w:r>
            <w:r w:rsidRPr="003075C7">
              <w:t xml:space="preserve"> of irradiation, the exposed and covered part</w:t>
            </w:r>
            <w:r>
              <w:t>s of the EUT shall be compared.</w:t>
            </w:r>
          </w:p>
        </w:tc>
      </w:tr>
    </w:tbl>
    <w:p w14:paraId="68D07BDB" w14:textId="77777777" w:rsidR="00D603BA" w:rsidRPr="004D23A4" w:rsidRDefault="00D603BA" w:rsidP="00D603BA">
      <w:pPr>
        <w:pStyle w:val="HeadingAnnexC"/>
      </w:pPr>
      <w:bookmarkStart w:id="34" w:name="_Ref222807655"/>
      <w:bookmarkStart w:id="35" w:name="_Toc291768444"/>
      <w:bookmarkStart w:id="36" w:name="_Toc291769511"/>
      <w:r w:rsidRPr="004D23A4">
        <w:t>Dust Test</w:t>
      </w:r>
      <w:bookmarkEnd w:id="34"/>
      <w:bookmarkEnd w:id="35"/>
      <w:bookmarkEnd w:id="36"/>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603BA" w:rsidRPr="003075C7" w14:paraId="3131515E" w14:textId="77777777" w:rsidTr="00B43AE5">
        <w:tc>
          <w:tcPr>
            <w:tcW w:w="1000" w:type="pct"/>
            <w:shd w:val="clear" w:color="auto" w:fill="F0DCDC"/>
          </w:tcPr>
          <w:p w14:paraId="212C79A5" w14:textId="77777777" w:rsidR="00D603BA" w:rsidRPr="003075C7" w:rsidRDefault="00D603BA" w:rsidP="00D603BA">
            <w:pPr>
              <w:pStyle w:val="TestTableText"/>
            </w:pPr>
            <w:r w:rsidRPr="003075C7">
              <w:t>Applicable standards</w:t>
            </w:r>
          </w:p>
        </w:tc>
        <w:tc>
          <w:tcPr>
            <w:tcW w:w="4000" w:type="pct"/>
            <w:vAlign w:val="center"/>
          </w:tcPr>
          <w:p w14:paraId="424376CC" w14:textId="77777777" w:rsidR="00D603BA" w:rsidRPr="003075C7" w:rsidRDefault="00D603BA" w:rsidP="00D603BA">
            <w:pPr>
              <w:pStyle w:val="TestTableText"/>
            </w:pPr>
            <w:r w:rsidRPr="003075C7">
              <w:t xml:space="preserve">AS 60529 </w:t>
            </w:r>
            <w:r>
              <w:t>[17]</w:t>
            </w:r>
          </w:p>
        </w:tc>
      </w:tr>
      <w:tr w:rsidR="00D603BA" w:rsidRPr="003075C7" w14:paraId="2E65BC9E" w14:textId="77777777" w:rsidTr="00B43AE5">
        <w:tc>
          <w:tcPr>
            <w:tcW w:w="1000" w:type="pct"/>
            <w:shd w:val="clear" w:color="auto" w:fill="F0DCDC"/>
          </w:tcPr>
          <w:p w14:paraId="4C0B5425" w14:textId="77777777" w:rsidR="00D603BA" w:rsidRPr="003075C7" w:rsidRDefault="00D603BA" w:rsidP="00D603BA">
            <w:pPr>
              <w:pStyle w:val="TestTableText"/>
            </w:pPr>
            <w:r w:rsidRPr="003075C7">
              <w:t>Object of test</w:t>
            </w:r>
          </w:p>
        </w:tc>
        <w:tc>
          <w:tcPr>
            <w:tcW w:w="4000" w:type="pct"/>
            <w:vAlign w:val="center"/>
          </w:tcPr>
          <w:p w14:paraId="69A7F6D7" w14:textId="77777777" w:rsidR="00D603BA" w:rsidRPr="003075C7" w:rsidRDefault="00D603BA" w:rsidP="00D603BA">
            <w:pPr>
              <w:pStyle w:val="TestTableText"/>
            </w:pPr>
            <w:bookmarkStart w:id="37" w:name="OLE_LINK3"/>
            <w:r w:rsidRPr="003075C7">
              <w:t xml:space="preserve">To verify compliance with the provisions of clause </w:t>
            </w:r>
            <w:r>
              <w:t>5.6</w:t>
            </w:r>
            <w:r w:rsidRPr="003075C7">
              <w:t xml:space="preserve"> under exposure to dust.</w:t>
            </w:r>
          </w:p>
          <w:bookmarkEnd w:id="37"/>
          <w:p w14:paraId="6BB5896B" w14:textId="77777777" w:rsidR="00D603BA" w:rsidRPr="003075C7" w:rsidRDefault="00D603BA" w:rsidP="00D603BA">
            <w:pPr>
              <w:pStyle w:val="TestTableText"/>
            </w:pPr>
            <w:r w:rsidRPr="003075C7">
              <w:t>At the conclusion of the test, there shall be no evidence of dust accumulation in a manner which could affect meter operation or safety, nor shall there be evidence of dust deposition in a way which could lead to tracking along the creepage distances. The function of the meter shall not be impaired.</w:t>
            </w:r>
          </w:p>
        </w:tc>
      </w:tr>
      <w:tr w:rsidR="00D603BA" w:rsidRPr="003075C7" w14:paraId="210A7A22" w14:textId="77777777" w:rsidTr="00B43AE5">
        <w:tc>
          <w:tcPr>
            <w:tcW w:w="1000" w:type="pct"/>
            <w:shd w:val="clear" w:color="auto" w:fill="F0DCDC"/>
          </w:tcPr>
          <w:p w14:paraId="1001BEDC" w14:textId="77777777" w:rsidR="00D603BA" w:rsidRPr="003075C7" w:rsidRDefault="00D603BA" w:rsidP="00D603BA">
            <w:pPr>
              <w:pStyle w:val="TestTableText"/>
            </w:pPr>
            <w:r w:rsidRPr="003075C7">
              <w:t>Test procedure in brief</w:t>
            </w:r>
          </w:p>
        </w:tc>
        <w:tc>
          <w:tcPr>
            <w:tcW w:w="4000" w:type="pct"/>
            <w:vAlign w:val="center"/>
          </w:tcPr>
          <w:p w14:paraId="2E03C003" w14:textId="77777777" w:rsidR="00D603BA" w:rsidRPr="003075C7" w:rsidRDefault="00D603BA" w:rsidP="00D603BA">
            <w:pPr>
              <w:pStyle w:val="TestTableText"/>
            </w:pPr>
            <w:r w:rsidRPr="003075C7">
              <w:t>The EUT shall be supported in its normal operating position inside a closed test chamber which contains a suspension of talcum powder. The amount of talcum powder shall be 2</w:t>
            </w:r>
            <w:r>
              <w:t> </w:t>
            </w:r>
            <w:r w:rsidRPr="003075C7">
              <w:t>kg per cubic metre of test chamber volume. The particle size of the talcum powder shall be such that the powder shall be able to pass through a square-meshed sieve with nominal wire diameter of 50</w:t>
            </w:r>
            <w:r>
              <w:t> </w:t>
            </w:r>
            <w:r w:rsidRPr="003075C7">
              <w:t>µm and nominal inter-wire gap width of 75</w:t>
            </w:r>
            <w:r>
              <w:t> </w:t>
            </w:r>
            <w:r w:rsidRPr="003075C7">
              <w:t>µm.</w:t>
            </w:r>
          </w:p>
          <w:p w14:paraId="60E9EE82" w14:textId="77777777" w:rsidR="00D603BA" w:rsidRPr="003075C7" w:rsidRDefault="00D603BA" w:rsidP="00D603BA">
            <w:pPr>
              <w:pStyle w:val="TestTableText"/>
            </w:pPr>
            <w:r w:rsidRPr="003075C7">
              <w:t>The EUT shall be in non-operating condition. The same atmospheric pressure shall be maintained inside the meter as outside.</w:t>
            </w:r>
          </w:p>
          <w:p w14:paraId="096FCCA5" w14:textId="77777777" w:rsidR="00D603BA" w:rsidRPr="003075C7" w:rsidRDefault="00D603BA" w:rsidP="00D603BA">
            <w:pPr>
              <w:pStyle w:val="TestTableText"/>
            </w:pPr>
            <w:r w:rsidRPr="003075C7">
              <w:t>At the conclusion of the test, a visual inspection of the meter interior shall be carried out, and the meter function tested.</w:t>
            </w:r>
          </w:p>
        </w:tc>
      </w:tr>
      <w:tr w:rsidR="00D603BA" w:rsidRPr="003075C7" w14:paraId="5D1E9953" w14:textId="77777777" w:rsidTr="00B43AE5">
        <w:tc>
          <w:tcPr>
            <w:tcW w:w="1000" w:type="pct"/>
            <w:shd w:val="clear" w:color="auto" w:fill="F0DCDC"/>
          </w:tcPr>
          <w:p w14:paraId="29FC39ED" w14:textId="77777777" w:rsidR="00D603BA" w:rsidRPr="003075C7" w:rsidRDefault="00D603BA" w:rsidP="00D603BA">
            <w:pPr>
              <w:pStyle w:val="TestTableText"/>
            </w:pPr>
            <w:r w:rsidRPr="003075C7">
              <w:t>Enclosure category</w:t>
            </w:r>
          </w:p>
        </w:tc>
        <w:tc>
          <w:tcPr>
            <w:tcW w:w="4000" w:type="pct"/>
            <w:vAlign w:val="center"/>
          </w:tcPr>
          <w:p w14:paraId="4C470F31" w14:textId="77777777" w:rsidR="00D603BA" w:rsidRPr="003075C7" w:rsidRDefault="00D603BA" w:rsidP="00D603BA">
            <w:pPr>
              <w:pStyle w:val="TestTableText"/>
            </w:pPr>
            <w:r w:rsidRPr="003075C7">
              <w:t>2</w:t>
            </w:r>
          </w:p>
        </w:tc>
      </w:tr>
      <w:tr w:rsidR="00D603BA" w:rsidRPr="003075C7" w14:paraId="098F4457" w14:textId="77777777" w:rsidTr="00B43AE5">
        <w:tc>
          <w:tcPr>
            <w:tcW w:w="1000" w:type="pct"/>
            <w:shd w:val="clear" w:color="auto" w:fill="F0DCDC"/>
          </w:tcPr>
          <w:p w14:paraId="79ECECC6" w14:textId="77777777" w:rsidR="00D603BA" w:rsidRPr="003075C7" w:rsidRDefault="00D603BA" w:rsidP="00D603BA">
            <w:pPr>
              <w:pStyle w:val="TestTableText"/>
            </w:pPr>
            <w:r w:rsidRPr="003075C7">
              <w:t>Duration</w:t>
            </w:r>
          </w:p>
        </w:tc>
        <w:tc>
          <w:tcPr>
            <w:tcW w:w="4000" w:type="pct"/>
            <w:vAlign w:val="center"/>
          </w:tcPr>
          <w:p w14:paraId="11447027" w14:textId="77777777" w:rsidR="00D603BA" w:rsidRPr="003075C7" w:rsidRDefault="00D603BA" w:rsidP="00D603BA">
            <w:pPr>
              <w:pStyle w:val="TestTableText"/>
            </w:pPr>
            <w:r w:rsidRPr="003075C7">
              <w:t>8</w:t>
            </w:r>
            <w:r>
              <w:t xml:space="preserve"> h</w:t>
            </w:r>
          </w:p>
        </w:tc>
      </w:tr>
    </w:tbl>
    <w:p w14:paraId="583D6B9C" w14:textId="77777777" w:rsidR="008774B5" w:rsidRDefault="008774B5" w:rsidP="00481FE8">
      <w:bookmarkStart w:id="38" w:name="_Ref211412354"/>
      <w:bookmarkStart w:id="39" w:name="_Ref222807833"/>
      <w:bookmarkStart w:id="40" w:name="_Toc291768445"/>
      <w:bookmarkStart w:id="41" w:name="_Toc291769512"/>
      <w:r>
        <w:br w:type="page"/>
      </w:r>
    </w:p>
    <w:p w14:paraId="47562DBE" w14:textId="77777777" w:rsidR="00D603BA" w:rsidRPr="004D23A4" w:rsidRDefault="00D603BA" w:rsidP="00D603BA">
      <w:pPr>
        <w:pStyle w:val="HeadingAnnexC"/>
      </w:pPr>
      <w:r w:rsidRPr="004D23A4">
        <w:t>Vibration (Sinusoidal) Test</w:t>
      </w:r>
      <w:bookmarkEnd w:id="38"/>
      <w:bookmarkEnd w:id="39"/>
      <w:bookmarkEnd w:id="40"/>
      <w:bookmarkEnd w:id="41"/>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603BA" w:rsidRPr="003075C7" w14:paraId="243FA9E8" w14:textId="77777777" w:rsidTr="00B43AE5">
        <w:tc>
          <w:tcPr>
            <w:tcW w:w="1000" w:type="pct"/>
            <w:shd w:val="clear" w:color="auto" w:fill="F0DCDC"/>
          </w:tcPr>
          <w:p w14:paraId="5025A558" w14:textId="77777777" w:rsidR="00D603BA" w:rsidRPr="003075C7" w:rsidRDefault="00D603BA" w:rsidP="00D603BA">
            <w:pPr>
              <w:pStyle w:val="TestTableText"/>
            </w:pPr>
            <w:r w:rsidRPr="003075C7">
              <w:t>Applicable standards</w:t>
            </w:r>
          </w:p>
        </w:tc>
        <w:tc>
          <w:tcPr>
            <w:tcW w:w="4000" w:type="pct"/>
            <w:tcMar>
              <w:left w:w="57" w:type="dxa"/>
            </w:tcMar>
            <w:vAlign w:val="center"/>
          </w:tcPr>
          <w:p w14:paraId="4F44FA35" w14:textId="77777777" w:rsidR="00D603BA" w:rsidRPr="003075C7" w:rsidRDefault="00D603BA" w:rsidP="005E6FB9">
            <w:pPr>
              <w:pStyle w:val="TestTableText"/>
            </w:pPr>
            <w:r w:rsidRPr="003075C7">
              <w:t xml:space="preserve">AS 60068.2.6 </w:t>
            </w:r>
            <w:r w:rsidR="005E6FB9">
              <w:t>[18]</w:t>
            </w:r>
          </w:p>
        </w:tc>
      </w:tr>
      <w:tr w:rsidR="00D603BA" w:rsidRPr="003075C7" w14:paraId="0CE79FBF" w14:textId="77777777" w:rsidTr="00B43AE5">
        <w:tc>
          <w:tcPr>
            <w:tcW w:w="1000" w:type="pct"/>
            <w:shd w:val="clear" w:color="auto" w:fill="F0DCDC"/>
          </w:tcPr>
          <w:p w14:paraId="3965FD47" w14:textId="77777777" w:rsidR="00D603BA" w:rsidRPr="003075C7" w:rsidRDefault="00D603BA" w:rsidP="00D603BA">
            <w:pPr>
              <w:pStyle w:val="TestTableText"/>
            </w:pPr>
            <w:r w:rsidRPr="003075C7">
              <w:t>Object of test</w:t>
            </w:r>
          </w:p>
        </w:tc>
        <w:tc>
          <w:tcPr>
            <w:tcW w:w="4000" w:type="pct"/>
            <w:tcMar>
              <w:left w:w="57" w:type="dxa"/>
            </w:tcMar>
            <w:vAlign w:val="center"/>
          </w:tcPr>
          <w:p w14:paraId="18B25806" w14:textId="77777777" w:rsidR="00D603BA" w:rsidRPr="003075C7" w:rsidRDefault="00D603BA" w:rsidP="008774B5">
            <w:pPr>
              <w:pStyle w:val="TestTableText"/>
            </w:pPr>
            <w:r w:rsidRPr="003075C7">
              <w:t>To verify performance of the EUT under conditions of sinusoidal vibration. After the test, the EUT shall show no damage or change of information and shall operate correctly.</w:t>
            </w:r>
          </w:p>
        </w:tc>
      </w:tr>
      <w:tr w:rsidR="00D603BA" w:rsidRPr="003075C7" w14:paraId="7C1AFA39" w14:textId="77777777" w:rsidTr="00B43AE5">
        <w:tc>
          <w:tcPr>
            <w:tcW w:w="1000" w:type="pct"/>
            <w:shd w:val="clear" w:color="auto" w:fill="F0DCDC"/>
          </w:tcPr>
          <w:p w14:paraId="2CE81364" w14:textId="77777777" w:rsidR="00D603BA" w:rsidRPr="003075C7" w:rsidRDefault="00D603BA" w:rsidP="00D603BA">
            <w:pPr>
              <w:pStyle w:val="TestTableText"/>
            </w:pPr>
            <w:r w:rsidRPr="003075C7">
              <w:t>Test procedure in brief</w:t>
            </w:r>
          </w:p>
        </w:tc>
        <w:tc>
          <w:tcPr>
            <w:tcW w:w="4000" w:type="pct"/>
            <w:tcMar>
              <w:left w:w="57" w:type="dxa"/>
            </w:tcMar>
            <w:vAlign w:val="center"/>
          </w:tcPr>
          <w:p w14:paraId="5E3CB539" w14:textId="77777777" w:rsidR="00D603BA" w:rsidRPr="003075C7" w:rsidRDefault="00D603BA" w:rsidP="008774B5">
            <w:pPr>
              <w:pStyle w:val="TestTableText"/>
            </w:pPr>
            <w:r w:rsidRPr="003075C7">
              <w:t>The EUT shall be tested by sweeping the frequency in the specified frequency range, at 1 octave/min, at the specified acceleration level with a specified number of sweep cycles per axis. The EUT shall be tested in three, mutually perpendicular main axes mounted on a rigid fixture by its normal mounting means. It shall normally be mounted so that the gravitational force acts in the same direction as it would in normal use. Where the effect of gravitational force is not important, the EUT may be mounted in any position.</w:t>
            </w:r>
          </w:p>
          <w:p w14:paraId="5A013A00" w14:textId="77777777" w:rsidR="00D603BA" w:rsidRPr="003075C7" w:rsidRDefault="00D603BA" w:rsidP="008774B5">
            <w:pPr>
              <w:pStyle w:val="TestTableText"/>
            </w:pPr>
            <w:r w:rsidRPr="003075C7">
              <w:t>The test shall be carried out with the EUT in non-operating condition and without packing materials.</w:t>
            </w:r>
          </w:p>
        </w:tc>
      </w:tr>
      <w:tr w:rsidR="00D603BA" w:rsidRPr="003075C7" w14:paraId="3A6AB579" w14:textId="77777777" w:rsidTr="00B43AE5">
        <w:tc>
          <w:tcPr>
            <w:tcW w:w="1000" w:type="pct"/>
            <w:shd w:val="clear" w:color="auto" w:fill="F0DCDC"/>
          </w:tcPr>
          <w:p w14:paraId="31FE4FF3" w14:textId="77777777" w:rsidR="00D603BA" w:rsidRPr="003075C7" w:rsidRDefault="00D603BA" w:rsidP="00D603BA">
            <w:pPr>
              <w:pStyle w:val="TestTableText"/>
            </w:pPr>
            <w:r w:rsidRPr="003075C7">
              <w:t>Severity level</w:t>
            </w:r>
          </w:p>
        </w:tc>
        <w:tc>
          <w:tcPr>
            <w:tcW w:w="4000" w:type="pct"/>
            <w:tcMar>
              <w:left w:w="57" w:type="dxa"/>
            </w:tcMar>
            <w:vAlign w:val="center"/>
          </w:tcPr>
          <w:p w14:paraId="044DDED8" w14:textId="77777777" w:rsidR="00D603BA" w:rsidRPr="003075C7" w:rsidRDefault="00D603BA" w:rsidP="008774B5">
            <w:pPr>
              <w:pStyle w:val="TestTableText"/>
            </w:pPr>
            <w:r w:rsidRPr="003075C7">
              <w:t>2</w:t>
            </w:r>
          </w:p>
        </w:tc>
      </w:tr>
      <w:tr w:rsidR="00D603BA" w:rsidRPr="003075C7" w14:paraId="61978CA2" w14:textId="77777777" w:rsidTr="00B43AE5">
        <w:tc>
          <w:tcPr>
            <w:tcW w:w="1000" w:type="pct"/>
            <w:shd w:val="clear" w:color="auto" w:fill="F0DCDC"/>
          </w:tcPr>
          <w:p w14:paraId="2AC0B4DB" w14:textId="77777777" w:rsidR="00D603BA" w:rsidRPr="003075C7" w:rsidRDefault="00D603BA" w:rsidP="00D603BA">
            <w:pPr>
              <w:pStyle w:val="TestTableText"/>
            </w:pPr>
            <w:r w:rsidRPr="003075C7">
              <w:t>Frequency range</w:t>
            </w:r>
          </w:p>
        </w:tc>
        <w:tc>
          <w:tcPr>
            <w:tcW w:w="4000" w:type="pct"/>
            <w:tcMar>
              <w:left w:w="57" w:type="dxa"/>
            </w:tcMar>
            <w:vAlign w:val="center"/>
          </w:tcPr>
          <w:p w14:paraId="3DE6FD7D" w14:textId="77777777" w:rsidR="00D603BA" w:rsidRPr="003075C7" w:rsidRDefault="00D603BA" w:rsidP="008774B5">
            <w:pPr>
              <w:pStyle w:val="TestTableText"/>
            </w:pPr>
            <w:r w:rsidRPr="003075C7">
              <w:t>10–150</w:t>
            </w:r>
            <w:r>
              <w:t xml:space="preserve"> </w:t>
            </w:r>
            <w:r w:rsidRPr="003075C7">
              <w:t>Hz</w:t>
            </w:r>
          </w:p>
        </w:tc>
      </w:tr>
      <w:tr w:rsidR="00D603BA" w:rsidRPr="003075C7" w14:paraId="20C0D9C9" w14:textId="77777777" w:rsidTr="00B43AE5">
        <w:tc>
          <w:tcPr>
            <w:tcW w:w="1000" w:type="pct"/>
            <w:shd w:val="clear" w:color="auto" w:fill="F0DCDC"/>
          </w:tcPr>
          <w:p w14:paraId="0DFB1618" w14:textId="77777777" w:rsidR="00D603BA" w:rsidRPr="003075C7" w:rsidRDefault="00D603BA" w:rsidP="00D603BA">
            <w:pPr>
              <w:pStyle w:val="TestTableText"/>
            </w:pPr>
            <w:r w:rsidRPr="003075C7">
              <w:t>Max acceleration level</w:t>
            </w:r>
          </w:p>
        </w:tc>
        <w:tc>
          <w:tcPr>
            <w:tcW w:w="4000" w:type="pct"/>
            <w:tcMar>
              <w:left w:w="57" w:type="dxa"/>
            </w:tcMar>
            <w:vAlign w:val="center"/>
          </w:tcPr>
          <w:p w14:paraId="748B5821" w14:textId="77777777" w:rsidR="00D603BA" w:rsidRPr="003075C7" w:rsidRDefault="00D603BA" w:rsidP="008774B5">
            <w:pPr>
              <w:pStyle w:val="TestTableText"/>
              <w:rPr>
                <w:vertAlign w:val="superscript"/>
              </w:rPr>
            </w:pPr>
            <w:r w:rsidRPr="003075C7">
              <w:t>10</w:t>
            </w:r>
            <w:r>
              <w:t xml:space="preserve"> </w:t>
            </w:r>
            <w:r w:rsidRPr="003075C7">
              <w:t>m</w:t>
            </w:r>
            <w:r>
              <w:t>/</w:t>
            </w:r>
            <w:r w:rsidRPr="003075C7">
              <w:t>s</w:t>
            </w:r>
            <w:r w:rsidRPr="003075C7">
              <w:rPr>
                <w:vertAlign w:val="superscript"/>
              </w:rPr>
              <w:t>2</w:t>
            </w:r>
          </w:p>
        </w:tc>
      </w:tr>
      <w:tr w:rsidR="00D603BA" w:rsidRPr="003075C7" w14:paraId="31027A27" w14:textId="77777777" w:rsidTr="00B43AE5">
        <w:tc>
          <w:tcPr>
            <w:tcW w:w="1000" w:type="pct"/>
            <w:shd w:val="clear" w:color="auto" w:fill="F0DCDC"/>
          </w:tcPr>
          <w:p w14:paraId="216FA7CC" w14:textId="77777777" w:rsidR="00D603BA" w:rsidRPr="003075C7" w:rsidRDefault="00D603BA" w:rsidP="00D603BA">
            <w:pPr>
              <w:pStyle w:val="TestTableText"/>
            </w:pPr>
            <w:r w:rsidRPr="003075C7">
              <w:t>Number of sweep cycles per axis</w:t>
            </w:r>
          </w:p>
        </w:tc>
        <w:tc>
          <w:tcPr>
            <w:tcW w:w="4000" w:type="pct"/>
            <w:tcMar>
              <w:left w:w="57" w:type="dxa"/>
            </w:tcMar>
            <w:vAlign w:val="center"/>
          </w:tcPr>
          <w:p w14:paraId="5385044A" w14:textId="77777777" w:rsidR="00D603BA" w:rsidRPr="003075C7" w:rsidRDefault="00D603BA" w:rsidP="008774B5">
            <w:pPr>
              <w:pStyle w:val="TestTableText"/>
            </w:pPr>
            <w:r w:rsidRPr="003075C7">
              <w:t>10</w:t>
            </w:r>
          </w:p>
        </w:tc>
      </w:tr>
      <w:tr w:rsidR="00D603BA" w:rsidRPr="003075C7" w14:paraId="4F87CF84" w14:textId="77777777" w:rsidTr="00B43AE5">
        <w:tc>
          <w:tcPr>
            <w:tcW w:w="1000" w:type="pct"/>
            <w:shd w:val="clear" w:color="auto" w:fill="F0DCDC"/>
          </w:tcPr>
          <w:p w14:paraId="4714F9E4" w14:textId="77777777" w:rsidR="00D603BA" w:rsidRPr="003075C7" w:rsidRDefault="00D603BA" w:rsidP="008774B5">
            <w:pPr>
              <w:pStyle w:val="TestTableText"/>
              <w:keepNext w:val="0"/>
            </w:pPr>
            <w:r w:rsidRPr="003075C7">
              <w:t xml:space="preserve">Additional </w:t>
            </w:r>
            <w:r>
              <w:t>information</w:t>
            </w:r>
          </w:p>
        </w:tc>
        <w:tc>
          <w:tcPr>
            <w:tcW w:w="4000" w:type="pct"/>
            <w:tcMar>
              <w:left w:w="57" w:type="dxa"/>
              <w:right w:w="0" w:type="dxa"/>
            </w:tcMar>
            <w:vAlign w:val="center"/>
          </w:tcPr>
          <w:p w14:paraId="0AC383DC" w14:textId="77777777" w:rsidR="00D603BA" w:rsidRPr="003075C7" w:rsidRDefault="00D603BA" w:rsidP="008774B5">
            <w:pPr>
              <w:pStyle w:val="TestTableText"/>
            </w:pPr>
            <w:r w:rsidRPr="003075C7">
              <w:t>Single point control should be used.</w:t>
            </w:r>
          </w:p>
          <w:p w14:paraId="09A65535" w14:textId="77777777" w:rsidR="00D603BA" w:rsidRPr="003075C7" w:rsidRDefault="00D603BA" w:rsidP="008774B5">
            <w:pPr>
              <w:pStyle w:val="TestTableText"/>
            </w:pPr>
            <w:r w:rsidRPr="003075C7">
              <w:t xml:space="preserve">For frequency </w:t>
            </w:r>
            <w:r>
              <w:t xml:space="preserve">&lt; </w:t>
            </w:r>
            <w:r w:rsidRPr="003075C7">
              <w:t>60 Hz, constant amplitude of movement 0.075 mm.</w:t>
            </w:r>
          </w:p>
          <w:p w14:paraId="4D1F9444" w14:textId="77777777" w:rsidR="00D603BA" w:rsidRPr="002C2BBA" w:rsidRDefault="00D603BA" w:rsidP="008774B5">
            <w:pPr>
              <w:pStyle w:val="TestTableText"/>
            </w:pPr>
            <w:r w:rsidRPr="003075C7">
              <w:t xml:space="preserve">For frequency </w:t>
            </w:r>
            <w:r>
              <w:t xml:space="preserve">&gt; </w:t>
            </w:r>
            <w:r w:rsidRPr="003075C7">
              <w:t>60 Hz, constant acceleration of 9.8 m/s</w:t>
            </w:r>
            <w:r w:rsidRPr="003075C7">
              <w:rPr>
                <w:vertAlign w:val="superscript"/>
              </w:rPr>
              <w:t>2</w:t>
            </w:r>
            <w:r>
              <w:t>.</w:t>
            </w:r>
          </w:p>
        </w:tc>
      </w:tr>
    </w:tbl>
    <w:p w14:paraId="2830DA7D" w14:textId="77777777" w:rsidR="008774B5" w:rsidRPr="004D23A4" w:rsidRDefault="008774B5" w:rsidP="008774B5">
      <w:pPr>
        <w:pStyle w:val="HeadingAnnexC"/>
      </w:pPr>
      <w:r w:rsidRPr="004D23A4">
        <w:t>Mechanical Shock Test</w:t>
      </w:r>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8774B5" w:rsidRPr="003075C7" w14:paraId="2758CB0D" w14:textId="77777777" w:rsidTr="00B43AE5">
        <w:tc>
          <w:tcPr>
            <w:tcW w:w="1000" w:type="pct"/>
            <w:shd w:val="clear" w:color="auto" w:fill="F0DCDC"/>
            <w:tcMar>
              <w:left w:w="57" w:type="dxa"/>
              <w:right w:w="28" w:type="dxa"/>
            </w:tcMar>
          </w:tcPr>
          <w:p w14:paraId="753AB796" w14:textId="77777777" w:rsidR="008774B5" w:rsidRPr="003075C7" w:rsidRDefault="008774B5" w:rsidP="008774B5">
            <w:pPr>
              <w:pStyle w:val="TestTableText"/>
            </w:pPr>
            <w:r w:rsidRPr="003075C7">
              <w:t>Applicable standards</w:t>
            </w:r>
          </w:p>
        </w:tc>
        <w:tc>
          <w:tcPr>
            <w:tcW w:w="4000" w:type="pct"/>
            <w:vAlign w:val="center"/>
          </w:tcPr>
          <w:p w14:paraId="68A1EEF3" w14:textId="77777777" w:rsidR="008774B5" w:rsidRPr="003075C7" w:rsidRDefault="008774B5" w:rsidP="008774B5">
            <w:pPr>
              <w:pStyle w:val="TestTableText"/>
            </w:pPr>
            <w:r w:rsidRPr="003075C7">
              <w:t xml:space="preserve">AS 60068.2.27 </w:t>
            </w:r>
            <w:r>
              <w:t>[19]</w:t>
            </w:r>
          </w:p>
        </w:tc>
      </w:tr>
      <w:tr w:rsidR="008774B5" w:rsidRPr="003075C7" w14:paraId="24691C03" w14:textId="77777777" w:rsidTr="00B43AE5">
        <w:tc>
          <w:tcPr>
            <w:tcW w:w="1000" w:type="pct"/>
            <w:shd w:val="clear" w:color="auto" w:fill="F0DCDC"/>
            <w:tcMar>
              <w:left w:w="57" w:type="dxa"/>
              <w:right w:w="28" w:type="dxa"/>
            </w:tcMar>
          </w:tcPr>
          <w:p w14:paraId="14728558" w14:textId="77777777" w:rsidR="008774B5" w:rsidRPr="003075C7" w:rsidRDefault="008774B5" w:rsidP="008774B5">
            <w:pPr>
              <w:pStyle w:val="TestTableText"/>
            </w:pPr>
            <w:r w:rsidRPr="003075C7">
              <w:t>Object of test</w:t>
            </w:r>
          </w:p>
        </w:tc>
        <w:tc>
          <w:tcPr>
            <w:tcW w:w="4000" w:type="pct"/>
            <w:vAlign w:val="center"/>
          </w:tcPr>
          <w:p w14:paraId="08724FB9" w14:textId="77777777" w:rsidR="008774B5" w:rsidRPr="003075C7" w:rsidRDefault="008774B5" w:rsidP="008774B5">
            <w:pPr>
              <w:pStyle w:val="TestTableText"/>
              <w:rPr>
                <w:b/>
              </w:rPr>
            </w:pPr>
            <w:r w:rsidRPr="003075C7">
              <w:t>To verify performance of the EUT under conditions of non-repetitive mechanical shocks likely to be encountered during transportation or operation. After the test, the meter shall show no damage or change of information and shall operate correctly.</w:t>
            </w:r>
          </w:p>
        </w:tc>
      </w:tr>
      <w:tr w:rsidR="008774B5" w:rsidRPr="003075C7" w14:paraId="5C9D3815" w14:textId="77777777" w:rsidTr="00B43AE5">
        <w:tc>
          <w:tcPr>
            <w:tcW w:w="1000" w:type="pct"/>
            <w:shd w:val="clear" w:color="auto" w:fill="F0DCDC"/>
            <w:tcMar>
              <w:left w:w="57" w:type="dxa"/>
              <w:right w:w="28" w:type="dxa"/>
            </w:tcMar>
          </w:tcPr>
          <w:p w14:paraId="6F647495" w14:textId="77777777" w:rsidR="008774B5" w:rsidRPr="003075C7" w:rsidRDefault="008774B5" w:rsidP="008774B5">
            <w:pPr>
              <w:pStyle w:val="TestTableText"/>
            </w:pPr>
            <w:r w:rsidRPr="003075C7">
              <w:t>Test procedure in brief</w:t>
            </w:r>
          </w:p>
        </w:tc>
        <w:tc>
          <w:tcPr>
            <w:tcW w:w="4000" w:type="pct"/>
            <w:vAlign w:val="center"/>
          </w:tcPr>
          <w:p w14:paraId="7BD95BA1" w14:textId="77777777" w:rsidR="008774B5" w:rsidRPr="003075C7" w:rsidRDefault="008774B5" w:rsidP="008774B5">
            <w:pPr>
              <w:pStyle w:val="TestTableText"/>
            </w:pPr>
            <w:r w:rsidRPr="003075C7">
              <w:t>The EUT is fastened by its normal mounting means to a fixture or to the table of the shock-testing machine and a series of pulses are applied to the fixing point closest to the centre of the table surface of the shock-testing machine. Three successive shocks are applied in each direction of three mutually perpendicular axes of the specimen (total of 18 shocks). The EUT is to be in non-operating condition and w</w:t>
            </w:r>
            <w:r>
              <w:t>ithout packing during the test.</w:t>
            </w:r>
          </w:p>
        </w:tc>
      </w:tr>
      <w:tr w:rsidR="008774B5" w:rsidRPr="003075C7" w14:paraId="6D0DF2A8" w14:textId="77777777" w:rsidTr="00B43AE5">
        <w:tc>
          <w:tcPr>
            <w:tcW w:w="1000" w:type="pct"/>
            <w:shd w:val="clear" w:color="auto" w:fill="F0DCDC"/>
            <w:tcMar>
              <w:left w:w="57" w:type="dxa"/>
              <w:right w:w="28" w:type="dxa"/>
            </w:tcMar>
          </w:tcPr>
          <w:p w14:paraId="167D5C91" w14:textId="77777777" w:rsidR="008774B5" w:rsidRPr="003075C7" w:rsidRDefault="008774B5" w:rsidP="008774B5">
            <w:pPr>
              <w:pStyle w:val="TestTableText"/>
            </w:pPr>
            <w:r w:rsidRPr="003075C7">
              <w:t>Severity level</w:t>
            </w:r>
          </w:p>
        </w:tc>
        <w:tc>
          <w:tcPr>
            <w:tcW w:w="4000" w:type="pct"/>
            <w:vAlign w:val="center"/>
          </w:tcPr>
          <w:p w14:paraId="6254DF78" w14:textId="77777777" w:rsidR="008774B5" w:rsidRPr="003075C7" w:rsidRDefault="008774B5" w:rsidP="008774B5">
            <w:pPr>
              <w:pStyle w:val="TestTableText"/>
            </w:pPr>
            <w:r w:rsidRPr="003075C7">
              <w:t>1</w:t>
            </w:r>
          </w:p>
        </w:tc>
      </w:tr>
      <w:tr w:rsidR="008774B5" w:rsidRPr="003075C7" w14:paraId="625BD4BC" w14:textId="77777777" w:rsidTr="00B43AE5">
        <w:tc>
          <w:tcPr>
            <w:tcW w:w="1000" w:type="pct"/>
            <w:shd w:val="clear" w:color="auto" w:fill="F0DCDC"/>
            <w:tcMar>
              <w:left w:w="57" w:type="dxa"/>
              <w:right w:w="28" w:type="dxa"/>
            </w:tcMar>
          </w:tcPr>
          <w:p w14:paraId="4B22FEBB" w14:textId="77777777" w:rsidR="008774B5" w:rsidRPr="003075C7" w:rsidRDefault="008774B5" w:rsidP="008774B5">
            <w:pPr>
              <w:pStyle w:val="TestTableText"/>
            </w:pPr>
            <w:r w:rsidRPr="003075C7">
              <w:t>Pulse shape</w:t>
            </w:r>
          </w:p>
        </w:tc>
        <w:tc>
          <w:tcPr>
            <w:tcW w:w="4000" w:type="pct"/>
            <w:vAlign w:val="center"/>
          </w:tcPr>
          <w:p w14:paraId="189334C3" w14:textId="77777777" w:rsidR="008774B5" w:rsidRPr="003075C7" w:rsidRDefault="008774B5" w:rsidP="008774B5">
            <w:pPr>
              <w:pStyle w:val="TestTableText"/>
            </w:pPr>
            <w:r w:rsidRPr="003075C7">
              <w:t>Half-sine</w:t>
            </w:r>
          </w:p>
        </w:tc>
      </w:tr>
      <w:tr w:rsidR="008774B5" w:rsidRPr="003075C7" w14:paraId="3E111125" w14:textId="77777777" w:rsidTr="00B43AE5">
        <w:tc>
          <w:tcPr>
            <w:tcW w:w="1000" w:type="pct"/>
            <w:shd w:val="clear" w:color="auto" w:fill="F0DCDC"/>
            <w:tcMar>
              <w:left w:w="57" w:type="dxa"/>
              <w:right w:w="28" w:type="dxa"/>
            </w:tcMar>
          </w:tcPr>
          <w:p w14:paraId="77FD1D77" w14:textId="77777777" w:rsidR="008774B5" w:rsidRPr="003075C7" w:rsidRDefault="008774B5" w:rsidP="008774B5">
            <w:pPr>
              <w:pStyle w:val="TestTableText"/>
            </w:pPr>
            <w:r w:rsidRPr="003075C7">
              <w:t>Peak acceleration</w:t>
            </w:r>
          </w:p>
        </w:tc>
        <w:tc>
          <w:tcPr>
            <w:tcW w:w="4000" w:type="pct"/>
            <w:vAlign w:val="center"/>
          </w:tcPr>
          <w:p w14:paraId="44605105" w14:textId="77777777" w:rsidR="008774B5" w:rsidRPr="003075C7" w:rsidRDefault="008774B5" w:rsidP="008774B5">
            <w:pPr>
              <w:pStyle w:val="TestTableText"/>
              <w:rPr>
                <w:vertAlign w:val="superscript"/>
              </w:rPr>
            </w:pPr>
            <w:r w:rsidRPr="003075C7">
              <w:t>300</w:t>
            </w:r>
            <w:r>
              <w:t xml:space="preserve"> </w:t>
            </w:r>
            <w:r w:rsidRPr="003075C7">
              <w:t>m</w:t>
            </w:r>
            <w:r>
              <w:t>/</w:t>
            </w:r>
            <w:r w:rsidRPr="003075C7">
              <w:t>s</w:t>
            </w:r>
            <w:r w:rsidRPr="003075C7">
              <w:rPr>
                <w:vertAlign w:val="superscript"/>
              </w:rPr>
              <w:t>2</w:t>
            </w:r>
          </w:p>
        </w:tc>
      </w:tr>
      <w:tr w:rsidR="008774B5" w:rsidRPr="003075C7" w14:paraId="03E97946" w14:textId="77777777" w:rsidTr="00B43AE5">
        <w:tc>
          <w:tcPr>
            <w:tcW w:w="1000" w:type="pct"/>
            <w:shd w:val="clear" w:color="auto" w:fill="F0DCDC"/>
            <w:tcMar>
              <w:left w:w="57" w:type="dxa"/>
              <w:right w:w="28" w:type="dxa"/>
            </w:tcMar>
          </w:tcPr>
          <w:p w14:paraId="2FCB9A99" w14:textId="77777777" w:rsidR="008774B5" w:rsidRPr="003075C7" w:rsidRDefault="008774B5" w:rsidP="008774B5">
            <w:pPr>
              <w:pStyle w:val="TestTableText"/>
              <w:keepNext w:val="0"/>
            </w:pPr>
            <w:r w:rsidRPr="003075C7">
              <w:t>Pulse duration</w:t>
            </w:r>
          </w:p>
        </w:tc>
        <w:tc>
          <w:tcPr>
            <w:tcW w:w="4000" w:type="pct"/>
            <w:vAlign w:val="center"/>
          </w:tcPr>
          <w:p w14:paraId="30F6B779" w14:textId="77777777" w:rsidR="008774B5" w:rsidRPr="003075C7" w:rsidRDefault="008774B5" w:rsidP="008774B5">
            <w:pPr>
              <w:pStyle w:val="TestTableText"/>
            </w:pPr>
            <w:r w:rsidRPr="003075C7">
              <w:t>18</w:t>
            </w:r>
            <w:r>
              <w:t xml:space="preserve"> </w:t>
            </w:r>
            <w:r w:rsidRPr="003075C7">
              <w:t>ms</w:t>
            </w:r>
          </w:p>
        </w:tc>
      </w:tr>
    </w:tbl>
    <w:p w14:paraId="2EDE1D84" w14:textId="77777777" w:rsidR="008774B5" w:rsidRPr="00442B72" w:rsidRDefault="008774B5" w:rsidP="008774B5">
      <w:pPr>
        <w:pStyle w:val="HeadingAnnexC"/>
      </w:pPr>
      <w:bookmarkStart w:id="42" w:name="_Ref195085860"/>
      <w:bookmarkStart w:id="43" w:name="_Ref197245993"/>
      <w:bookmarkStart w:id="44" w:name="_Toc291768447"/>
      <w:bookmarkStart w:id="45" w:name="_Toc291769514"/>
      <w:r w:rsidRPr="00442B72">
        <w:t>Radiated Electromagnetic (EM) Radiofrequency (RF) Fields</w:t>
      </w:r>
      <w:bookmarkEnd w:id="42"/>
      <w:bookmarkEnd w:id="43"/>
      <w:bookmarkEnd w:id="44"/>
      <w:bookmarkEnd w:id="45"/>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8774B5" w:rsidRPr="003075C7" w14:paraId="7AF6226B" w14:textId="77777777" w:rsidTr="00B43AE5">
        <w:tc>
          <w:tcPr>
            <w:tcW w:w="1000" w:type="pct"/>
            <w:shd w:val="clear" w:color="auto" w:fill="F0DCDC"/>
            <w:tcMar>
              <w:left w:w="57" w:type="dxa"/>
              <w:right w:w="28" w:type="dxa"/>
            </w:tcMar>
          </w:tcPr>
          <w:p w14:paraId="1A1F1571" w14:textId="77777777" w:rsidR="008774B5" w:rsidRPr="003075C7" w:rsidRDefault="008774B5" w:rsidP="008774B5">
            <w:pPr>
              <w:pStyle w:val="TestTableText"/>
            </w:pPr>
            <w:r w:rsidRPr="003075C7">
              <w:t>Applicable standards</w:t>
            </w:r>
          </w:p>
        </w:tc>
        <w:tc>
          <w:tcPr>
            <w:tcW w:w="4000" w:type="pct"/>
          </w:tcPr>
          <w:p w14:paraId="35864447" w14:textId="77777777" w:rsidR="008774B5" w:rsidRPr="009B524E" w:rsidRDefault="008774B5" w:rsidP="008774B5">
            <w:pPr>
              <w:pStyle w:val="TestTableText"/>
            </w:pPr>
            <w:r w:rsidRPr="009B524E">
              <w:t xml:space="preserve">AS/NZS 61000.4.3 </w:t>
            </w:r>
            <w:r>
              <w:t>[20]</w:t>
            </w:r>
          </w:p>
        </w:tc>
      </w:tr>
      <w:tr w:rsidR="008774B5" w:rsidRPr="003075C7" w14:paraId="76C80A78" w14:textId="77777777" w:rsidTr="00B43AE5">
        <w:tc>
          <w:tcPr>
            <w:tcW w:w="1000" w:type="pct"/>
            <w:shd w:val="clear" w:color="auto" w:fill="F0DCDC"/>
            <w:tcMar>
              <w:left w:w="57" w:type="dxa"/>
              <w:right w:w="28" w:type="dxa"/>
            </w:tcMar>
          </w:tcPr>
          <w:p w14:paraId="4F935FC7" w14:textId="77777777" w:rsidR="008774B5" w:rsidRPr="003075C7" w:rsidRDefault="008774B5" w:rsidP="008774B5">
            <w:pPr>
              <w:pStyle w:val="TestTableText"/>
            </w:pPr>
            <w:r w:rsidRPr="003075C7">
              <w:t>Object of test</w:t>
            </w:r>
          </w:p>
        </w:tc>
        <w:tc>
          <w:tcPr>
            <w:tcW w:w="4000" w:type="pct"/>
          </w:tcPr>
          <w:p w14:paraId="63CE2756" w14:textId="77777777" w:rsidR="008774B5" w:rsidRPr="003075C7" w:rsidRDefault="008774B5" w:rsidP="008774B5">
            <w:pPr>
              <w:pStyle w:val="TestTableText"/>
            </w:pPr>
            <w:r w:rsidRPr="003075C7">
              <w:t xml:space="preserve">To verify compliance with the limits of variation in error specified in </w:t>
            </w:r>
            <w:r>
              <w:br/>
              <w:t>Table 4</w:t>
            </w:r>
            <w:r w:rsidRPr="003075C7">
              <w:t xml:space="preserve"> under conditions of radiated EM fields. In addition, during the test, the behaviour of the equipment shall not be perturbed.</w:t>
            </w:r>
          </w:p>
        </w:tc>
      </w:tr>
      <w:tr w:rsidR="008774B5" w:rsidRPr="003075C7" w14:paraId="4DDE6C0A" w14:textId="77777777" w:rsidTr="00B43AE5">
        <w:tc>
          <w:tcPr>
            <w:tcW w:w="1000" w:type="pct"/>
            <w:shd w:val="clear" w:color="auto" w:fill="F0DCDC"/>
            <w:tcMar>
              <w:left w:w="57" w:type="dxa"/>
              <w:right w:w="28" w:type="dxa"/>
            </w:tcMar>
          </w:tcPr>
          <w:p w14:paraId="7346A3F0" w14:textId="77777777" w:rsidR="008774B5" w:rsidRPr="003075C7" w:rsidRDefault="008774B5" w:rsidP="008774B5">
            <w:pPr>
              <w:pStyle w:val="TestTableText"/>
            </w:pPr>
            <w:r w:rsidRPr="003075C7">
              <w:t>Test procedure in brief</w:t>
            </w:r>
          </w:p>
        </w:tc>
        <w:tc>
          <w:tcPr>
            <w:tcW w:w="4000" w:type="pct"/>
          </w:tcPr>
          <w:p w14:paraId="780C2240" w14:textId="77777777" w:rsidR="008774B5" w:rsidRPr="003075C7" w:rsidRDefault="008774B5" w:rsidP="008774B5">
            <w:pPr>
              <w:pStyle w:val="TestTableText"/>
              <w:rPr>
                <w:lang w:val="en-US"/>
              </w:rPr>
            </w:pPr>
            <w:r w:rsidRPr="003075C7">
              <w:t xml:space="preserve">The EUT shall be exposed to EM field strength as specified by the severity level and a field uniformity as defined by the referenced standard. </w:t>
            </w:r>
            <w:r w:rsidRPr="003075C7">
              <w:rPr>
                <w:lang w:val="en-US"/>
              </w:rPr>
              <w:t>The frequency range to be considered is swept with the modulated signal, pausing to adjust the RF signal level or to switch oscillators and antennae as necessary. Where the frequency range is swept incrementally, the step size shall not exceed 1</w:t>
            </w:r>
            <w:r>
              <w:rPr>
                <w:lang w:val="en-US"/>
              </w:rPr>
              <w:t>%</w:t>
            </w:r>
            <w:r w:rsidRPr="003075C7">
              <w:rPr>
                <w:lang w:val="en-US"/>
              </w:rPr>
              <w:t xml:space="preserve"> of the preceding frequency value. The dwell time of the amplitude modulated carrier at each frequency shall not be less than the time necessary for the EUT to be exercised and to respond, but shall in no case be less than 0.5 s. The sensitive frequencies (e.g. clock frequencies, frequencies emitted by the EUT) shall be analysed separately.</w:t>
            </w:r>
          </w:p>
          <w:p w14:paraId="048AD908" w14:textId="77777777" w:rsidR="008774B5" w:rsidRPr="003075C7" w:rsidRDefault="008774B5" w:rsidP="008774B5">
            <w:pPr>
              <w:pStyle w:val="TestTableText"/>
              <w:rPr>
                <w:lang w:val="en-US"/>
              </w:rPr>
            </w:pPr>
            <w:r w:rsidRPr="003075C7">
              <w:rPr>
                <w:lang w:val="en-US"/>
              </w:rPr>
              <w:t>The test shall normally be performed with the generating antenna facing each side of the EUT. When equipment can be used in different orientations, all sides shall be exposed to the field during the test. The polari</w:t>
            </w:r>
            <w:r>
              <w:rPr>
                <w:lang w:val="en-US"/>
              </w:rPr>
              <w:t>s</w:t>
            </w:r>
            <w:r w:rsidRPr="003075C7">
              <w:rPr>
                <w:lang w:val="en-US"/>
              </w:rPr>
              <w:t>ation of the field generated by each antenna necessitates testing each selected side twice, once with the antenna positioned vertically and again with the antenna positioned horizontally.</w:t>
            </w:r>
          </w:p>
          <w:p w14:paraId="5DB4AB0C" w14:textId="77777777" w:rsidR="008774B5" w:rsidRPr="003075C7" w:rsidRDefault="008774B5" w:rsidP="008774B5">
            <w:pPr>
              <w:pStyle w:val="TestTableText"/>
              <w:rPr>
                <w:lang w:val="en-US"/>
              </w:rPr>
            </w:pPr>
            <w:r w:rsidRPr="003075C7">
              <w:rPr>
                <w:lang w:val="en-US"/>
              </w:rPr>
              <w:t>For the test the EUT should be placed on a non-conductive table 0.8 m high and connected to power and signal wires according to relevant installation instructions. The test shall be carried out in a shielded enclosure to comply with international laws prohibiting interference to radio communications, and the shielded enclosure should also be used as a ‘barrier’ between the EUT and the required test instrumentation.</w:t>
            </w:r>
          </w:p>
          <w:p w14:paraId="7712CC77" w14:textId="77777777" w:rsidR="008774B5" w:rsidRPr="003075C7" w:rsidRDefault="008774B5" w:rsidP="007C176B">
            <w:pPr>
              <w:pStyle w:val="TestTableText"/>
              <w:numPr>
                <w:ilvl w:val="0"/>
                <w:numId w:val="21"/>
              </w:numPr>
            </w:pPr>
            <w:r w:rsidRPr="003075C7">
              <w:t>Test with current:</w:t>
            </w:r>
          </w:p>
          <w:p w14:paraId="273ADAA8" w14:textId="77777777" w:rsidR="008774B5" w:rsidRPr="003075C7" w:rsidRDefault="008774B5" w:rsidP="007C176B">
            <w:pPr>
              <w:pStyle w:val="TestTableText"/>
              <w:numPr>
                <w:ilvl w:val="0"/>
                <w:numId w:val="22"/>
              </w:numPr>
            </w:pPr>
            <w:r w:rsidRPr="003075C7">
              <w:t xml:space="preserve">Meter in operating condition, voltage and auxiliary circuits energised with reference voltage, basic current </w:t>
            </w:r>
            <w:r w:rsidRPr="001D2986">
              <w:rPr>
                <w:rFonts w:ascii="Cambria Math" w:hAnsi="Cambria Math"/>
                <w:i/>
              </w:rPr>
              <w:t>I</w:t>
            </w:r>
            <w:r w:rsidRPr="001D2986">
              <w:rPr>
                <w:rFonts w:ascii="Cambria Math" w:hAnsi="Cambria Math"/>
                <w:vertAlign w:val="subscript"/>
              </w:rPr>
              <w:t>b</w:t>
            </w:r>
            <w:r w:rsidRPr="003075C7">
              <w:t xml:space="preserve"> (or rated current </w:t>
            </w:r>
            <w:r w:rsidRPr="001D2986">
              <w:rPr>
                <w:rFonts w:ascii="Cambria Math" w:hAnsi="Cambria Math"/>
                <w:i/>
              </w:rPr>
              <w:t>I</w:t>
            </w:r>
            <w:r w:rsidRPr="001D2986">
              <w:rPr>
                <w:rFonts w:ascii="Cambria Math" w:hAnsi="Cambria Math"/>
                <w:vertAlign w:val="subscript"/>
              </w:rPr>
              <w:t>n</w:t>
            </w:r>
            <w:r w:rsidRPr="003075C7">
              <w:t xml:space="preserve"> as appropriate) and </w:t>
            </w:r>
            <w:r w:rsidRPr="001D2986">
              <w:rPr>
                <w:rFonts w:ascii="Cambria Math" w:hAnsi="Cambria Math"/>
              </w:rPr>
              <w:t>cos</w:t>
            </w:r>
            <w:r w:rsidR="001D2986" w:rsidRPr="001D2986">
              <w:rPr>
                <w:rFonts w:ascii="Cambria Math" w:hAnsi="Cambria Math"/>
              </w:rPr>
              <w:t> </w:t>
            </w:r>
            <w:r w:rsidRPr="001D2986">
              <w:rPr>
                <w:rFonts w:ascii="Cambria Math" w:hAnsi="Cambria Math"/>
              </w:rPr>
              <w:t>φ</w:t>
            </w:r>
            <w:r w:rsidRPr="003075C7">
              <w:t xml:space="preserve"> (or </w:t>
            </w:r>
            <w:r w:rsidRPr="001D2986">
              <w:rPr>
                <w:rFonts w:ascii="Cambria Math" w:hAnsi="Cambria Math"/>
              </w:rPr>
              <w:t>sin</w:t>
            </w:r>
            <w:r w:rsidR="001D2986">
              <w:rPr>
                <w:rFonts w:ascii="Cambria Math" w:hAnsi="Cambria Math"/>
              </w:rPr>
              <w:t> </w:t>
            </w:r>
            <w:r w:rsidRPr="001D2986">
              <w:rPr>
                <w:rFonts w:ascii="Cambria Math" w:hAnsi="Cambria Math"/>
              </w:rPr>
              <w:t>φ</w:t>
            </w:r>
            <w:r w:rsidRPr="003075C7">
              <w:t xml:space="preserve"> as appropriate) according to the values given in </w:t>
            </w:r>
            <w:r>
              <w:t>Table 4</w:t>
            </w:r>
            <w:r w:rsidRPr="003075C7">
              <w:t>.</w:t>
            </w:r>
          </w:p>
          <w:p w14:paraId="17E32864" w14:textId="77777777" w:rsidR="008774B5" w:rsidRPr="003075C7" w:rsidRDefault="008774B5" w:rsidP="007C176B">
            <w:pPr>
              <w:pStyle w:val="TestTableText"/>
              <w:numPr>
                <w:ilvl w:val="0"/>
                <w:numId w:val="22"/>
              </w:numPr>
            </w:pPr>
            <w:r w:rsidRPr="003075C7">
              <w:t>Unmodulated test field strength 10 V/m</w:t>
            </w:r>
            <w:r>
              <w:t>.</w:t>
            </w:r>
          </w:p>
          <w:p w14:paraId="00913124" w14:textId="77777777" w:rsidR="008774B5" w:rsidRPr="003075C7" w:rsidRDefault="008774B5" w:rsidP="007C176B">
            <w:pPr>
              <w:pStyle w:val="TestTableText"/>
              <w:numPr>
                <w:ilvl w:val="0"/>
                <w:numId w:val="21"/>
              </w:numPr>
            </w:pPr>
            <w:r w:rsidRPr="003075C7">
              <w:t>Test without any current:</w:t>
            </w:r>
          </w:p>
          <w:p w14:paraId="5D16D704" w14:textId="77777777" w:rsidR="008774B5" w:rsidRPr="003075C7" w:rsidRDefault="008774B5" w:rsidP="007C176B">
            <w:pPr>
              <w:pStyle w:val="TestTableText"/>
              <w:numPr>
                <w:ilvl w:val="0"/>
                <w:numId w:val="23"/>
              </w:numPr>
            </w:pPr>
            <w:r w:rsidRPr="003075C7">
              <w:t>Meter in operating condition, voltage and auxiliary circuits energised with reference voltage, without any current in the current circuits and the current terminals shall be open circuit.</w:t>
            </w:r>
          </w:p>
          <w:p w14:paraId="5043A359" w14:textId="77777777" w:rsidR="008774B5" w:rsidRPr="003075C7" w:rsidRDefault="008774B5" w:rsidP="007C176B">
            <w:pPr>
              <w:pStyle w:val="TestTableText"/>
              <w:numPr>
                <w:ilvl w:val="0"/>
                <w:numId w:val="23"/>
              </w:numPr>
            </w:pPr>
            <w:r w:rsidRPr="003075C7">
              <w:t>Unmodulated test field strength 30 V/m</w:t>
            </w:r>
            <w:r>
              <w:t>.</w:t>
            </w:r>
          </w:p>
        </w:tc>
      </w:tr>
      <w:tr w:rsidR="008774B5" w:rsidRPr="003075C7" w14:paraId="0BC3FCA5" w14:textId="77777777" w:rsidTr="00B43AE5">
        <w:tc>
          <w:tcPr>
            <w:tcW w:w="1000" w:type="pct"/>
            <w:shd w:val="clear" w:color="auto" w:fill="F0DCDC"/>
            <w:tcMar>
              <w:left w:w="57" w:type="dxa"/>
              <w:right w:w="28" w:type="dxa"/>
            </w:tcMar>
          </w:tcPr>
          <w:p w14:paraId="68E3AC3F" w14:textId="77777777" w:rsidR="008774B5" w:rsidRPr="003075C7" w:rsidRDefault="008774B5" w:rsidP="008774B5">
            <w:pPr>
              <w:pStyle w:val="TestTableText"/>
            </w:pPr>
            <w:r w:rsidRPr="003075C7">
              <w:t>Frequency range</w:t>
            </w:r>
          </w:p>
        </w:tc>
        <w:tc>
          <w:tcPr>
            <w:tcW w:w="4000" w:type="pct"/>
          </w:tcPr>
          <w:p w14:paraId="0153ED51" w14:textId="77777777" w:rsidR="008774B5" w:rsidRPr="003075C7" w:rsidRDefault="008774B5" w:rsidP="008774B5">
            <w:pPr>
              <w:pStyle w:val="TestTableText"/>
            </w:pPr>
            <w:r w:rsidRPr="003075C7">
              <w:t>80–2400 MHz (continuous)</w:t>
            </w:r>
          </w:p>
        </w:tc>
      </w:tr>
      <w:tr w:rsidR="008774B5" w:rsidRPr="003075C7" w14:paraId="6638E1D7" w14:textId="77777777" w:rsidTr="00B43AE5">
        <w:tc>
          <w:tcPr>
            <w:tcW w:w="1000" w:type="pct"/>
            <w:shd w:val="clear" w:color="auto" w:fill="F0DCDC"/>
            <w:tcMar>
              <w:left w:w="57" w:type="dxa"/>
              <w:right w:w="28" w:type="dxa"/>
            </w:tcMar>
          </w:tcPr>
          <w:p w14:paraId="78BFEC9A" w14:textId="77777777" w:rsidR="008774B5" w:rsidRPr="003075C7" w:rsidRDefault="008774B5" w:rsidP="008774B5">
            <w:pPr>
              <w:pStyle w:val="TestTableText"/>
            </w:pPr>
            <w:r w:rsidRPr="003075C7">
              <w:t>Modulation</w:t>
            </w:r>
          </w:p>
        </w:tc>
        <w:tc>
          <w:tcPr>
            <w:tcW w:w="4000" w:type="pct"/>
          </w:tcPr>
          <w:p w14:paraId="75E4D128" w14:textId="77777777" w:rsidR="008774B5" w:rsidRPr="003075C7" w:rsidRDefault="008774B5" w:rsidP="008774B5">
            <w:pPr>
              <w:pStyle w:val="TestTableText"/>
            </w:pPr>
            <w:r w:rsidRPr="003075C7">
              <w:t>Carrier modulated with 80</w:t>
            </w:r>
            <w:r>
              <w:t>%</w:t>
            </w:r>
            <w:r w:rsidRPr="003075C7">
              <w:t xml:space="preserve"> AM at 1 kHz sine wave</w:t>
            </w:r>
          </w:p>
        </w:tc>
      </w:tr>
      <w:tr w:rsidR="008774B5" w:rsidRPr="003075C7" w14:paraId="0982AAAE" w14:textId="77777777" w:rsidTr="00B43AE5">
        <w:tc>
          <w:tcPr>
            <w:tcW w:w="1000" w:type="pct"/>
            <w:shd w:val="clear" w:color="auto" w:fill="F0DCDC"/>
            <w:tcMar>
              <w:left w:w="57" w:type="dxa"/>
              <w:right w:w="28" w:type="dxa"/>
            </w:tcMar>
          </w:tcPr>
          <w:p w14:paraId="2F3CEE1E" w14:textId="77777777" w:rsidR="008774B5" w:rsidRPr="003075C7" w:rsidRDefault="008774B5" w:rsidP="008774B5">
            <w:pPr>
              <w:pStyle w:val="TestTableText"/>
            </w:pPr>
            <w:r w:rsidRPr="003075C7">
              <w:t xml:space="preserve">Additional </w:t>
            </w:r>
            <w:r>
              <w:t>i</w:t>
            </w:r>
            <w:r w:rsidRPr="003075C7">
              <w:t>nformation</w:t>
            </w:r>
          </w:p>
        </w:tc>
        <w:tc>
          <w:tcPr>
            <w:tcW w:w="4000" w:type="pct"/>
          </w:tcPr>
          <w:p w14:paraId="4F87B5C9" w14:textId="77777777" w:rsidR="008774B5" w:rsidRPr="003075C7" w:rsidRDefault="008774B5" w:rsidP="008774B5">
            <w:pPr>
              <w:pStyle w:val="TestTableText"/>
              <w:rPr>
                <w:lang w:val="en-US"/>
              </w:rPr>
            </w:pPr>
            <w:r w:rsidRPr="003075C7">
              <w:rPr>
                <w:lang w:val="en-US"/>
              </w:rPr>
              <w:t>The EUT shall be tested within its intended operating and climatic conditions.</w:t>
            </w:r>
          </w:p>
          <w:p w14:paraId="2455C566" w14:textId="77777777" w:rsidR="008774B5" w:rsidRPr="003075C7" w:rsidRDefault="008774B5" w:rsidP="008774B5">
            <w:pPr>
              <w:pStyle w:val="TestTableText"/>
            </w:pPr>
            <w:r w:rsidRPr="003075C7">
              <w:t>Cable length exposed to the field: 1</w:t>
            </w:r>
            <w:r>
              <w:t xml:space="preserve"> </w:t>
            </w:r>
            <w:r w:rsidRPr="003075C7">
              <w:t>m</w:t>
            </w:r>
            <w:r>
              <w:t>.</w:t>
            </w:r>
          </w:p>
        </w:tc>
      </w:tr>
    </w:tbl>
    <w:p w14:paraId="74DA99C4" w14:textId="77777777" w:rsidR="001D2986" w:rsidRDefault="001D2986" w:rsidP="00B43AE5">
      <w:bookmarkStart w:id="46" w:name="_Ref195951649"/>
      <w:bookmarkStart w:id="47" w:name="_Ref217390391"/>
      <w:bookmarkStart w:id="48" w:name="_Toc291768448"/>
      <w:bookmarkStart w:id="49" w:name="_Toc291769515"/>
      <w:r>
        <w:br w:type="page"/>
      </w:r>
    </w:p>
    <w:p w14:paraId="0149FC21" w14:textId="77777777" w:rsidR="001D2986" w:rsidRPr="004D23A4" w:rsidRDefault="001D2986" w:rsidP="001D2986">
      <w:pPr>
        <w:pStyle w:val="HeadingAnnexC"/>
      </w:pPr>
      <w:r w:rsidRPr="004D23A4">
        <w:t>Conducted Radiofrequency (RF) Fields</w:t>
      </w:r>
      <w:bookmarkEnd w:id="46"/>
      <w:bookmarkEnd w:id="47"/>
      <w:bookmarkEnd w:id="48"/>
      <w:bookmarkEnd w:id="49"/>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1D2986" w:rsidRPr="003075C7" w14:paraId="258965CD" w14:textId="77777777" w:rsidTr="00B43AE5">
        <w:tc>
          <w:tcPr>
            <w:tcW w:w="1000" w:type="pct"/>
            <w:shd w:val="clear" w:color="auto" w:fill="F0DCDC"/>
          </w:tcPr>
          <w:p w14:paraId="0E5A1E49" w14:textId="77777777" w:rsidR="001D2986" w:rsidRPr="003075C7" w:rsidRDefault="001D2986" w:rsidP="001D2986">
            <w:pPr>
              <w:pStyle w:val="TestTableText"/>
            </w:pPr>
            <w:r w:rsidRPr="003075C7">
              <w:t>Applicable standards</w:t>
            </w:r>
          </w:p>
        </w:tc>
        <w:tc>
          <w:tcPr>
            <w:tcW w:w="4000" w:type="pct"/>
            <w:vAlign w:val="center"/>
          </w:tcPr>
          <w:p w14:paraId="32489503" w14:textId="77777777" w:rsidR="001D2986" w:rsidRPr="003075C7" w:rsidRDefault="001D2986" w:rsidP="001D2986">
            <w:pPr>
              <w:pStyle w:val="TestTableText"/>
            </w:pPr>
            <w:r w:rsidRPr="00340D7A">
              <w:t xml:space="preserve">AS/NZS </w:t>
            </w:r>
            <w:r w:rsidRPr="003075C7">
              <w:t xml:space="preserve">61000.4.6 </w:t>
            </w:r>
            <w:r>
              <w:t>[21]</w:t>
            </w:r>
          </w:p>
        </w:tc>
      </w:tr>
      <w:tr w:rsidR="001D2986" w:rsidRPr="003075C7" w14:paraId="0D105340" w14:textId="77777777" w:rsidTr="00B43AE5">
        <w:tc>
          <w:tcPr>
            <w:tcW w:w="1000" w:type="pct"/>
            <w:shd w:val="clear" w:color="auto" w:fill="F0DCDC"/>
          </w:tcPr>
          <w:p w14:paraId="2313332B" w14:textId="77777777" w:rsidR="001D2986" w:rsidRPr="003075C7" w:rsidRDefault="001D2986" w:rsidP="001D2986">
            <w:pPr>
              <w:pStyle w:val="TestTableText"/>
            </w:pPr>
            <w:r w:rsidRPr="003075C7">
              <w:t>Object of test</w:t>
            </w:r>
          </w:p>
        </w:tc>
        <w:tc>
          <w:tcPr>
            <w:tcW w:w="4000" w:type="pct"/>
            <w:vAlign w:val="center"/>
          </w:tcPr>
          <w:p w14:paraId="329EB19B" w14:textId="77777777" w:rsidR="001D2986" w:rsidRPr="003075C7" w:rsidRDefault="001D2986" w:rsidP="001D2986">
            <w:pPr>
              <w:pStyle w:val="TestTableText"/>
              <w:rPr>
                <w:b/>
              </w:rPr>
            </w:pPr>
            <w:r w:rsidRPr="003075C7">
              <w:t xml:space="preserve">To verify compliance with the limits of variation in error specified in </w:t>
            </w:r>
            <w:r>
              <w:br/>
              <w:t>Table 4</w:t>
            </w:r>
            <w:r w:rsidRPr="003075C7">
              <w:t xml:space="preserve"> under conditions of conducted RF fields. In addition, during the test, the behaviour of the EUT shall not be perturbed.</w:t>
            </w:r>
          </w:p>
        </w:tc>
      </w:tr>
      <w:tr w:rsidR="001D2986" w:rsidRPr="003075C7" w14:paraId="066A4502" w14:textId="77777777" w:rsidTr="00B43AE5">
        <w:tc>
          <w:tcPr>
            <w:tcW w:w="1000" w:type="pct"/>
            <w:shd w:val="clear" w:color="auto" w:fill="F0DCDC"/>
          </w:tcPr>
          <w:p w14:paraId="46568877" w14:textId="77777777" w:rsidR="001D2986" w:rsidRPr="003075C7" w:rsidRDefault="001D2986" w:rsidP="001D2986">
            <w:pPr>
              <w:pStyle w:val="TestTableText"/>
            </w:pPr>
            <w:r w:rsidRPr="003075C7">
              <w:t>Test procedure in brief</w:t>
            </w:r>
          </w:p>
        </w:tc>
        <w:tc>
          <w:tcPr>
            <w:tcW w:w="4000" w:type="pct"/>
            <w:vAlign w:val="center"/>
          </w:tcPr>
          <w:p w14:paraId="00BE26FF" w14:textId="77777777" w:rsidR="001D2986" w:rsidRPr="003075C7" w:rsidRDefault="001D2986" w:rsidP="001D2986">
            <w:pPr>
              <w:pStyle w:val="TestTableText"/>
            </w:pPr>
            <w:r w:rsidRPr="003075C7">
              <w:t xml:space="preserve">Radiofrequency EM current, simulating the influence of EM fields, shall be coupled or injected into the power ports and I/O ports of the EUT using coupling/decoupling devices as defined in the referenced standard. The performance of the test equipment consisting of an RF generator, </w:t>
            </w:r>
            <w:r>
              <w:br/>
            </w:r>
            <w:r w:rsidRPr="003075C7">
              <w:t>(de-)coupling devices, attenuators, etc., shall be verified.</w:t>
            </w:r>
          </w:p>
          <w:p w14:paraId="19EAB3B2" w14:textId="77777777" w:rsidR="001D2986" w:rsidRPr="003075C7" w:rsidRDefault="001D2986" w:rsidP="001D2986">
            <w:pPr>
              <w:pStyle w:val="TestTableText"/>
            </w:pPr>
            <w:r w:rsidRPr="003075C7">
              <w:rPr>
                <w:lang w:val="en-US"/>
              </w:rPr>
              <w:t>The EUT shall be placed on an insulating support 0.1 m above the ground reference plane, which may be on a table. Cable length between the EUT and auxiliary equipment shall not exceed the maximum length specified by the manufacturer of the EUT.</w:t>
            </w:r>
          </w:p>
          <w:p w14:paraId="5BFC69D6" w14:textId="77777777" w:rsidR="001D2986" w:rsidRPr="003075C7" w:rsidRDefault="001D2986" w:rsidP="001D2986">
            <w:pPr>
              <w:pStyle w:val="TestTableText"/>
              <w:rPr>
                <w:lang w:val="en-US"/>
              </w:rPr>
            </w:pPr>
            <w:r w:rsidRPr="003075C7">
              <w:rPr>
                <w:lang w:val="en-US"/>
              </w:rPr>
              <w:t>If the EUT has multiple identical ports (same input or output electronic circuits, loads, connected equipment, etc.), at least one of these ports shall be selected for testing to ensure that all different types of ports are covered.</w:t>
            </w:r>
          </w:p>
          <w:p w14:paraId="7D752898" w14:textId="77777777" w:rsidR="001D2986" w:rsidRPr="003075C7" w:rsidRDefault="001D2986" w:rsidP="001D2986">
            <w:pPr>
              <w:pStyle w:val="TestTableText"/>
              <w:rPr>
                <w:lang w:val="en-US"/>
              </w:rPr>
            </w:pPr>
            <w:r w:rsidRPr="003075C7">
              <w:rPr>
                <w:lang w:val="en-US"/>
              </w:rPr>
              <w:t>The EUT shall be tested within its intended operating and climatic conditions. The frequency range to be considered is swept with the modulated signal, pausing to adjust the RF signal level or to change coupling devices as necessary. Where the frequency range is swept incrementally, the step size shall not exceed 1</w:t>
            </w:r>
            <w:r>
              <w:rPr>
                <w:lang w:val="en-US"/>
              </w:rPr>
              <w:t>%</w:t>
            </w:r>
            <w:r w:rsidRPr="003075C7">
              <w:rPr>
                <w:lang w:val="en-US"/>
              </w:rPr>
              <w:t xml:space="preserve"> of the preceding frequency value. The dwell time of the amplitude modulated carrier at each frequency shall not be less than the time necessary for the EUT to be exercised and to respond, but shall in no case be less than 0.5 s. The sensitive frequencies (e.g. clock frequencies) shall be analysed separately.</w:t>
            </w:r>
          </w:p>
          <w:p w14:paraId="12A33C51" w14:textId="77777777" w:rsidR="001D2986" w:rsidRPr="003075C7" w:rsidRDefault="001D2986" w:rsidP="001D2986">
            <w:pPr>
              <w:pStyle w:val="TestTableText"/>
              <w:rPr>
                <w:lang w:val="en-US"/>
              </w:rPr>
            </w:pPr>
            <w:r w:rsidRPr="003075C7">
              <w:rPr>
                <w:lang w:val="en-US"/>
              </w:rPr>
              <w:t>The tests shall be carried out under the following conditions:</w:t>
            </w:r>
          </w:p>
          <w:p w14:paraId="1B4DB4E3" w14:textId="77777777" w:rsidR="001D2986" w:rsidRPr="003075C7" w:rsidRDefault="001D2986" w:rsidP="007C176B">
            <w:pPr>
              <w:pStyle w:val="TestTableText"/>
              <w:numPr>
                <w:ilvl w:val="0"/>
                <w:numId w:val="25"/>
              </w:numPr>
              <w:rPr>
                <w:lang w:val="en-US"/>
              </w:rPr>
            </w:pPr>
            <w:r w:rsidRPr="003075C7">
              <w:rPr>
                <w:lang w:val="en-US"/>
              </w:rPr>
              <w:t>the voltage and auxiliary circuits energ</w:t>
            </w:r>
            <w:r>
              <w:rPr>
                <w:lang w:val="en-US"/>
              </w:rPr>
              <w:t>is</w:t>
            </w:r>
            <w:r w:rsidRPr="003075C7">
              <w:rPr>
                <w:lang w:val="en-US"/>
              </w:rPr>
              <w:t>ed with reference voltage</w:t>
            </w:r>
            <w:r>
              <w:rPr>
                <w:lang w:val="en-US"/>
              </w:rPr>
              <w:t>;</w:t>
            </w:r>
          </w:p>
          <w:p w14:paraId="0F212A8E" w14:textId="77777777" w:rsidR="001D2986" w:rsidRPr="003075C7" w:rsidRDefault="001D2986" w:rsidP="007C176B">
            <w:pPr>
              <w:pStyle w:val="TestTableText"/>
              <w:numPr>
                <w:ilvl w:val="0"/>
                <w:numId w:val="25"/>
              </w:numPr>
              <w:rPr>
                <w:lang w:val="en-US"/>
              </w:rPr>
            </w:pPr>
            <w:r w:rsidRPr="003075C7">
              <w:t xml:space="preserve">basic current </w:t>
            </w:r>
            <w:r w:rsidRPr="001D2986">
              <w:rPr>
                <w:rFonts w:ascii="Cambria Math" w:hAnsi="Cambria Math"/>
                <w:i/>
              </w:rPr>
              <w:t>I</w:t>
            </w:r>
            <w:r w:rsidRPr="001D2986">
              <w:rPr>
                <w:rFonts w:ascii="Cambria Math" w:hAnsi="Cambria Math"/>
                <w:vertAlign w:val="subscript"/>
              </w:rPr>
              <w:t>b</w:t>
            </w:r>
            <w:r w:rsidRPr="003075C7">
              <w:t xml:space="preserve"> (or rated current </w:t>
            </w:r>
            <w:r w:rsidRPr="001D2986">
              <w:rPr>
                <w:rFonts w:ascii="Cambria Math" w:hAnsi="Cambria Math"/>
                <w:i/>
              </w:rPr>
              <w:t>I</w:t>
            </w:r>
            <w:r w:rsidRPr="001D2986">
              <w:rPr>
                <w:rFonts w:ascii="Cambria Math" w:hAnsi="Cambria Math"/>
                <w:vertAlign w:val="subscript"/>
              </w:rPr>
              <w:t>n</w:t>
            </w:r>
            <w:r w:rsidRPr="003075C7">
              <w:t xml:space="preserve">) and </w:t>
            </w:r>
            <w:r w:rsidRPr="001D2986">
              <w:rPr>
                <w:rFonts w:ascii="Cambria Math" w:hAnsi="Cambria Math"/>
              </w:rPr>
              <w:t>cos φ</w:t>
            </w:r>
            <w:r w:rsidRPr="003075C7">
              <w:t xml:space="preserve"> (or </w:t>
            </w:r>
            <w:r w:rsidRPr="001D2986">
              <w:rPr>
                <w:rFonts w:ascii="Cambria Math" w:hAnsi="Cambria Math"/>
              </w:rPr>
              <w:t>sin φ</w:t>
            </w:r>
            <w:r w:rsidRPr="003075C7">
              <w:t xml:space="preserve">) according to the values given in </w:t>
            </w:r>
            <w:r>
              <w:t>Table 4</w:t>
            </w:r>
            <w:r w:rsidRPr="003075C7">
              <w:t>.</w:t>
            </w:r>
          </w:p>
        </w:tc>
      </w:tr>
      <w:tr w:rsidR="001D2986" w:rsidRPr="003075C7" w14:paraId="67BE2267" w14:textId="77777777" w:rsidTr="00B43AE5">
        <w:tc>
          <w:tcPr>
            <w:tcW w:w="1000" w:type="pct"/>
            <w:shd w:val="clear" w:color="auto" w:fill="F0DCDC"/>
          </w:tcPr>
          <w:p w14:paraId="35E612C7" w14:textId="77777777" w:rsidR="001D2986" w:rsidRPr="003075C7" w:rsidRDefault="001D2986" w:rsidP="001D2986">
            <w:pPr>
              <w:pStyle w:val="TestTableText"/>
            </w:pPr>
            <w:r w:rsidRPr="003075C7">
              <w:t xml:space="preserve">RF </w:t>
            </w:r>
            <w:r>
              <w:t>a</w:t>
            </w:r>
            <w:r w:rsidRPr="003075C7">
              <w:t>mplitude (50 Ω)</w:t>
            </w:r>
          </w:p>
        </w:tc>
        <w:tc>
          <w:tcPr>
            <w:tcW w:w="4000" w:type="pct"/>
            <w:vAlign w:val="center"/>
          </w:tcPr>
          <w:p w14:paraId="566B26D8" w14:textId="77777777" w:rsidR="001D2986" w:rsidRPr="003075C7" w:rsidRDefault="001D2986" w:rsidP="001D2986">
            <w:pPr>
              <w:pStyle w:val="TestTableText"/>
            </w:pPr>
            <w:r w:rsidRPr="003075C7">
              <w:t>10 V (emf)</w:t>
            </w:r>
          </w:p>
        </w:tc>
      </w:tr>
      <w:tr w:rsidR="001D2986" w:rsidRPr="003075C7" w14:paraId="0DB78F2F" w14:textId="77777777" w:rsidTr="00B43AE5">
        <w:tc>
          <w:tcPr>
            <w:tcW w:w="1000" w:type="pct"/>
            <w:shd w:val="clear" w:color="auto" w:fill="F0DCDC"/>
          </w:tcPr>
          <w:p w14:paraId="043AC5E1" w14:textId="77777777" w:rsidR="001D2986" w:rsidRPr="003075C7" w:rsidRDefault="001D2986" w:rsidP="001D2986">
            <w:pPr>
              <w:pStyle w:val="TestTableText"/>
            </w:pPr>
            <w:r w:rsidRPr="003075C7">
              <w:t>Frequency range</w:t>
            </w:r>
          </w:p>
        </w:tc>
        <w:tc>
          <w:tcPr>
            <w:tcW w:w="4000" w:type="pct"/>
            <w:vAlign w:val="center"/>
          </w:tcPr>
          <w:p w14:paraId="5DC5F0E6" w14:textId="77777777" w:rsidR="001D2986" w:rsidRPr="003075C7" w:rsidRDefault="001D2986" w:rsidP="001D2986">
            <w:pPr>
              <w:pStyle w:val="TestTableText"/>
            </w:pPr>
            <w:r w:rsidRPr="003075C7">
              <w:t>0.15–80 MHz</w:t>
            </w:r>
          </w:p>
        </w:tc>
      </w:tr>
      <w:tr w:rsidR="001D2986" w:rsidRPr="003075C7" w14:paraId="38F24FE2" w14:textId="77777777" w:rsidTr="00B43AE5">
        <w:tc>
          <w:tcPr>
            <w:tcW w:w="1000" w:type="pct"/>
            <w:shd w:val="clear" w:color="auto" w:fill="F0DCDC"/>
          </w:tcPr>
          <w:p w14:paraId="55FCB991" w14:textId="77777777" w:rsidR="001D2986" w:rsidRPr="003075C7" w:rsidRDefault="001D2986" w:rsidP="001D2986">
            <w:pPr>
              <w:pStyle w:val="TestTableText"/>
            </w:pPr>
            <w:r w:rsidRPr="003075C7">
              <w:t>Modulation</w:t>
            </w:r>
          </w:p>
        </w:tc>
        <w:tc>
          <w:tcPr>
            <w:tcW w:w="4000" w:type="pct"/>
            <w:vAlign w:val="center"/>
          </w:tcPr>
          <w:p w14:paraId="5B67D20E" w14:textId="77777777" w:rsidR="001D2986" w:rsidRPr="003075C7" w:rsidRDefault="001D2986" w:rsidP="001D2986">
            <w:pPr>
              <w:pStyle w:val="TestTableText"/>
            </w:pPr>
            <w:r w:rsidRPr="003075C7">
              <w:t>80</w:t>
            </w:r>
            <w:r>
              <w:t>%</w:t>
            </w:r>
            <w:r w:rsidRPr="003075C7">
              <w:t xml:space="preserve"> AM at 1 kHz sine wave</w:t>
            </w:r>
          </w:p>
        </w:tc>
      </w:tr>
      <w:tr w:rsidR="001D2986" w:rsidRPr="003075C7" w14:paraId="4843D787" w14:textId="77777777" w:rsidTr="00B43AE5">
        <w:tc>
          <w:tcPr>
            <w:tcW w:w="1000" w:type="pct"/>
            <w:shd w:val="clear" w:color="auto" w:fill="F0DCDC"/>
          </w:tcPr>
          <w:p w14:paraId="42EF610D" w14:textId="77777777" w:rsidR="001D2986" w:rsidRPr="003075C7" w:rsidRDefault="001D2986" w:rsidP="001D2986">
            <w:pPr>
              <w:pStyle w:val="TestTableText"/>
            </w:pPr>
            <w:r w:rsidRPr="003075C7">
              <w:t xml:space="preserve">Additional </w:t>
            </w:r>
            <w:r>
              <w:t>i</w:t>
            </w:r>
            <w:r w:rsidRPr="003075C7">
              <w:t>nformation</w:t>
            </w:r>
          </w:p>
        </w:tc>
        <w:tc>
          <w:tcPr>
            <w:tcW w:w="4000" w:type="pct"/>
            <w:vAlign w:val="center"/>
          </w:tcPr>
          <w:p w14:paraId="746B024A" w14:textId="77777777" w:rsidR="001D2986" w:rsidRPr="003075C7" w:rsidRDefault="001D2986" w:rsidP="001D2986">
            <w:pPr>
              <w:pStyle w:val="TestTableText"/>
            </w:pPr>
            <w:r w:rsidRPr="003075C7">
              <w:t>Since the EUT may be disturbed by transients occurring during frequency stepping, provisions should be made to avoid such disturbance. For example, before the frequency change, the strength of the signal can be decreased a few dB below the test level.</w:t>
            </w:r>
          </w:p>
        </w:tc>
      </w:tr>
    </w:tbl>
    <w:p w14:paraId="6DB03F9D" w14:textId="77777777" w:rsidR="001D2986" w:rsidRDefault="001D2986" w:rsidP="00B43AE5">
      <w:bookmarkStart w:id="50" w:name="_Ref196038501"/>
      <w:bookmarkStart w:id="51" w:name="_Ref217390552"/>
      <w:bookmarkStart w:id="52" w:name="_Toc291768449"/>
      <w:bookmarkStart w:id="53" w:name="_Toc291769516"/>
      <w:r>
        <w:br w:type="page"/>
      </w:r>
    </w:p>
    <w:p w14:paraId="1D85679E" w14:textId="77777777" w:rsidR="001D2986" w:rsidRPr="004D23A4" w:rsidRDefault="001D2986" w:rsidP="001D2986">
      <w:pPr>
        <w:pStyle w:val="HeadingAnnexC"/>
      </w:pPr>
      <w:r w:rsidRPr="004D23A4">
        <w:t>Electrostatic Discharge Test</w:t>
      </w:r>
      <w:bookmarkEnd w:id="50"/>
      <w:bookmarkEnd w:id="51"/>
      <w:bookmarkEnd w:id="52"/>
      <w:bookmarkEnd w:id="53"/>
    </w:p>
    <w:tbl>
      <w:tblPr>
        <w:tblStyle w:val="TableGrid"/>
        <w:tblW w:w="5000" w:type="pct"/>
        <w:tblLayout w:type="fixed"/>
        <w:tblCellMar>
          <w:left w:w="57" w:type="dxa"/>
          <w:right w:w="57" w:type="dxa"/>
        </w:tblCellMar>
        <w:tblLook w:val="01E0" w:firstRow="1" w:lastRow="1" w:firstColumn="1" w:lastColumn="1" w:noHBand="0" w:noVBand="0"/>
      </w:tblPr>
      <w:tblGrid>
        <w:gridCol w:w="1948"/>
        <w:gridCol w:w="2225"/>
        <w:gridCol w:w="5569"/>
      </w:tblGrid>
      <w:tr w:rsidR="001D2986" w:rsidRPr="004D23A4" w14:paraId="1D9FFFB2" w14:textId="77777777" w:rsidTr="00B43AE5">
        <w:tc>
          <w:tcPr>
            <w:tcW w:w="1000" w:type="pct"/>
            <w:shd w:val="clear" w:color="auto" w:fill="F0DCDC"/>
          </w:tcPr>
          <w:p w14:paraId="21E4DC5C" w14:textId="77777777" w:rsidR="001D2986" w:rsidRPr="003075C7" w:rsidRDefault="001D2986" w:rsidP="001D2986">
            <w:pPr>
              <w:pStyle w:val="TestTableText"/>
            </w:pPr>
            <w:r w:rsidRPr="003075C7">
              <w:t>Applicable standards</w:t>
            </w:r>
          </w:p>
        </w:tc>
        <w:tc>
          <w:tcPr>
            <w:tcW w:w="4000" w:type="pct"/>
            <w:gridSpan w:val="2"/>
            <w:vAlign w:val="center"/>
          </w:tcPr>
          <w:p w14:paraId="63E68598" w14:textId="77777777" w:rsidR="001D2986" w:rsidRPr="001D2986" w:rsidRDefault="001D2986" w:rsidP="001D2986">
            <w:pPr>
              <w:pStyle w:val="TestTableText"/>
            </w:pPr>
            <w:r w:rsidRPr="001D2986">
              <w:t>AS/NZS 61000.4.2 [22]</w:t>
            </w:r>
          </w:p>
        </w:tc>
      </w:tr>
      <w:tr w:rsidR="001D2986" w:rsidRPr="004D23A4" w14:paraId="5EAF0600" w14:textId="77777777" w:rsidTr="00B43AE5">
        <w:tc>
          <w:tcPr>
            <w:tcW w:w="1000" w:type="pct"/>
            <w:shd w:val="clear" w:color="auto" w:fill="F0DCDC"/>
          </w:tcPr>
          <w:p w14:paraId="1E212396" w14:textId="77777777" w:rsidR="001D2986" w:rsidRPr="003075C7" w:rsidRDefault="001D2986" w:rsidP="001D2986">
            <w:pPr>
              <w:pStyle w:val="TestTableText"/>
            </w:pPr>
            <w:r w:rsidRPr="003075C7">
              <w:t>Object of test</w:t>
            </w:r>
          </w:p>
        </w:tc>
        <w:tc>
          <w:tcPr>
            <w:tcW w:w="4000" w:type="pct"/>
            <w:gridSpan w:val="2"/>
            <w:vAlign w:val="center"/>
          </w:tcPr>
          <w:p w14:paraId="785EF5C0" w14:textId="77777777" w:rsidR="00F74CE3" w:rsidRDefault="001D2986" w:rsidP="001D2986">
            <w:pPr>
              <w:pStyle w:val="TestTableText"/>
            </w:pPr>
            <w:r w:rsidRPr="001D2986">
              <w:t xml:space="preserve">To verify performance of the EUT under conditions of direct and indirect electrostatic discharges. </w:t>
            </w:r>
            <w:r w:rsidRPr="001D2986">
              <w:rPr>
                <w:rFonts w:eastAsia="Times"/>
              </w:rPr>
              <w:t xml:space="preserve">The application of the electrostatic discharge shall not produce a change in the register by more than </w:t>
            </w:r>
            <w:r w:rsidRPr="001D2986">
              <w:rPr>
                <w:rFonts w:ascii="Cambria Math" w:hAnsi="Cambria Math"/>
                <w:i/>
              </w:rPr>
              <w:t>x</w:t>
            </w:r>
            <w:r w:rsidRPr="001D2986">
              <w:t xml:space="preserve"> kW h and the test output shall not produce a signal equivalent to more than </w:t>
            </w:r>
            <w:r w:rsidRPr="001D2986">
              <w:rPr>
                <w:rFonts w:ascii="Cambria Math" w:hAnsi="Cambria Math"/>
                <w:i/>
              </w:rPr>
              <w:t>x</w:t>
            </w:r>
            <w:r w:rsidRPr="001D2986">
              <w:t xml:space="preserve"> kW h; The value of </w:t>
            </w:r>
            <w:r w:rsidRPr="001D2986">
              <w:rPr>
                <w:rFonts w:ascii="Cambria Math" w:hAnsi="Cambria Math"/>
                <w:i/>
              </w:rPr>
              <w:t>x</w:t>
            </w:r>
            <w:r w:rsidRPr="001D2986">
              <w:t xml:space="preserve"> is derived from the following formula:</w:t>
            </w:r>
          </w:p>
          <w:p w14:paraId="6E06B2CB" w14:textId="77777777" w:rsidR="001D2986" w:rsidRPr="00F74CE3" w:rsidRDefault="00F74CE3" w:rsidP="00F74CE3">
            <w:pPr>
              <w:pStyle w:val="TestTableText"/>
              <w:ind w:left="720"/>
              <w:rPr>
                <w:rFonts w:ascii="Cambria Math" w:hAnsi="Cambria Math"/>
              </w:rPr>
            </w:pPr>
            <w:r w:rsidRPr="00F74CE3">
              <w:rPr>
                <w:rFonts w:ascii="Cambria Math" w:hAnsi="Cambria Math"/>
                <w:i/>
              </w:rPr>
              <w:t>x</w:t>
            </w:r>
            <w:r w:rsidRPr="00F74CE3">
              <w:rPr>
                <w:rFonts w:ascii="Cambria Math" w:hAnsi="Cambria Math"/>
              </w:rPr>
              <w:t xml:space="preserve"> </w:t>
            </w:r>
            <w:r w:rsidR="001D2986" w:rsidRPr="00F74CE3">
              <w:rPr>
                <w:rFonts w:ascii="Cambria Math" w:hAnsi="Cambria Math"/>
              </w:rPr>
              <w:t>= 10</w:t>
            </w:r>
            <w:r w:rsidR="001D2986" w:rsidRPr="00F74CE3">
              <w:rPr>
                <w:rFonts w:ascii="Cambria Math" w:hAnsi="Cambria Math"/>
                <w:vertAlign w:val="superscript"/>
              </w:rPr>
              <w:t>-6</w:t>
            </w:r>
            <w:r w:rsidRPr="00F74CE3">
              <w:rPr>
                <w:rFonts w:ascii="Cambria Math" w:hAnsi="Cambria Math" w:cs="Arial"/>
              </w:rPr>
              <w:t>·</w:t>
            </w:r>
            <w:r w:rsidR="001D2986" w:rsidRPr="00F74CE3">
              <w:rPr>
                <w:rFonts w:ascii="Cambria Math" w:hAnsi="Cambria Math"/>
                <w:i/>
              </w:rPr>
              <w:t>m</w:t>
            </w:r>
            <w:r w:rsidRPr="00F74CE3">
              <w:rPr>
                <w:rFonts w:ascii="Cambria Math" w:hAnsi="Cambria Math" w:cs="Arial"/>
              </w:rPr>
              <w:t>·</w:t>
            </w:r>
            <w:r w:rsidR="001D2986" w:rsidRPr="00F74CE3">
              <w:rPr>
                <w:rFonts w:ascii="Cambria Math" w:hAnsi="Cambria Math"/>
                <w:i/>
              </w:rPr>
              <w:t>U</w:t>
            </w:r>
            <w:r w:rsidR="001D2986" w:rsidRPr="00F74CE3">
              <w:rPr>
                <w:rFonts w:ascii="Cambria Math" w:hAnsi="Cambria Math"/>
                <w:vertAlign w:val="subscript"/>
              </w:rPr>
              <w:t>nom</w:t>
            </w:r>
            <w:r w:rsidRPr="00F74CE3">
              <w:rPr>
                <w:rFonts w:ascii="Cambria Math" w:hAnsi="Cambria Math" w:cs="Arial"/>
              </w:rPr>
              <w:t>·</w:t>
            </w:r>
            <w:r w:rsidR="001D2986" w:rsidRPr="00F74CE3">
              <w:rPr>
                <w:rFonts w:ascii="Cambria Math" w:hAnsi="Cambria Math"/>
                <w:i/>
              </w:rPr>
              <w:t>I</w:t>
            </w:r>
            <w:r w:rsidR="001D2986" w:rsidRPr="00F74CE3">
              <w:rPr>
                <w:rFonts w:ascii="Cambria Math" w:hAnsi="Cambria Math"/>
                <w:vertAlign w:val="subscript"/>
              </w:rPr>
              <w:t>max</w:t>
            </w:r>
          </w:p>
          <w:p w14:paraId="12061341" w14:textId="77777777" w:rsidR="001D2986" w:rsidRPr="001D2986" w:rsidRDefault="001D2986" w:rsidP="00F74CE3">
            <w:pPr>
              <w:pStyle w:val="TestTableText"/>
              <w:ind w:left="720"/>
            </w:pPr>
            <w:r w:rsidRPr="001D2986">
              <w:t>where:</w:t>
            </w:r>
            <w:r w:rsidRPr="001D2986">
              <w:tab/>
            </w:r>
            <w:r w:rsidRPr="00F74CE3">
              <w:rPr>
                <w:rFonts w:ascii="Cambria Math" w:hAnsi="Cambria Math"/>
                <w:i/>
              </w:rPr>
              <w:t>m</w:t>
            </w:r>
            <w:r w:rsidRPr="001D2986">
              <w:t xml:space="preserve"> is the number of measuring elements;</w:t>
            </w:r>
          </w:p>
          <w:p w14:paraId="0E1D61AF" w14:textId="77777777" w:rsidR="001D2986" w:rsidRPr="001D2986" w:rsidRDefault="001D2986" w:rsidP="00F74CE3">
            <w:pPr>
              <w:pStyle w:val="TestTableText"/>
              <w:ind w:left="720"/>
            </w:pPr>
            <w:r w:rsidRPr="001D2986">
              <w:tab/>
            </w:r>
            <w:r w:rsidR="00F74CE3" w:rsidRPr="00F74CE3">
              <w:rPr>
                <w:rFonts w:ascii="Cambria Math" w:hAnsi="Cambria Math"/>
                <w:i/>
              </w:rPr>
              <w:t>U</w:t>
            </w:r>
            <w:r w:rsidR="00F74CE3" w:rsidRPr="00F74CE3">
              <w:rPr>
                <w:rFonts w:ascii="Cambria Math" w:hAnsi="Cambria Math"/>
                <w:vertAlign w:val="subscript"/>
              </w:rPr>
              <w:t>nom</w:t>
            </w:r>
            <w:r w:rsidRPr="001D2986">
              <w:t xml:space="preserve"> is the reference voltage in volts; and</w:t>
            </w:r>
          </w:p>
          <w:p w14:paraId="18392B7A" w14:textId="77777777" w:rsidR="001D2986" w:rsidRPr="001D2986" w:rsidRDefault="001D2986" w:rsidP="00F74CE3">
            <w:pPr>
              <w:pStyle w:val="TestTableText"/>
              <w:ind w:left="720"/>
            </w:pPr>
            <w:r w:rsidRPr="001D2986">
              <w:tab/>
            </w:r>
            <w:r w:rsidR="00F74CE3" w:rsidRPr="00F74CE3">
              <w:rPr>
                <w:rFonts w:ascii="Cambria Math" w:hAnsi="Cambria Math"/>
                <w:i/>
              </w:rPr>
              <w:t>I</w:t>
            </w:r>
            <w:r w:rsidR="00F74CE3" w:rsidRPr="00F74CE3">
              <w:rPr>
                <w:rFonts w:ascii="Cambria Math" w:hAnsi="Cambria Math"/>
                <w:vertAlign w:val="subscript"/>
              </w:rPr>
              <w:t>max</w:t>
            </w:r>
            <w:r w:rsidRPr="001D2986">
              <w:t xml:space="preserve"> is the maximum current in amperes.</w:t>
            </w:r>
          </w:p>
          <w:p w14:paraId="6445A3EF" w14:textId="77777777" w:rsidR="001D2986" w:rsidRPr="001D2986" w:rsidRDefault="001D2986" w:rsidP="001D2986">
            <w:pPr>
              <w:pStyle w:val="TestTableText"/>
            </w:pPr>
            <w:r w:rsidRPr="001D2986">
              <w:t>During the test, a temporary degradation or loss of function or performance is acceptable; however the meter shall operate correctly following the test.</w:t>
            </w:r>
          </w:p>
        </w:tc>
      </w:tr>
      <w:tr w:rsidR="001D2986" w:rsidRPr="004D23A4" w14:paraId="7E2F9B46" w14:textId="77777777" w:rsidTr="00B43AE5">
        <w:tc>
          <w:tcPr>
            <w:tcW w:w="1000" w:type="pct"/>
            <w:shd w:val="clear" w:color="auto" w:fill="F0DCDC"/>
          </w:tcPr>
          <w:p w14:paraId="7B8629B4" w14:textId="77777777" w:rsidR="001D2986" w:rsidRPr="003075C7" w:rsidRDefault="001D2986" w:rsidP="001D2986">
            <w:pPr>
              <w:pStyle w:val="TestTableText"/>
            </w:pPr>
            <w:r w:rsidRPr="003075C7">
              <w:t>Test procedure in brief</w:t>
            </w:r>
          </w:p>
        </w:tc>
        <w:tc>
          <w:tcPr>
            <w:tcW w:w="4000" w:type="pct"/>
            <w:gridSpan w:val="2"/>
            <w:vAlign w:val="center"/>
          </w:tcPr>
          <w:p w14:paraId="64FADA52" w14:textId="77777777" w:rsidR="001D2986" w:rsidRPr="001D2986" w:rsidRDefault="001D2986" w:rsidP="001D2986">
            <w:pPr>
              <w:pStyle w:val="TestTableText"/>
            </w:pPr>
            <w:r w:rsidRPr="001D2986">
              <w:t>An ESD generator shall be used with a performance as defined in the referenced standard. Before stating the tests, the performance of the generator shall be verified.</w:t>
            </w:r>
          </w:p>
          <w:p w14:paraId="0696666A" w14:textId="77777777" w:rsidR="001D2986" w:rsidRPr="001D2986" w:rsidRDefault="001D2986" w:rsidP="001D2986">
            <w:pPr>
              <w:pStyle w:val="TestTableText"/>
            </w:pPr>
            <w:r w:rsidRPr="001D2986">
              <w:t>The EUT shall be mounted as table-top equipment and tested within its intended climatic conditions. During the test, the meter shall be in operating condition with voltage and auxiliary circuits energised with reference voltage and without any current in the current circuits (open circuit).</w:t>
            </w:r>
          </w:p>
          <w:p w14:paraId="52E3B631" w14:textId="77777777" w:rsidR="001D2986" w:rsidRPr="001D2986" w:rsidRDefault="001D2986" w:rsidP="001D2986">
            <w:pPr>
              <w:pStyle w:val="TestTableText"/>
            </w:pPr>
            <w:r w:rsidRPr="001D2986">
              <w:t>At least 10 discharges shall be applied. The time interval between successive discharges shall be at least 10 s. For EUT not equipped with a ground terminal, the EUT shall be fully discharged between discharges. Contact discharge should be used unless there are no metallic outer surfaces.</w:t>
            </w:r>
          </w:p>
          <w:p w14:paraId="04D14CCC" w14:textId="77777777" w:rsidR="001D2986" w:rsidRPr="001D2986" w:rsidRDefault="001D2986" w:rsidP="001D2986">
            <w:pPr>
              <w:pStyle w:val="TestTableText"/>
            </w:pPr>
            <w:r w:rsidRPr="001D2986">
              <w:t>Direct application:</w:t>
            </w:r>
          </w:p>
          <w:p w14:paraId="6C7BDD29" w14:textId="77777777" w:rsidR="001D2986" w:rsidRPr="001D2986" w:rsidRDefault="001D2986" w:rsidP="007C176B">
            <w:pPr>
              <w:pStyle w:val="TestTableText"/>
              <w:numPr>
                <w:ilvl w:val="0"/>
                <w:numId w:val="26"/>
              </w:numPr>
            </w:pPr>
            <w:r w:rsidRPr="001D2986">
              <w:t>In the contact discharge mode to be carried out on conductive surfaces, the electrode shall be in contact with EUT.</w:t>
            </w:r>
          </w:p>
          <w:p w14:paraId="66E070CB" w14:textId="77777777" w:rsidR="001D2986" w:rsidRPr="001D2986" w:rsidRDefault="001D2986" w:rsidP="007C176B">
            <w:pPr>
              <w:pStyle w:val="TestTableText"/>
              <w:numPr>
                <w:ilvl w:val="0"/>
                <w:numId w:val="26"/>
              </w:numPr>
            </w:pPr>
            <w:r w:rsidRPr="001D2986">
              <w:t>In the air discharge mode on insulated surfaces, the electrode is approached to the EUT and the discharge occurs by spark.</w:t>
            </w:r>
          </w:p>
          <w:p w14:paraId="4B54022C" w14:textId="77777777" w:rsidR="001D2986" w:rsidRPr="001D2986" w:rsidRDefault="001D2986" w:rsidP="001D2986">
            <w:pPr>
              <w:pStyle w:val="TestTableText"/>
            </w:pPr>
            <w:r w:rsidRPr="001D2986">
              <w:t>Indirect application:</w:t>
            </w:r>
          </w:p>
          <w:p w14:paraId="70E4376F" w14:textId="77777777" w:rsidR="001D2986" w:rsidRPr="001D2986" w:rsidRDefault="001D2986" w:rsidP="007C176B">
            <w:pPr>
              <w:pStyle w:val="TestTableText"/>
              <w:numPr>
                <w:ilvl w:val="0"/>
                <w:numId w:val="27"/>
              </w:numPr>
            </w:pPr>
            <w:r w:rsidRPr="001D2986">
              <w:t>The discharges are applied in the contact mode to coupling planes mounted in the vicinity of the EUT.</w:t>
            </w:r>
          </w:p>
        </w:tc>
      </w:tr>
      <w:tr w:rsidR="001D2986" w:rsidRPr="004D23A4" w14:paraId="35C9AAEB" w14:textId="77777777" w:rsidTr="00B43AE5">
        <w:tc>
          <w:tcPr>
            <w:tcW w:w="1000" w:type="pct"/>
            <w:shd w:val="clear" w:color="auto" w:fill="F0DCDC"/>
          </w:tcPr>
          <w:p w14:paraId="0364D9AC" w14:textId="77777777" w:rsidR="001D2986" w:rsidRPr="003075C7" w:rsidRDefault="001D2986" w:rsidP="001D2986">
            <w:pPr>
              <w:pStyle w:val="TestTableText"/>
            </w:pPr>
            <w:r w:rsidRPr="003075C7">
              <w:t>Severity level</w:t>
            </w:r>
          </w:p>
        </w:tc>
        <w:tc>
          <w:tcPr>
            <w:tcW w:w="4000" w:type="pct"/>
            <w:gridSpan w:val="2"/>
            <w:vAlign w:val="center"/>
          </w:tcPr>
          <w:p w14:paraId="4EFF5E18" w14:textId="77777777" w:rsidR="001D2986" w:rsidRPr="001D2986" w:rsidRDefault="001D2986" w:rsidP="001D2986">
            <w:pPr>
              <w:pStyle w:val="TestTableText"/>
            </w:pPr>
            <w:r w:rsidRPr="001D2986">
              <w:t>4</w:t>
            </w:r>
          </w:p>
        </w:tc>
      </w:tr>
      <w:tr w:rsidR="001D2986" w:rsidRPr="004D23A4" w14:paraId="7C32B011" w14:textId="77777777" w:rsidTr="00B43AE5">
        <w:tc>
          <w:tcPr>
            <w:tcW w:w="1000" w:type="pct"/>
            <w:shd w:val="clear" w:color="auto" w:fill="F0DCDC"/>
          </w:tcPr>
          <w:p w14:paraId="14AEB7F0" w14:textId="77777777" w:rsidR="001D2986" w:rsidRPr="003075C7" w:rsidRDefault="001D2986" w:rsidP="001D2986">
            <w:pPr>
              <w:pStyle w:val="TestTableText"/>
            </w:pPr>
            <w:r w:rsidRPr="003075C7">
              <w:t>No of discharges</w:t>
            </w:r>
          </w:p>
        </w:tc>
        <w:tc>
          <w:tcPr>
            <w:tcW w:w="4000" w:type="pct"/>
            <w:gridSpan w:val="2"/>
            <w:vAlign w:val="center"/>
          </w:tcPr>
          <w:p w14:paraId="0DD33F5E" w14:textId="77777777" w:rsidR="001D2986" w:rsidRPr="001D2986" w:rsidRDefault="001D2986" w:rsidP="001D2986">
            <w:pPr>
              <w:pStyle w:val="TestTableText"/>
            </w:pPr>
            <w:r w:rsidRPr="001D2986">
              <w:t>10 (in the most sensitive polarity)</w:t>
            </w:r>
          </w:p>
        </w:tc>
      </w:tr>
      <w:tr w:rsidR="001D2986" w:rsidRPr="004D23A4" w14:paraId="7E0E5071" w14:textId="77777777" w:rsidTr="00B43AE5">
        <w:tc>
          <w:tcPr>
            <w:tcW w:w="1000" w:type="pct"/>
            <w:vMerge w:val="restart"/>
            <w:shd w:val="clear" w:color="auto" w:fill="F0DCDC"/>
          </w:tcPr>
          <w:p w14:paraId="3F9981D9" w14:textId="77777777" w:rsidR="001D2986" w:rsidRPr="003075C7" w:rsidRDefault="001D2986" w:rsidP="001D2986">
            <w:pPr>
              <w:pStyle w:val="TestTableText"/>
            </w:pPr>
            <w:r w:rsidRPr="003075C7">
              <w:t>Test voltage</w:t>
            </w:r>
          </w:p>
        </w:tc>
        <w:tc>
          <w:tcPr>
            <w:tcW w:w="1142" w:type="pct"/>
            <w:vAlign w:val="center"/>
          </w:tcPr>
          <w:p w14:paraId="7F173D77" w14:textId="77777777" w:rsidR="001D2986" w:rsidRPr="001D2986" w:rsidRDefault="001D2986" w:rsidP="001D2986">
            <w:pPr>
              <w:pStyle w:val="TestTableText"/>
            </w:pPr>
            <w:r w:rsidRPr="001D2986">
              <w:t>Contact discharge</w:t>
            </w:r>
          </w:p>
        </w:tc>
        <w:tc>
          <w:tcPr>
            <w:tcW w:w="2858" w:type="pct"/>
            <w:vAlign w:val="center"/>
          </w:tcPr>
          <w:p w14:paraId="399E040E" w14:textId="77777777" w:rsidR="001D2986" w:rsidRPr="001D2986" w:rsidRDefault="001D2986" w:rsidP="001D2986">
            <w:pPr>
              <w:pStyle w:val="TestTableText"/>
            </w:pPr>
            <w:r w:rsidRPr="001D2986">
              <w:t>8 kV</w:t>
            </w:r>
          </w:p>
        </w:tc>
      </w:tr>
      <w:tr w:rsidR="001D2986" w:rsidRPr="004D23A4" w14:paraId="79B02244" w14:textId="77777777" w:rsidTr="00B43AE5">
        <w:tc>
          <w:tcPr>
            <w:tcW w:w="1000" w:type="pct"/>
            <w:vMerge/>
            <w:shd w:val="clear" w:color="auto" w:fill="F0DCDC"/>
          </w:tcPr>
          <w:p w14:paraId="06310A92" w14:textId="77777777" w:rsidR="001D2986" w:rsidRPr="003075C7" w:rsidRDefault="001D2986" w:rsidP="001D2986">
            <w:pPr>
              <w:pStyle w:val="TestTableText"/>
              <w:rPr>
                <w:szCs w:val="22"/>
              </w:rPr>
            </w:pPr>
          </w:p>
        </w:tc>
        <w:tc>
          <w:tcPr>
            <w:tcW w:w="1142" w:type="pct"/>
            <w:vAlign w:val="center"/>
          </w:tcPr>
          <w:p w14:paraId="226F3EE9" w14:textId="77777777" w:rsidR="001D2986" w:rsidRPr="001D2986" w:rsidRDefault="001D2986" w:rsidP="001D2986">
            <w:pPr>
              <w:pStyle w:val="TestTableText"/>
            </w:pPr>
            <w:r w:rsidRPr="001D2986">
              <w:t>Air discharge</w:t>
            </w:r>
          </w:p>
        </w:tc>
        <w:tc>
          <w:tcPr>
            <w:tcW w:w="2858" w:type="pct"/>
            <w:vAlign w:val="center"/>
          </w:tcPr>
          <w:p w14:paraId="20CD2925" w14:textId="77777777" w:rsidR="001D2986" w:rsidRPr="001D2986" w:rsidRDefault="001D2986" w:rsidP="001D2986">
            <w:pPr>
              <w:pStyle w:val="TestTableText"/>
            </w:pPr>
            <w:r w:rsidRPr="001D2986">
              <w:t>15 kV</w:t>
            </w:r>
          </w:p>
        </w:tc>
      </w:tr>
    </w:tbl>
    <w:p w14:paraId="751F82E3" w14:textId="77777777" w:rsidR="00481FE8" w:rsidRDefault="00481FE8" w:rsidP="00B43AE5">
      <w:bookmarkStart w:id="54" w:name="_Ref211430147"/>
      <w:bookmarkStart w:id="55" w:name="_Toc291768450"/>
      <w:bookmarkStart w:id="56" w:name="_Toc291769517"/>
      <w:r>
        <w:br w:type="page"/>
      </w:r>
    </w:p>
    <w:p w14:paraId="54ED25CA" w14:textId="77777777" w:rsidR="00481FE8" w:rsidRPr="004D23A4" w:rsidRDefault="00481FE8" w:rsidP="00481FE8">
      <w:pPr>
        <w:pStyle w:val="HeadingAnnexC"/>
      </w:pPr>
      <w:r w:rsidRPr="004D23A4">
        <w:t>AC Mains Voltage Variation</w:t>
      </w:r>
      <w:bookmarkEnd w:id="54"/>
      <w:bookmarkEnd w:id="55"/>
      <w:bookmarkEnd w:id="56"/>
    </w:p>
    <w:tbl>
      <w:tblPr>
        <w:tblStyle w:val="TableGrid"/>
        <w:tblW w:w="5000" w:type="pct"/>
        <w:tblLayout w:type="fixed"/>
        <w:tblCellMar>
          <w:left w:w="57" w:type="dxa"/>
          <w:right w:w="57" w:type="dxa"/>
        </w:tblCellMar>
        <w:tblLook w:val="01E0" w:firstRow="1" w:lastRow="1" w:firstColumn="1" w:lastColumn="1" w:noHBand="0" w:noVBand="0"/>
      </w:tblPr>
      <w:tblGrid>
        <w:gridCol w:w="2051"/>
        <w:gridCol w:w="1487"/>
        <w:gridCol w:w="6204"/>
      </w:tblGrid>
      <w:tr w:rsidR="00481FE8" w:rsidRPr="003075C7" w14:paraId="2A047384" w14:textId="77777777" w:rsidTr="00B43AE5">
        <w:tc>
          <w:tcPr>
            <w:tcW w:w="1053" w:type="pct"/>
            <w:shd w:val="clear" w:color="auto" w:fill="F0DCDC"/>
          </w:tcPr>
          <w:p w14:paraId="28CFA2CE" w14:textId="77777777" w:rsidR="00481FE8" w:rsidRPr="003075C7" w:rsidRDefault="00481FE8" w:rsidP="00481FE8">
            <w:pPr>
              <w:pStyle w:val="TestTableText"/>
            </w:pPr>
            <w:r w:rsidRPr="003075C7">
              <w:t>Object of test</w:t>
            </w:r>
          </w:p>
        </w:tc>
        <w:tc>
          <w:tcPr>
            <w:tcW w:w="3947" w:type="pct"/>
            <w:gridSpan w:val="2"/>
          </w:tcPr>
          <w:p w14:paraId="40A58C4E" w14:textId="77777777" w:rsidR="00481FE8" w:rsidRPr="003075C7" w:rsidRDefault="00481FE8" w:rsidP="00481FE8">
            <w:pPr>
              <w:pStyle w:val="TestTableText"/>
            </w:pPr>
            <w:r w:rsidRPr="003075C7">
              <w:t xml:space="preserve">To verify compliance with the limits in variation of error specified in </w:t>
            </w:r>
            <w:r>
              <w:t>Table 4</w:t>
            </w:r>
            <w:r w:rsidRPr="003075C7">
              <w:t xml:space="preserve"> under conditions of varying AC mains power voltage.</w:t>
            </w:r>
          </w:p>
        </w:tc>
      </w:tr>
      <w:tr w:rsidR="00481FE8" w:rsidRPr="003075C7" w14:paraId="363D2693" w14:textId="77777777" w:rsidTr="00B43AE5">
        <w:tc>
          <w:tcPr>
            <w:tcW w:w="1053" w:type="pct"/>
            <w:shd w:val="clear" w:color="auto" w:fill="F0DCDC"/>
          </w:tcPr>
          <w:p w14:paraId="07D04701" w14:textId="77777777" w:rsidR="00481FE8" w:rsidRPr="003075C7" w:rsidRDefault="00481FE8" w:rsidP="00481FE8">
            <w:pPr>
              <w:pStyle w:val="TestTableText"/>
            </w:pPr>
            <w:r w:rsidRPr="003075C7">
              <w:t>Test procedure in brief</w:t>
            </w:r>
          </w:p>
        </w:tc>
        <w:tc>
          <w:tcPr>
            <w:tcW w:w="3947" w:type="pct"/>
            <w:gridSpan w:val="2"/>
          </w:tcPr>
          <w:p w14:paraId="5C409FBE" w14:textId="77777777" w:rsidR="00481FE8" w:rsidRPr="003075C7" w:rsidRDefault="00481FE8" w:rsidP="00481FE8">
            <w:pPr>
              <w:pStyle w:val="TestTableText"/>
            </w:pPr>
            <w:r w:rsidRPr="003075C7">
              <w:t>The test consists of exposure to the specified power condition for a period sufficient for achieving temperature stability and for performing the required measurements.</w:t>
            </w:r>
          </w:p>
        </w:tc>
      </w:tr>
      <w:tr w:rsidR="00481FE8" w:rsidRPr="003075C7" w14:paraId="243AAE69" w14:textId="77777777" w:rsidTr="00B43AE5">
        <w:tc>
          <w:tcPr>
            <w:tcW w:w="1053" w:type="pct"/>
            <w:vMerge w:val="restart"/>
            <w:shd w:val="clear" w:color="auto" w:fill="F0DCDC"/>
          </w:tcPr>
          <w:p w14:paraId="62FD941E" w14:textId="490E3082" w:rsidR="00481FE8" w:rsidRPr="003075C7" w:rsidRDefault="00481FE8" w:rsidP="00481FE8">
            <w:pPr>
              <w:pStyle w:val="TestTableText"/>
            </w:pPr>
            <w:r w:rsidRPr="003075C7">
              <w:t>Mains voltage</w:t>
            </w:r>
            <w:r w:rsidR="00D164ED">
              <w:rPr>
                <w:vertAlign w:val="superscript"/>
              </w:rPr>
              <w:t>1</w:t>
            </w:r>
          </w:p>
        </w:tc>
        <w:tc>
          <w:tcPr>
            <w:tcW w:w="763" w:type="pct"/>
          </w:tcPr>
          <w:p w14:paraId="35281E03" w14:textId="77777777" w:rsidR="00481FE8" w:rsidRPr="003075C7" w:rsidRDefault="00481FE8" w:rsidP="00481FE8">
            <w:pPr>
              <w:pStyle w:val="TestTableText"/>
            </w:pPr>
            <w:r w:rsidRPr="003075C7">
              <w:t>Upper limit</w:t>
            </w:r>
          </w:p>
        </w:tc>
        <w:tc>
          <w:tcPr>
            <w:tcW w:w="3184" w:type="pct"/>
          </w:tcPr>
          <w:p w14:paraId="5F142E22" w14:textId="77777777" w:rsidR="00481FE8" w:rsidRPr="00481FE8" w:rsidRDefault="00481FE8" w:rsidP="00481FE8">
            <w:pPr>
              <w:pStyle w:val="TestTableText"/>
              <w:rPr>
                <w:rFonts w:ascii="Cambria Math" w:hAnsi="Cambria Math"/>
              </w:rPr>
            </w:pPr>
            <w:r w:rsidRPr="00481FE8">
              <w:rPr>
                <w:rFonts w:ascii="Cambria Math" w:hAnsi="Cambria Math"/>
                <w:i/>
              </w:rPr>
              <w:t>U</w:t>
            </w:r>
            <w:r w:rsidRPr="00481FE8">
              <w:rPr>
                <w:rFonts w:ascii="Cambria Math" w:hAnsi="Cambria Math"/>
                <w:vertAlign w:val="subscript"/>
              </w:rPr>
              <w:t>nom</w:t>
            </w:r>
            <w:r w:rsidRPr="00481FE8">
              <w:rPr>
                <w:rFonts w:ascii="Cambria Math" w:hAnsi="Cambria Math"/>
                <w:i/>
              </w:rPr>
              <w:t xml:space="preserve"> </w:t>
            </w:r>
            <w:r w:rsidRPr="00481FE8">
              <w:rPr>
                <w:rFonts w:ascii="Cambria Math" w:hAnsi="Cambria Math"/>
              </w:rPr>
              <w:t>+</w:t>
            </w:r>
            <w:r>
              <w:rPr>
                <w:rFonts w:ascii="Cambria Math" w:hAnsi="Cambria Math"/>
              </w:rPr>
              <w:t xml:space="preserve"> </w:t>
            </w:r>
            <w:r w:rsidRPr="00481FE8">
              <w:rPr>
                <w:rFonts w:ascii="Cambria Math" w:hAnsi="Cambria Math"/>
              </w:rPr>
              <w:t>10%</w:t>
            </w:r>
          </w:p>
        </w:tc>
      </w:tr>
      <w:tr w:rsidR="00481FE8" w:rsidRPr="003075C7" w14:paraId="2AA92954" w14:textId="77777777" w:rsidTr="00B43AE5">
        <w:tc>
          <w:tcPr>
            <w:tcW w:w="1053" w:type="pct"/>
            <w:vMerge/>
            <w:shd w:val="clear" w:color="auto" w:fill="F0DCDC"/>
          </w:tcPr>
          <w:p w14:paraId="7A41C6BC" w14:textId="77777777" w:rsidR="00481FE8" w:rsidRPr="003075C7" w:rsidRDefault="00481FE8" w:rsidP="00481FE8">
            <w:pPr>
              <w:pStyle w:val="TestTableText"/>
            </w:pPr>
          </w:p>
        </w:tc>
        <w:tc>
          <w:tcPr>
            <w:tcW w:w="763" w:type="pct"/>
          </w:tcPr>
          <w:p w14:paraId="48721D45" w14:textId="77777777" w:rsidR="00481FE8" w:rsidRPr="003075C7" w:rsidRDefault="00481FE8" w:rsidP="00481FE8">
            <w:pPr>
              <w:pStyle w:val="TestTableText"/>
            </w:pPr>
            <w:r w:rsidRPr="003075C7">
              <w:t>Lower limit</w:t>
            </w:r>
          </w:p>
        </w:tc>
        <w:tc>
          <w:tcPr>
            <w:tcW w:w="3184" w:type="pct"/>
          </w:tcPr>
          <w:p w14:paraId="5CD9CD63" w14:textId="77777777" w:rsidR="00481FE8" w:rsidRPr="00481FE8" w:rsidRDefault="00481FE8" w:rsidP="00481FE8">
            <w:pPr>
              <w:pStyle w:val="TestTableText"/>
              <w:rPr>
                <w:rFonts w:ascii="Cambria Math" w:hAnsi="Cambria Math"/>
              </w:rPr>
            </w:pPr>
            <w:r w:rsidRPr="00481FE8">
              <w:rPr>
                <w:rFonts w:ascii="Cambria Math" w:hAnsi="Cambria Math"/>
                <w:i/>
              </w:rPr>
              <w:t>U</w:t>
            </w:r>
            <w:r w:rsidRPr="00481FE8">
              <w:rPr>
                <w:rFonts w:ascii="Cambria Math" w:hAnsi="Cambria Math"/>
                <w:vertAlign w:val="subscript"/>
              </w:rPr>
              <w:t>nom</w:t>
            </w:r>
            <w:r w:rsidRPr="00481FE8">
              <w:rPr>
                <w:rFonts w:ascii="Cambria Math" w:hAnsi="Cambria Math"/>
              </w:rPr>
              <w:t xml:space="preserve"> </w:t>
            </w:r>
            <w:r>
              <w:rPr>
                <w:rFonts w:cs="Arial"/>
              </w:rPr>
              <w:t>−</w:t>
            </w:r>
            <w:r>
              <w:rPr>
                <w:rFonts w:ascii="Cambria Math" w:hAnsi="Cambria Math"/>
              </w:rPr>
              <w:t xml:space="preserve"> </w:t>
            </w:r>
            <w:r w:rsidRPr="00481FE8">
              <w:rPr>
                <w:rFonts w:ascii="Cambria Math" w:hAnsi="Cambria Math"/>
              </w:rPr>
              <w:t>10%</w:t>
            </w:r>
          </w:p>
        </w:tc>
      </w:tr>
      <w:tr w:rsidR="00481FE8" w:rsidRPr="003075C7" w14:paraId="343C290B" w14:textId="77777777" w:rsidTr="00B43AE5">
        <w:tc>
          <w:tcPr>
            <w:tcW w:w="1053" w:type="pct"/>
            <w:shd w:val="clear" w:color="auto" w:fill="F0DCDC"/>
          </w:tcPr>
          <w:p w14:paraId="36A3579A" w14:textId="69B4DB30" w:rsidR="00481FE8" w:rsidRPr="003075C7" w:rsidRDefault="00481FE8" w:rsidP="00481FE8">
            <w:pPr>
              <w:pStyle w:val="TestTableText"/>
            </w:pPr>
            <w:r>
              <w:t>Mains voltage, extended</w:t>
            </w:r>
            <w:r w:rsidR="00D164ED">
              <w:rPr>
                <w:vertAlign w:val="superscript"/>
              </w:rPr>
              <w:t>1</w:t>
            </w:r>
          </w:p>
        </w:tc>
        <w:tc>
          <w:tcPr>
            <w:tcW w:w="3947" w:type="pct"/>
            <w:gridSpan w:val="2"/>
          </w:tcPr>
          <w:p w14:paraId="336491DA" w14:textId="77777777" w:rsidR="00481FE8" w:rsidRPr="00481FE8" w:rsidRDefault="00481FE8" w:rsidP="00481FE8">
            <w:pPr>
              <w:pStyle w:val="TestTableText"/>
              <w:tabs>
                <w:tab w:val="left" w:pos="1148"/>
                <w:tab w:val="left" w:pos="1431"/>
                <w:tab w:val="left" w:pos="1715"/>
                <w:tab w:val="left" w:pos="1998"/>
              </w:tabs>
              <w:rPr>
                <w:rFonts w:ascii="Cambria Math" w:hAnsi="Cambria Math"/>
              </w:rPr>
            </w:pPr>
            <w:r w:rsidRPr="00481FE8">
              <w:rPr>
                <w:rFonts w:ascii="Cambria Math" w:hAnsi="Cambria Math"/>
              </w:rPr>
              <w:t xml:space="preserve">+10% </w:t>
            </w:r>
            <w:r w:rsidRPr="00481FE8">
              <w:rPr>
                <w:rFonts w:ascii="Cambria Math" w:hAnsi="Cambria Math"/>
                <w:i/>
              </w:rPr>
              <w:t>U</w:t>
            </w:r>
            <w:r w:rsidRPr="00481FE8">
              <w:rPr>
                <w:rFonts w:ascii="Cambria Math" w:hAnsi="Cambria Math"/>
                <w:vertAlign w:val="subscript"/>
              </w:rPr>
              <w:t>nom</w:t>
            </w:r>
            <w:r w:rsidRPr="00481FE8">
              <w:rPr>
                <w:rFonts w:ascii="Cambria Math" w:hAnsi="Cambria Math"/>
                <w:vertAlign w:val="subscript"/>
              </w:rPr>
              <w:tab/>
            </w:r>
            <w:r w:rsidRPr="00481FE8">
              <w:rPr>
                <w:rFonts w:ascii="Cambria Math" w:hAnsi="Cambria Math"/>
              </w:rPr>
              <w:t>&lt;</w:t>
            </w:r>
            <w:r w:rsidRPr="00481FE8">
              <w:rPr>
                <w:rFonts w:ascii="Cambria Math" w:hAnsi="Cambria Math"/>
              </w:rPr>
              <w:tab/>
            </w:r>
            <w:r w:rsidRPr="00481FE8">
              <w:rPr>
                <w:rFonts w:ascii="Cambria Math" w:hAnsi="Cambria Math"/>
                <w:i/>
              </w:rPr>
              <w:t>U</w:t>
            </w:r>
            <w:r w:rsidRPr="00481FE8">
              <w:rPr>
                <w:rFonts w:ascii="Cambria Math" w:hAnsi="Cambria Math"/>
                <w:i/>
              </w:rPr>
              <w:tab/>
            </w:r>
            <w:r w:rsidRPr="00481FE8">
              <w:rPr>
                <w:rFonts w:ascii="Cambria Math" w:hAnsi="Cambria Math" w:cs="Arial"/>
              </w:rPr>
              <w:t>≤</w:t>
            </w:r>
            <w:r w:rsidRPr="00481FE8">
              <w:rPr>
                <w:rFonts w:ascii="Cambria Math" w:hAnsi="Cambria Math" w:cs="Arial"/>
              </w:rPr>
              <w:tab/>
            </w:r>
            <w:r w:rsidRPr="00481FE8">
              <w:rPr>
                <w:rFonts w:ascii="Cambria Math" w:hAnsi="Cambria Math"/>
              </w:rPr>
              <w:t xml:space="preserve">+15% </w:t>
            </w:r>
            <w:r w:rsidRPr="00481FE8">
              <w:rPr>
                <w:rFonts w:ascii="Cambria Math" w:hAnsi="Cambria Math"/>
                <w:i/>
              </w:rPr>
              <w:t>U</w:t>
            </w:r>
            <w:r w:rsidRPr="00481FE8">
              <w:rPr>
                <w:rFonts w:ascii="Cambria Math" w:hAnsi="Cambria Math"/>
                <w:vertAlign w:val="subscript"/>
              </w:rPr>
              <w:t>nom</w:t>
            </w:r>
            <w:r w:rsidRPr="00481FE8">
              <w:rPr>
                <w:rFonts w:ascii="Cambria Math" w:hAnsi="Cambria Math"/>
                <w:vertAlign w:val="subscript"/>
              </w:rPr>
              <w:br/>
            </w:r>
            <w:r>
              <w:rPr>
                <w:rFonts w:cs="Arial"/>
              </w:rPr>
              <w:t>−</w:t>
            </w:r>
            <w:r w:rsidRPr="00481FE8">
              <w:rPr>
                <w:rFonts w:ascii="Cambria Math" w:hAnsi="Cambria Math"/>
              </w:rPr>
              <w:t xml:space="preserve">20% </w:t>
            </w:r>
            <w:r w:rsidRPr="00481FE8">
              <w:rPr>
                <w:rFonts w:ascii="Cambria Math" w:hAnsi="Cambria Math"/>
                <w:i/>
              </w:rPr>
              <w:t>U</w:t>
            </w:r>
            <w:r w:rsidRPr="00481FE8">
              <w:rPr>
                <w:rFonts w:ascii="Cambria Math" w:hAnsi="Cambria Math"/>
                <w:vertAlign w:val="subscript"/>
              </w:rPr>
              <w:t>nom</w:t>
            </w:r>
            <w:r w:rsidRPr="00481FE8">
              <w:rPr>
                <w:rFonts w:ascii="Cambria Math" w:hAnsi="Cambria Math"/>
              </w:rPr>
              <w:tab/>
            </w:r>
            <w:r w:rsidRPr="00481FE8">
              <w:rPr>
                <w:rFonts w:ascii="Cambria Math" w:hAnsi="Cambria Math" w:cs="Arial"/>
              </w:rPr>
              <w:t>≤</w:t>
            </w:r>
            <w:r w:rsidRPr="00481FE8">
              <w:rPr>
                <w:rFonts w:ascii="Cambria Math" w:hAnsi="Cambria Math"/>
              </w:rPr>
              <w:tab/>
            </w:r>
            <w:r w:rsidRPr="00481FE8">
              <w:rPr>
                <w:rFonts w:ascii="Cambria Math" w:hAnsi="Cambria Math"/>
                <w:i/>
              </w:rPr>
              <w:t>U</w:t>
            </w:r>
            <w:r w:rsidRPr="00481FE8">
              <w:rPr>
                <w:rFonts w:ascii="Cambria Math" w:hAnsi="Cambria Math"/>
                <w:i/>
              </w:rPr>
              <w:tab/>
            </w:r>
            <w:r w:rsidRPr="00481FE8">
              <w:rPr>
                <w:rFonts w:ascii="Cambria Math" w:hAnsi="Cambria Math" w:cs="Arial"/>
              </w:rPr>
              <w:t>&lt;</w:t>
            </w:r>
            <w:r w:rsidRPr="00481FE8">
              <w:rPr>
                <w:rFonts w:ascii="Cambria Math" w:hAnsi="Cambria Math" w:cs="Arial"/>
              </w:rPr>
              <w:tab/>
            </w:r>
            <w:r>
              <w:rPr>
                <w:rFonts w:cs="Arial"/>
              </w:rPr>
              <w:t>−</w:t>
            </w:r>
            <w:r w:rsidRPr="00481FE8">
              <w:rPr>
                <w:rFonts w:ascii="Cambria Math" w:hAnsi="Cambria Math"/>
              </w:rPr>
              <w:t xml:space="preserve">10% </w:t>
            </w:r>
            <w:r w:rsidRPr="00481FE8">
              <w:rPr>
                <w:rFonts w:ascii="Cambria Math" w:hAnsi="Cambria Math"/>
                <w:i/>
              </w:rPr>
              <w:t>U</w:t>
            </w:r>
            <w:r w:rsidRPr="00481FE8">
              <w:rPr>
                <w:rFonts w:ascii="Cambria Math" w:hAnsi="Cambria Math"/>
                <w:vertAlign w:val="subscript"/>
              </w:rPr>
              <w:t>nom</w:t>
            </w:r>
            <w:r w:rsidRPr="00481FE8">
              <w:rPr>
                <w:rFonts w:ascii="Cambria Math" w:hAnsi="Cambria Math"/>
                <w:vertAlign w:val="subscript"/>
              </w:rPr>
              <w:br/>
            </w:r>
            <w:r>
              <w:rPr>
                <w:rFonts w:cs="Arial"/>
              </w:rPr>
              <w:t>−</w:t>
            </w:r>
            <w:r w:rsidRPr="00481FE8">
              <w:rPr>
                <w:rFonts w:ascii="Cambria Math" w:hAnsi="Cambria Math"/>
              </w:rPr>
              <w:t xml:space="preserve">100% </w:t>
            </w:r>
            <w:r w:rsidRPr="00481FE8">
              <w:rPr>
                <w:rFonts w:ascii="Cambria Math" w:hAnsi="Cambria Math"/>
                <w:i/>
              </w:rPr>
              <w:t>U</w:t>
            </w:r>
            <w:r w:rsidRPr="00481FE8">
              <w:rPr>
                <w:rFonts w:ascii="Cambria Math" w:hAnsi="Cambria Math"/>
                <w:vertAlign w:val="subscript"/>
              </w:rPr>
              <w:t>nom</w:t>
            </w:r>
            <w:r w:rsidRPr="00481FE8">
              <w:rPr>
                <w:rFonts w:ascii="Cambria Math" w:hAnsi="Cambria Math"/>
              </w:rPr>
              <w:tab/>
            </w:r>
            <w:r w:rsidRPr="00481FE8">
              <w:rPr>
                <w:rFonts w:ascii="Cambria Math" w:hAnsi="Cambria Math" w:cs="Arial"/>
              </w:rPr>
              <w:t>≤</w:t>
            </w:r>
            <w:r w:rsidRPr="00481FE8">
              <w:rPr>
                <w:rFonts w:ascii="Cambria Math" w:hAnsi="Cambria Math" w:cs="Arial"/>
              </w:rPr>
              <w:tab/>
            </w:r>
            <w:r w:rsidRPr="00481FE8">
              <w:rPr>
                <w:rFonts w:ascii="Cambria Math" w:hAnsi="Cambria Math"/>
                <w:i/>
              </w:rPr>
              <w:t>U</w:t>
            </w:r>
            <w:r w:rsidRPr="00481FE8">
              <w:rPr>
                <w:rFonts w:ascii="Cambria Math" w:hAnsi="Cambria Math"/>
                <w:i/>
              </w:rPr>
              <w:tab/>
            </w:r>
            <w:r w:rsidRPr="00481FE8">
              <w:rPr>
                <w:rFonts w:ascii="Cambria Math" w:hAnsi="Cambria Math" w:cs="Arial"/>
              </w:rPr>
              <w:t>&lt;</w:t>
            </w:r>
            <w:r w:rsidRPr="00481FE8">
              <w:rPr>
                <w:rFonts w:ascii="Cambria Math" w:hAnsi="Cambria Math" w:cs="Arial"/>
              </w:rPr>
              <w:tab/>
            </w:r>
            <w:r>
              <w:rPr>
                <w:rFonts w:cs="Arial"/>
              </w:rPr>
              <w:t>−</w:t>
            </w:r>
            <w:r w:rsidRPr="00481FE8">
              <w:rPr>
                <w:rFonts w:ascii="Cambria Math" w:hAnsi="Cambria Math"/>
              </w:rPr>
              <w:t xml:space="preserve">20% </w:t>
            </w:r>
            <w:r w:rsidRPr="00481FE8">
              <w:rPr>
                <w:rFonts w:ascii="Cambria Math" w:hAnsi="Cambria Math"/>
                <w:i/>
              </w:rPr>
              <w:t>U</w:t>
            </w:r>
            <w:r w:rsidRPr="00481FE8">
              <w:rPr>
                <w:rFonts w:ascii="Cambria Math" w:hAnsi="Cambria Math"/>
                <w:vertAlign w:val="subscript"/>
              </w:rPr>
              <w:t>nom</w:t>
            </w:r>
          </w:p>
        </w:tc>
      </w:tr>
      <w:tr w:rsidR="00481FE8" w:rsidRPr="003075C7" w14:paraId="7FD5E9C4" w14:textId="77777777" w:rsidTr="00B43AE5">
        <w:tc>
          <w:tcPr>
            <w:tcW w:w="1053" w:type="pct"/>
            <w:shd w:val="clear" w:color="auto" w:fill="F0DCDC"/>
          </w:tcPr>
          <w:p w14:paraId="02FF6477" w14:textId="77777777" w:rsidR="00481FE8" w:rsidRPr="003075C7" w:rsidRDefault="00481FE8" w:rsidP="00481FE8">
            <w:pPr>
              <w:pStyle w:val="TestTableText"/>
            </w:pPr>
            <w:r w:rsidRPr="003075C7">
              <w:t xml:space="preserve">Additional </w:t>
            </w:r>
            <w:r>
              <w:t>i</w:t>
            </w:r>
            <w:r w:rsidRPr="003075C7">
              <w:t>nformation</w:t>
            </w:r>
          </w:p>
        </w:tc>
        <w:tc>
          <w:tcPr>
            <w:tcW w:w="3947" w:type="pct"/>
            <w:gridSpan w:val="2"/>
          </w:tcPr>
          <w:p w14:paraId="0016A573" w14:textId="659E668F" w:rsidR="00481FE8" w:rsidRPr="003075C7" w:rsidRDefault="00481FE8" w:rsidP="00B95BD2">
            <w:pPr>
              <w:pStyle w:val="Note"/>
              <w:spacing w:before="60" w:after="60"/>
            </w:pPr>
            <w:r>
              <w:t>N</w:t>
            </w:r>
            <w:r w:rsidR="00C76356">
              <w:t>ote 1</w:t>
            </w:r>
            <w:r>
              <w:t>:</w:t>
            </w:r>
            <w:r>
              <w:tab/>
            </w:r>
            <w:r w:rsidRPr="003075C7">
              <w:t xml:space="preserve">The values of </w:t>
            </w:r>
            <w:r w:rsidRPr="00481FE8">
              <w:rPr>
                <w:rFonts w:ascii="Cambria Math" w:hAnsi="Cambria Math"/>
                <w:i/>
              </w:rPr>
              <w:t>U</w:t>
            </w:r>
            <w:r w:rsidRPr="00481FE8">
              <w:rPr>
                <w:rFonts w:ascii="Cambria Math" w:hAnsi="Cambria Math"/>
                <w:vertAlign w:val="subscript"/>
              </w:rPr>
              <w:t>nom</w:t>
            </w:r>
            <w:r w:rsidRPr="003075C7">
              <w:t xml:space="preserve"> are those marked on the measuring instrument. In case a range is specified, the ‘–’ relates to the lowest value and the ‘+’ to the highest value of the range.</w:t>
            </w:r>
          </w:p>
        </w:tc>
      </w:tr>
    </w:tbl>
    <w:p w14:paraId="4C75FEDD" w14:textId="77777777" w:rsidR="00481FE8" w:rsidRPr="004D23A4" w:rsidRDefault="00481FE8" w:rsidP="00481FE8">
      <w:pPr>
        <w:pStyle w:val="HeadingAnnexC"/>
      </w:pPr>
      <w:bookmarkStart w:id="57" w:name="_Ref211430148"/>
      <w:bookmarkStart w:id="58" w:name="_Toc291768451"/>
      <w:bookmarkStart w:id="59" w:name="_Toc291769518"/>
      <w:r w:rsidRPr="004D23A4">
        <w:t>Frequency Variation</w:t>
      </w:r>
      <w:bookmarkEnd w:id="57"/>
      <w:bookmarkEnd w:id="58"/>
      <w:bookmarkEnd w:id="59"/>
    </w:p>
    <w:tbl>
      <w:tblPr>
        <w:tblStyle w:val="TableGrid"/>
        <w:tblW w:w="5000" w:type="pct"/>
        <w:tblLayout w:type="fixed"/>
        <w:tblCellMar>
          <w:left w:w="57" w:type="dxa"/>
          <w:right w:w="57" w:type="dxa"/>
        </w:tblCellMar>
        <w:tblLook w:val="01E0" w:firstRow="1" w:lastRow="1" w:firstColumn="1" w:lastColumn="1" w:noHBand="0" w:noVBand="0"/>
      </w:tblPr>
      <w:tblGrid>
        <w:gridCol w:w="2051"/>
        <w:gridCol w:w="1489"/>
        <w:gridCol w:w="6202"/>
      </w:tblGrid>
      <w:tr w:rsidR="00481FE8" w:rsidRPr="003075C7" w14:paraId="69EB149E" w14:textId="77777777" w:rsidTr="00B43AE5">
        <w:tc>
          <w:tcPr>
            <w:tcW w:w="1053" w:type="pct"/>
            <w:shd w:val="clear" w:color="auto" w:fill="F0DCDC"/>
          </w:tcPr>
          <w:p w14:paraId="65BF32BC" w14:textId="77777777" w:rsidR="00481FE8" w:rsidRPr="003075C7" w:rsidRDefault="00481FE8" w:rsidP="00B95BD2">
            <w:pPr>
              <w:pStyle w:val="TestTableText"/>
            </w:pPr>
            <w:r w:rsidRPr="003075C7">
              <w:t>Object of test</w:t>
            </w:r>
          </w:p>
        </w:tc>
        <w:tc>
          <w:tcPr>
            <w:tcW w:w="3947" w:type="pct"/>
            <w:gridSpan w:val="2"/>
            <w:vAlign w:val="center"/>
          </w:tcPr>
          <w:p w14:paraId="730A36F4" w14:textId="77777777" w:rsidR="00481FE8" w:rsidRPr="003075C7" w:rsidRDefault="00481FE8" w:rsidP="00B95BD2">
            <w:pPr>
              <w:pStyle w:val="TestTableText"/>
            </w:pPr>
            <w:r w:rsidRPr="003075C7">
              <w:t xml:space="preserve">To verify compliance with the limits in variation of error specified in </w:t>
            </w:r>
            <w:r>
              <w:br/>
              <w:t xml:space="preserve">Table 4 </w:t>
            </w:r>
            <w:r w:rsidRPr="003075C7">
              <w:t>under conditions of varying AC mains power frequency.</w:t>
            </w:r>
          </w:p>
        </w:tc>
      </w:tr>
      <w:tr w:rsidR="00481FE8" w:rsidRPr="003075C7" w14:paraId="4C56A8BE" w14:textId="77777777" w:rsidTr="00B43AE5">
        <w:tc>
          <w:tcPr>
            <w:tcW w:w="1053" w:type="pct"/>
            <w:shd w:val="clear" w:color="auto" w:fill="F0DCDC"/>
          </w:tcPr>
          <w:p w14:paraId="7A82D37A" w14:textId="77777777" w:rsidR="00481FE8" w:rsidRPr="003075C7" w:rsidRDefault="00481FE8" w:rsidP="00B95BD2">
            <w:pPr>
              <w:pStyle w:val="TestTableText"/>
            </w:pPr>
            <w:r w:rsidRPr="003075C7">
              <w:t>Test procedure in brief</w:t>
            </w:r>
          </w:p>
        </w:tc>
        <w:tc>
          <w:tcPr>
            <w:tcW w:w="3947" w:type="pct"/>
            <w:gridSpan w:val="2"/>
            <w:vAlign w:val="center"/>
          </w:tcPr>
          <w:p w14:paraId="07F7E69C" w14:textId="77777777" w:rsidR="00481FE8" w:rsidRPr="003075C7" w:rsidRDefault="00481FE8" w:rsidP="00B95BD2">
            <w:pPr>
              <w:pStyle w:val="TestTableText"/>
            </w:pPr>
            <w:r w:rsidRPr="003075C7">
              <w:t>The test consists of exposure to the specified power condition for a period sufficient for achieving temperature stability and for performing the required measurements.</w:t>
            </w:r>
          </w:p>
        </w:tc>
      </w:tr>
      <w:tr w:rsidR="00481FE8" w:rsidRPr="003075C7" w14:paraId="7D560231" w14:textId="77777777" w:rsidTr="00B43AE5">
        <w:tc>
          <w:tcPr>
            <w:tcW w:w="1053" w:type="pct"/>
            <w:vMerge w:val="restart"/>
            <w:shd w:val="clear" w:color="auto" w:fill="F0DCDC"/>
          </w:tcPr>
          <w:p w14:paraId="33945219" w14:textId="77777777" w:rsidR="00481FE8" w:rsidRPr="003075C7" w:rsidRDefault="00481FE8" w:rsidP="00B95BD2">
            <w:pPr>
              <w:pStyle w:val="TestTableText"/>
              <w:rPr>
                <w:vertAlign w:val="superscript"/>
              </w:rPr>
            </w:pPr>
            <w:r w:rsidRPr="003075C7">
              <w:t>Mains frequency</w:t>
            </w:r>
            <w:r w:rsidRPr="003075C7">
              <w:rPr>
                <w:vertAlign w:val="superscript"/>
              </w:rPr>
              <w:t>1</w:t>
            </w:r>
          </w:p>
        </w:tc>
        <w:tc>
          <w:tcPr>
            <w:tcW w:w="764" w:type="pct"/>
            <w:vAlign w:val="center"/>
          </w:tcPr>
          <w:p w14:paraId="5C1E5116" w14:textId="77777777" w:rsidR="00481FE8" w:rsidRPr="003075C7" w:rsidRDefault="00481FE8" w:rsidP="00B95BD2">
            <w:pPr>
              <w:pStyle w:val="TestTableText"/>
            </w:pPr>
            <w:r w:rsidRPr="003075C7">
              <w:t>Upper limit</w:t>
            </w:r>
          </w:p>
        </w:tc>
        <w:tc>
          <w:tcPr>
            <w:tcW w:w="3183" w:type="pct"/>
            <w:vAlign w:val="center"/>
          </w:tcPr>
          <w:p w14:paraId="1219A830" w14:textId="77777777" w:rsidR="00481FE8" w:rsidRPr="00B95BD2" w:rsidRDefault="00481FE8" w:rsidP="00B95BD2">
            <w:pPr>
              <w:pStyle w:val="TestTableText"/>
              <w:rPr>
                <w:rFonts w:ascii="Cambria Math" w:hAnsi="Cambria Math"/>
              </w:rPr>
            </w:pPr>
            <w:r w:rsidRPr="00B95BD2">
              <w:rPr>
                <w:rFonts w:ascii="Cambria Math" w:hAnsi="Cambria Math"/>
                <w:i/>
              </w:rPr>
              <w:t>f</w:t>
            </w:r>
            <w:r w:rsidRPr="00B95BD2">
              <w:rPr>
                <w:rFonts w:ascii="Cambria Math" w:hAnsi="Cambria Math"/>
                <w:vertAlign w:val="subscript"/>
              </w:rPr>
              <w:t>nom</w:t>
            </w:r>
            <w:r w:rsidRPr="00B95BD2">
              <w:rPr>
                <w:rFonts w:ascii="Cambria Math" w:hAnsi="Cambria Math"/>
              </w:rPr>
              <w:t xml:space="preserve"> + 2%</w:t>
            </w:r>
          </w:p>
        </w:tc>
      </w:tr>
      <w:tr w:rsidR="00481FE8" w:rsidRPr="003075C7" w14:paraId="3F08A050" w14:textId="77777777" w:rsidTr="00B43AE5">
        <w:tc>
          <w:tcPr>
            <w:tcW w:w="1053" w:type="pct"/>
            <w:vMerge/>
            <w:shd w:val="clear" w:color="auto" w:fill="F0DCDC"/>
          </w:tcPr>
          <w:p w14:paraId="679EF9F3" w14:textId="77777777" w:rsidR="00481FE8" w:rsidRPr="003075C7" w:rsidRDefault="00481FE8" w:rsidP="00B95BD2">
            <w:pPr>
              <w:pStyle w:val="TestTableText"/>
            </w:pPr>
          </w:p>
        </w:tc>
        <w:tc>
          <w:tcPr>
            <w:tcW w:w="764" w:type="pct"/>
            <w:vAlign w:val="center"/>
          </w:tcPr>
          <w:p w14:paraId="58E7CBB3" w14:textId="77777777" w:rsidR="00481FE8" w:rsidRPr="003075C7" w:rsidRDefault="00481FE8" w:rsidP="00B95BD2">
            <w:pPr>
              <w:pStyle w:val="TestTableText"/>
            </w:pPr>
            <w:r w:rsidRPr="003075C7">
              <w:t>Lower limit</w:t>
            </w:r>
          </w:p>
        </w:tc>
        <w:tc>
          <w:tcPr>
            <w:tcW w:w="3183" w:type="pct"/>
            <w:vAlign w:val="center"/>
          </w:tcPr>
          <w:p w14:paraId="4F7E657F" w14:textId="77777777" w:rsidR="00481FE8" w:rsidRPr="00B95BD2" w:rsidRDefault="00481FE8" w:rsidP="00B95BD2">
            <w:pPr>
              <w:pStyle w:val="TestTableText"/>
              <w:rPr>
                <w:rFonts w:ascii="Cambria Math" w:hAnsi="Cambria Math"/>
              </w:rPr>
            </w:pPr>
            <w:r w:rsidRPr="00B95BD2">
              <w:rPr>
                <w:rFonts w:ascii="Cambria Math" w:hAnsi="Cambria Math"/>
                <w:i/>
              </w:rPr>
              <w:t>f</w:t>
            </w:r>
            <w:r w:rsidRPr="00B95BD2">
              <w:rPr>
                <w:rFonts w:ascii="Cambria Math" w:hAnsi="Cambria Math"/>
                <w:vertAlign w:val="subscript"/>
              </w:rPr>
              <w:t>nom</w:t>
            </w:r>
            <w:r w:rsidRPr="00B95BD2">
              <w:rPr>
                <w:rFonts w:ascii="Cambria Math" w:hAnsi="Cambria Math"/>
              </w:rPr>
              <w:t xml:space="preserve"> </w:t>
            </w:r>
            <w:r w:rsidR="00B95BD2">
              <w:rPr>
                <w:rFonts w:cs="Arial"/>
              </w:rPr>
              <w:t>−</w:t>
            </w:r>
            <w:r w:rsidRPr="00B95BD2">
              <w:rPr>
                <w:rFonts w:ascii="Cambria Math" w:hAnsi="Cambria Math"/>
              </w:rPr>
              <w:t xml:space="preserve"> 2%</w:t>
            </w:r>
          </w:p>
        </w:tc>
      </w:tr>
      <w:tr w:rsidR="00481FE8" w:rsidRPr="003075C7" w14:paraId="6B492E93" w14:textId="77777777" w:rsidTr="00B43AE5">
        <w:tc>
          <w:tcPr>
            <w:tcW w:w="1053" w:type="pct"/>
            <w:shd w:val="clear" w:color="auto" w:fill="F0DCDC"/>
          </w:tcPr>
          <w:p w14:paraId="48FAFB79" w14:textId="77777777" w:rsidR="00481FE8" w:rsidRPr="003075C7" w:rsidRDefault="00481FE8" w:rsidP="00B95BD2">
            <w:pPr>
              <w:pStyle w:val="TestTableText"/>
            </w:pPr>
            <w:r w:rsidRPr="003075C7">
              <w:t xml:space="preserve">Additional </w:t>
            </w:r>
            <w:r>
              <w:t>i</w:t>
            </w:r>
            <w:r w:rsidRPr="003075C7">
              <w:t>nformation</w:t>
            </w:r>
          </w:p>
        </w:tc>
        <w:tc>
          <w:tcPr>
            <w:tcW w:w="3947" w:type="pct"/>
            <w:gridSpan w:val="2"/>
            <w:vAlign w:val="center"/>
          </w:tcPr>
          <w:p w14:paraId="5F8E25B3" w14:textId="77777777" w:rsidR="00481FE8" w:rsidRPr="003075C7" w:rsidRDefault="00481FE8" w:rsidP="00B95BD2">
            <w:pPr>
              <w:pStyle w:val="Note"/>
              <w:spacing w:before="60" w:after="60"/>
            </w:pPr>
            <w:r>
              <w:t>Note 1:</w:t>
            </w:r>
            <w:r>
              <w:tab/>
            </w:r>
            <w:r w:rsidRPr="003075C7">
              <w:t xml:space="preserve">The values of </w:t>
            </w:r>
            <w:r w:rsidRPr="00B95BD2">
              <w:rPr>
                <w:rFonts w:ascii="Cambria Math" w:hAnsi="Cambria Math"/>
                <w:i/>
              </w:rPr>
              <w:t>f</w:t>
            </w:r>
            <w:r w:rsidRPr="00B95BD2">
              <w:rPr>
                <w:rFonts w:ascii="Cambria Math" w:hAnsi="Cambria Math"/>
                <w:vertAlign w:val="subscript"/>
              </w:rPr>
              <w:t>nom</w:t>
            </w:r>
            <w:r w:rsidRPr="003075C7">
              <w:t xml:space="preserve"> are those marked on the measuring instrument. In case a range is specified, the ‘–’ relates to the lowest value and the ‘+’ to the highest value of the range.</w:t>
            </w:r>
          </w:p>
        </w:tc>
      </w:tr>
    </w:tbl>
    <w:p w14:paraId="718CA27A" w14:textId="77777777" w:rsidR="00B95BD2" w:rsidRPr="0073043C" w:rsidRDefault="00B95BD2" w:rsidP="00B95BD2">
      <w:pPr>
        <w:pStyle w:val="HeadingAnnexC"/>
      </w:pPr>
      <w:bookmarkStart w:id="60" w:name="_Ref217390645"/>
      <w:bookmarkStart w:id="61" w:name="_Toc291768452"/>
      <w:bookmarkStart w:id="62" w:name="_Toc291769519"/>
      <w:r w:rsidRPr="0073043C">
        <w:t>Voltage Dips and Short-term Interruptions</w:t>
      </w:r>
      <w:bookmarkEnd w:id="60"/>
      <w:bookmarkEnd w:id="61"/>
      <w:bookmarkEnd w:id="62"/>
    </w:p>
    <w:tbl>
      <w:tblPr>
        <w:tblStyle w:val="TableGrid"/>
        <w:tblW w:w="5000" w:type="pct"/>
        <w:tblLayout w:type="fixed"/>
        <w:tblCellMar>
          <w:left w:w="57" w:type="dxa"/>
          <w:right w:w="57" w:type="dxa"/>
        </w:tblCellMar>
        <w:tblLook w:val="01E0" w:firstRow="1" w:lastRow="1" w:firstColumn="1" w:lastColumn="1" w:noHBand="0" w:noVBand="0"/>
      </w:tblPr>
      <w:tblGrid>
        <w:gridCol w:w="2031"/>
        <w:gridCol w:w="1683"/>
        <w:gridCol w:w="1298"/>
        <w:gridCol w:w="2102"/>
        <w:gridCol w:w="2628"/>
      </w:tblGrid>
      <w:tr w:rsidR="00B95BD2" w:rsidRPr="003075C7" w14:paraId="512EE7FD" w14:textId="77777777" w:rsidTr="00B43AE5">
        <w:tc>
          <w:tcPr>
            <w:tcW w:w="1042" w:type="pct"/>
            <w:shd w:val="clear" w:color="auto" w:fill="F0DCDC"/>
          </w:tcPr>
          <w:p w14:paraId="3B4223DF" w14:textId="77777777" w:rsidR="00B95BD2" w:rsidRPr="003075C7" w:rsidRDefault="00B95BD2" w:rsidP="00B95BD2">
            <w:pPr>
              <w:pStyle w:val="TestTableText"/>
            </w:pPr>
            <w:r w:rsidRPr="003075C7">
              <w:t>Applicable standards</w:t>
            </w:r>
          </w:p>
        </w:tc>
        <w:tc>
          <w:tcPr>
            <w:tcW w:w="3958" w:type="pct"/>
            <w:gridSpan w:val="4"/>
            <w:vAlign w:val="center"/>
          </w:tcPr>
          <w:p w14:paraId="7366FE19" w14:textId="77777777" w:rsidR="00B95BD2" w:rsidRPr="006436E0" w:rsidRDefault="00B95BD2" w:rsidP="00B95BD2">
            <w:pPr>
              <w:pStyle w:val="TestTableText"/>
            </w:pPr>
            <w:r>
              <w:t>None.</w:t>
            </w:r>
          </w:p>
        </w:tc>
      </w:tr>
      <w:tr w:rsidR="00B95BD2" w:rsidRPr="003075C7" w14:paraId="65D5DEBE" w14:textId="77777777" w:rsidTr="00B43AE5">
        <w:tc>
          <w:tcPr>
            <w:tcW w:w="1042" w:type="pct"/>
            <w:shd w:val="clear" w:color="auto" w:fill="F0DCDC"/>
          </w:tcPr>
          <w:p w14:paraId="0F86A5C3" w14:textId="77777777" w:rsidR="00B95BD2" w:rsidRPr="003075C7" w:rsidRDefault="00B95BD2" w:rsidP="00B95BD2">
            <w:pPr>
              <w:pStyle w:val="TestTableText"/>
            </w:pPr>
            <w:r w:rsidRPr="003075C7">
              <w:t>Object of test</w:t>
            </w:r>
          </w:p>
        </w:tc>
        <w:tc>
          <w:tcPr>
            <w:tcW w:w="3958" w:type="pct"/>
            <w:gridSpan w:val="4"/>
            <w:vAlign w:val="center"/>
          </w:tcPr>
          <w:p w14:paraId="3B91DCF1" w14:textId="1ACE5C06" w:rsidR="00B95BD2" w:rsidRPr="003075C7" w:rsidRDefault="00B95BD2" w:rsidP="00BB34ED">
            <w:pPr>
              <w:pStyle w:val="TestTableText"/>
            </w:pPr>
            <w:r w:rsidRPr="003075C7">
              <w:t xml:space="preserve">To verify performance of the EUT under conditions of short-time mains voltage reductions. </w:t>
            </w:r>
            <w:r w:rsidRPr="003C70FC">
              <w:rPr>
                <w:rFonts w:eastAsia="Times" w:cs="Arial"/>
              </w:rPr>
              <w:t>The voltage dips and interruptions shall not produce a change in the register of more than</w:t>
            </w:r>
            <w:r w:rsidRPr="003075C7">
              <w:rPr>
                <w:rFonts w:ascii="Times" w:eastAsia="Times" w:hAnsi="Times"/>
              </w:rPr>
              <w:t xml:space="preserve"> </w:t>
            </w:r>
            <w:r w:rsidRPr="00B95BD2">
              <w:rPr>
                <w:rFonts w:ascii="Cambria Math" w:hAnsi="Cambria Math"/>
                <w:i/>
                <w:iCs/>
              </w:rPr>
              <w:t>x</w:t>
            </w:r>
            <w:r w:rsidRPr="003075C7">
              <w:t xml:space="preserve"> kWh and the test output shall not produce a signal equivalent to more than </w:t>
            </w:r>
            <w:r w:rsidRPr="00B95BD2">
              <w:rPr>
                <w:rFonts w:ascii="Cambria Math" w:hAnsi="Cambria Math"/>
                <w:i/>
                <w:iCs/>
              </w:rPr>
              <w:t>x</w:t>
            </w:r>
            <w:r w:rsidRPr="003075C7">
              <w:rPr>
                <w:i/>
                <w:iCs/>
              </w:rPr>
              <w:t> </w:t>
            </w:r>
            <w:r w:rsidRPr="003075C7">
              <w:t xml:space="preserve">kWh; the value of </w:t>
            </w:r>
            <w:r w:rsidRPr="00B95BD2">
              <w:rPr>
                <w:rFonts w:ascii="Cambria Math" w:hAnsi="Cambria Math"/>
                <w:i/>
              </w:rPr>
              <w:t>x</w:t>
            </w:r>
            <w:r w:rsidRPr="003075C7">
              <w:t xml:space="preserve"> is given in Annex </w:t>
            </w:r>
            <w:r>
              <w:t>A.2.11</w:t>
            </w:r>
            <w:r w:rsidRPr="003075C7">
              <w:t>.</w:t>
            </w:r>
          </w:p>
        </w:tc>
      </w:tr>
      <w:tr w:rsidR="00B95BD2" w:rsidRPr="003075C7" w14:paraId="35FC0676" w14:textId="77777777" w:rsidTr="00B43AE5">
        <w:tc>
          <w:tcPr>
            <w:tcW w:w="1042" w:type="pct"/>
            <w:shd w:val="clear" w:color="auto" w:fill="F0DCDC"/>
          </w:tcPr>
          <w:p w14:paraId="58CF0D04" w14:textId="77777777" w:rsidR="00B95BD2" w:rsidRPr="003075C7" w:rsidRDefault="00B95BD2" w:rsidP="00B95BD2">
            <w:pPr>
              <w:pStyle w:val="TestTableText"/>
            </w:pPr>
            <w:r w:rsidRPr="003075C7">
              <w:t>Test procedure in brief</w:t>
            </w:r>
          </w:p>
        </w:tc>
        <w:tc>
          <w:tcPr>
            <w:tcW w:w="3958" w:type="pct"/>
            <w:gridSpan w:val="4"/>
            <w:vAlign w:val="center"/>
          </w:tcPr>
          <w:p w14:paraId="1A33452C" w14:textId="77777777" w:rsidR="00B95BD2" w:rsidRPr="003075C7" w:rsidRDefault="00B95BD2" w:rsidP="00B95BD2">
            <w:pPr>
              <w:pStyle w:val="TestTableText"/>
            </w:pPr>
            <w:r w:rsidRPr="003075C7">
              <w:t>A test generator suitable to reduce for a defined period of time the amplitude of the AC mains voltage is used. The performance of the test generator shall be verified before connecting the EUT.</w:t>
            </w:r>
          </w:p>
          <w:p w14:paraId="3BF15FFB" w14:textId="77777777" w:rsidR="00B95BD2" w:rsidRPr="003075C7" w:rsidRDefault="00B95BD2" w:rsidP="00B95BD2">
            <w:pPr>
              <w:pStyle w:val="TestTableText"/>
            </w:pPr>
            <w:r w:rsidRPr="003075C7">
              <w:t>The EUT shall be tested with voltage and auxiliary circuits energised with the reference voltage and without any current in the current circuits.</w:t>
            </w:r>
          </w:p>
        </w:tc>
      </w:tr>
      <w:tr w:rsidR="00B95BD2" w:rsidRPr="003075C7" w14:paraId="2925EC79" w14:textId="77777777" w:rsidTr="00B43AE5">
        <w:tc>
          <w:tcPr>
            <w:tcW w:w="1042" w:type="pct"/>
            <w:shd w:val="clear" w:color="auto" w:fill="F0DCDC"/>
          </w:tcPr>
          <w:p w14:paraId="2090B463" w14:textId="77777777" w:rsidR="00B95BD2" w:rsidRPr="003075C7" w:rsidRDefault="00B95BD2" w:rsidP="00B95BD2">
            <w:pPr>
              <w:pStyle w:val="TestTableText"/>
            </w:pPr>
          </w:p>
        </w:tc>
        <w:tc>
          <w:tcPr>
            <w:tcW w:w="864" w:type="pct"/>
            <w:vAlign w:val="center"/>
          </w:tcPr>
          <w:p w14:paraId="6A64F36F" w14:textId="77777777" w:rsidR="00B95BD2" w:rsidRPr="00B95BD2" w:rsidRDefault="00B95BD2" w:rsidP="00B95BD2">
            <w:pPr>
              <w:pStyle w:val="TestTableText"/>
              <w:jc w:val="center"/>
              <w:rPr>
                <w:rFonts w:ascii="Cambria Math" w:hAnsi="Cambria Math"/>
                <w:i/>
              </w:rPr>
            </w:pPr>
            <w:r w:rsidRPr="00B95BD2">
              <w:rPr>
                <w:rFonts w:ascii="Cambria Math" w:hAnsi="Cambria Math"/>
              </w:rPr>
              <w:t>Δ</w:t>
            </w:r>
            <w:r w:rsidRPr="00B95BD2">
              <w:rPr>
                <w:rFonts w:ascii="Cambria Math" w:hAnsi="Cambria Math"/>
                <w:i/>
              </w:rPr>
              <w:t>U</w:t>
            </w:r>
          </w:p>
        </w:tc>
        <w:tc>
          <w:tcPr>
            <w:tcW w:w="666" w:type="pct"/>
            <w:vAlign w:val="center"/>
          </w:tcPr>
          <w:p w14:paraId="3DDBCF61" w14:textId="77777777" w:rsidR="00B95BD2" w:rsidRPr="003075C7" w:rsidRDefault="00B95BD2" w:rsidP="00B95BD2">
            <w:pPr>
              <w:pStyle w:val="TestTableText"/>
              <w:jc w:val="center"/>
            </w:pPr>
            <w:r w:rsidRPr="003075C7">
              <w:t>Duration</w:t>
            </w:r>
          </w:p>
        </w:tc>
        <w:tc>
          <w:tcPr>
            <w:tcW w:w="1079" w:type="pct"/>
            <w:vAlign w:val="center"/>
          </w:tcPr>
          <w:p w14:paraId="34AF7EDA" w14:textId="77777777" w:rsidR="00B95BD2" w:rsidRPr="003075C7" w:rsidRDefault="00B95BD2" w:rsidP="00B95BD2">
            <w:pPr>
              <w:pStyle w:val="TestTableText"/>
              <w:jc w:val="center"/>
            </w:pPr>
            <w:r w:rsidRPr="003075C7">
              <w:t>Number of dips or interruptions</w:t>
            </w:r>
          </w:p>
        </w:tc>
        <w:tc>
          <w:tcPr>
            <w:tcW w:w="1349" w:type="pct"/>
            <w:vAlign w:val="center"/>
          </w:tcPr>
          <w:p w14:paraId="4BA23707" w14:textId="77777777" w:rsidR="00B95BD2" w:rsidRPr="003075C7" w:rsidRDefault="00B95BD2" w:rsidP="00B95BD2">
            <w:pPr>
              <w:pStyle w:val="TestTableText"/>
              <w:jc w:val="center"/>
            </w:pPr>
            <w:r w:rsidRPr="003075C7">
              <w:t>Time between dips or interruptions</w:t>
            </w:r>
          </w:p>
        </w:tc>
      </w:tr>
      <w:tr w:rsidR="00B95BD2" w:rsidRPr="003075C7" w14:paraId="4F91A18C" w14:textId="77777777" w:rsidTr="00B43AE5">
        <w:tc>
          <w:tcPr>
            <w:tcW w:w="1042" w:type="pct"/>
            <w:shd w:val="clear" w:color="auto" w:fill="F0DCDC"/>
          </w:tcPr>
          <w:p w14:paraId="2EEDAB22" w14:textId="77777777" w:rsidR="00B95BD2" w:rsidRPr="003075C7" w:rsidRDefault="00B95BD2" w:rsidP="00B95BD2">
            <w:pPr>
              <w:pStyle w:val="TestTableText"/>
            </w:pPr>
            <w:r w:rsidRPr="003075C7">
              <w:t>Voltage dip</w:t>
            </w:r>
          </w:p>
        </w:tc>
        <w:tc>
          <w:tcPr>
            <w:tcW w:w="864" w:type="pct"/>
            <w:vAlign w:val="center"/>
          </w:tcPr>
          <w:p w14:paraId="6ECB14A2" w14:textId="77777777" w:rsidR="00B95BD2" w:rsidRPr="00B95BD2" w:rsidRDefault="00B95BD2" w:rsidP="00B95BD2">
            <w:pPr>
              <w:pStyle w:val="TestTableText"/>
              <w:jc w:val="center"/>
            </w:pPr>
            <w:r w:rsidRPr="00B95BD2">
              <w:t>50%</w:t>
            </w:r>
          </w:p>
        </w:tc>
        <w:tc>
          <w:tcPr>
            <w:tcW w:w="666" w:type="pct"/>
            <w:vAlign w:val="center"/>
          </w:tcPr>
          <w:p w14:paraId="7FE39085" w14:textId="77777777" w:rsidR="00B95BD2" w:rsidRPr="003075C7" w:rsidRDefault="00B95BD2" w:rsidP="00B95BD2">
            <w:pPr>
              <w:pStyle w:val="TestTableText"/>
              <w:jc w:val="center"/>
            </w:pPr>
            <w:r w:rsidRPr="003075C7">
              <w:t>1 min</w:t>
            </w:r>
          </w:p>
        </w:tc>
        <w:tc>
          <w:tcPr>
            <w:tcW w:w="1079" w:type="pct"/>
            <w:vAlign w:val="center"/>
          </w:tcPr>
          <w:p w14:paraId="582C4051" w14:textId="77777777" w:rsidR="00B95BD2" w:rsidRPr="003075C7" w:rsidRDefault="00B95BD2" w:rsidP="00B95BD2">
            <w:pPr>
              <w:pStyle w:val="TestTableText"/>
              <w:jc w:val="center"/>
            </w:pPr>
            <w:r>
              <w:t>1</w:t>
            </w:r>
          </w:p>
        </w:tc>
        <w:tc>
          <w:tcPr>
            <w:tcW w:w="1349" w:type="pct"/>
            <w:vAlign w:val="center"/>
          </w:tcPr>
          <w:p w14:paraId="34AC42F6" w14:textId="77777777" w:rsidR="00B95BD2" w:rsidRPr="003075C7" w:rsidRDefault="00B95BD2" w:rsidP="00B95BD2">
            <w:pPr>
              <w:pStyle w:val="TestTableText"/>
              <w:jc w:val="center"/>
            </w:pPr>
            <w:r w:rsidRPr="003075C7">
              <w:t>—</w:t>
            </w:r>
          </w:p>
        </w:tc>
      </w:tr>
      <w:tr w:rsidR="00B95BD2" w:rsidRPr="003075C7" w14:paraId="21A08624" w14:textId="77777777" w:rsidTr="00B43AE5">
        <w:tc>
          <w:tcPr>
            <w:tcW w:w="1042" w:type="pct"/>
            <w:vMerge w:val="restart"/>
            <w:shd w:val="clear" w:color="auto" w:fill="F0DCDC"/>
          </w:tcPr>
          <w:p w14:paraId="20EF4AF5" w14:textId="77777777" w:rsidR="00B95BD2" w:rsidRPr="003075C7" w:rsidRDefault="00B95BD2" w:rsidP="00B95BD2">
            <w:pPr>
              <w:pStyle w:val="TestTableText"/>
            </w:pPr>
            <w:r w:rsidRPr="003075C7">
              <w:t>Voltage interruption</w:t>
            </w:r>
          </w:p>
        </w:tc>
        <w:tc>
          <w:tcPr>
            <w:tcW w:w="864" w:type="pct"/>
            <w:vAlign w:val="center"/>
          </w:tcPr>
          <w:p w14:paraId="171B5D57" w14:textId="77777777" w:rsidR="00B95BD2" w:rsidRPr="00B95BD2" w:rsidRDefault="00B95BD2" w:rsidP="00B95BD2">
            <w:pPr>
              <w:pStyle w:val="TestTableText"/>
              <w:jc w:val="center"/>
            </w:pPr>
            <w:r w:rsidRPr="00B95BD2">
              <w:t>100%</w:t>
            </w:r>
          </w:p>
        </w:tc>
        <w:tc>
          <w:tcPr>
            <w:tcW w:w="666" w:type="pct"/>
            <w:vAlign w:val="center"/>
          </w:tcPr>
          <w:p w14:paraId="0FD89F43" w14:textId="77777777" w:rsidR="00B95BD2" w:rsidRPr="003075C7" w:rsidRDefault="00B95BD2" w:rsidP="00B95BD2">
            <w:pPr>
              <w:pStyle w:val="TestTableText"/>
              <w:jc w:val="center"/>
            </w:pPr>
            <w:r w:rsidRPr="003075C7">
              <w:t>1 s</w:t>
            </w:r>
          </w:p>
        </w:tc>
        <w:tc>
          <w:tcPr>
            <w:tcW w:w="1079" w:type="pct"/>
            <w:vAlign w:val="center"/>
          </w:tcPr>
          <w:p w14:paraId="046279DA" w14:textId="77777777" w:rsidR="00B95BD2" w:rsidRPr="003075C7" w:rsidRDefault="00B95BD2" w:rsidP="00B95BD2">
            <w:pPr>
              <w:pStyle w:val="TestTableText"/>
              <w:jc w:val="center"/>
            </w:pPr>
            <w:r>
              <w:t>3</w:t>
            </w:r>
          </w:p>
        </w:tc>
        <w:tc>
          <w:tcPr>
            <w:tcW w:w="1349" w:type="pct"/>
            <w:vAlign w:val="center"/>
          </w:tcPr>
          <w:p w14:paraId="50E94FA0" w14:textId="77777777" w:rsidR="00B95BD2" w:rsidRPr="003075C7" w:rsidRDefault="00B95BD2" w:rsidP="00B95BD2">
            <w:pPr>
              <w:pStyle w:val="TestTableText"/>
              <w:jc w:val="center"/>
            </w:pPr>
            <w:r w:rsidRPr="003075C7">
              <w:t>50 ms</w:t>
            </w:r>
          </w:p>
        </w:tc>
      </w:tr>
      <w:tr w:rsidR="00B95BD2" w:rsidRPr="003075C7" w14:paraId="0A97A4AC" w14:textId="77777777" w:rsidTr="00B43AE5">
        <w:tc>
          <w:tcPr>
            <w:tcW w:w="1042" w:type="pct"/>
            <w:vMerge/>
            <w:shd w:val="clear" w:color="auto" w:fill="F0DCDC"/>
          </w:tcPr>
          <w:p w14:paraId="2646E4D4" w14:textId="77777777" w:rsidR="00B95BD2" w:rsidRPr="003075C7" w:rsidRDefault="00B95BD2" w:rsidP="00B95BD2">
            <w:pPr>
              <w:pStyle w:val="TestTableText"/>
            </w:pPr>
          </w:p>
        </w:tc>
        <w:tc>
          <w:tcPr>
            <w:tcW w:w="864" w:type="pct"/>
            <w:vAlign w:val="center"/>
          </w:tcPr>
          <w:p w14:paraId="08C55304" w14:textId="77777777" w:rsidR="00B95BD2" w:rsidRPr="00B95BD2" w:rsidRDefault="00B95BD2" w:rsidP="00B95BD2">
            <w:pPr>
              <w:pStyle w:val="TestTableText"/>
              <w:jc w:val="center"/>
            </w:pPr>
            <w:r w:rsidRPr="00B95BD2">
              <w:t>100%</w:t>
            </w:r>
          </w:p>
        </w:tc>
        <w:tc>
          <w:tcPr>
            <w:tcW w:w="666" w:type="pct"/>
            <w:vAlign w:val="center"/>
          </w:tcPr>
          <w:p w14:paraId="150E6432" w14:textId="77777777" w:rsidR="00B95BD2" w:rsidRPr="003075C7" w:rsidRDefault="00B95BD2" w:rsidP="00B95BD2">
            <w:pPr>
              <w:pStyle w:val="TestTableText"/>
              <w:jc w:val="center"/>
            </w:pPr>
            <w:r w:rsidRPr="003075C7">
              <w:t>20 ms</w:t>
            </w:r>
          </w:p>
        </w:tc>
        <w:tc>
          <w:tcPr>
            <w:tcW w:w="1079" w:type="pct"/>
            <w:vAlign w:val="center"/>
          </w:tcPr>
          <w:p w14:paraId="64269E4A" w14:textId="77777777" w:rsidR="00B95BD2" w:rsidRPr="003075C7" w:rsidRDefault="00B95BD2" w:rsidP="00B95BD2">
            <w:pPr>
              <w:pStyle w:val="TestTableText"/>
              <w:jc w:val="center"/>
            </w:pPr>
            <w:r w:rsidRPr="003075C7">
              <w:t>1</w:t>
            </w:r>
          </w:p>
        </w:tc>
        <w:tc>
          <w:tcPr>
            <w:tcW w:w="1349" w:type="pct"/>
            <w:vAlign w:val="center"/>
          </w:tcPr>
          <w:p w14:paraId="38936BB4" w14:textId="77777777" w:rsidR="00B95BD2" w:rsidRPr="003075C7" w:rsidRDefault="00B95BD2" w:rsidP="00B95BD2">
            <w:pPr>
              <w:pStyle w:val="TestTableText"/>
              <w:jc w:val="center"/>
            </w:pPr>
            <w:r w:rsidRPr="003075C7">
              <w:t>—</w:t>
            </w:r>
          </w:p>
        </w:tc>
      </w:tr>
    </w:tbl>
    <w:p w14:paraId="76950A83" w14:textId="77777777" w:rsidR="00B95BD2" w:rsidRDefault="00B95BD2" w:rsidP="00B95BD2">
      <w:bookmarkStart w:id="63" w:name="_Ref195951680"/>
      <w:bookmarkStart w:id="64" w:name="_Ref197246124"/>
      <w:bookmarkStart w:id="65" w:name="_Toc291768453"/>
      <w:bookmarkStart w:id="66" w:name="_Toc291769520"/>
      <w:r>
        <w:br w:type="page"/>
      </w:r>
    </w:p>
    <w:p w14:paraId="4EC12DFD" w14:textId="77777777" w:rsidR="00B95BD2" w:rsidRPr="004D23A4" w:rsidRDefault="00B95BD2" w:rsidP="00B95BD2">
      <w:pPr>
        <w:pStyle w:val="HeadingAnnexC"/>
      </w:pPr>
      <w:r w:rsidRPr="004D23A4">
        <w:t>Electrical Fast Transient Bursts</w:t>
      </w:r>
      <w:bookmarkEnd w:id="63"/>
      <w:bookmarkEnd w:id="64"/>
      <w:bookmarkEnd w:id="65"/>
      <w:bookmarkEnd w:id="66"/>
    </w:p>
    <w:tbl>
      <w:tblPr>
        <w:tblStyle w:val="TableGrid"/>
        <w:tblW w:w="5000" w:type="pct"/>
        <w:tblLayout w:type="fixed"/>
        <w:tblCellMar>
          <w:left w:w="57" w:type="dxa"/>
          <w:right w:w="57" w:type="dxa"/>
        </w:tblCellMar>
        <w:tblLook w:val="01E0" w:firstRow="1" w:lastRow="1" w:firstColumn="1" w:lastColumn="1" w:noHBand="0" w:noVBand="0"/>
      </w:tblPr>
      <w:tblGrid>
        <w:gridCol w:w="2050"/>
        <w:gridCol w:w="3154"/>
        <w:gridCol w:w="4538"/>
      </w:tblGrid>
      <w:tr w:rsidR="00B95BD2" w:rsidRPr="003075C7" w14:paraId="017BFB90" w14:textId="77777777" w:rsidTr="00B43AE5">
        <w:tc>
          <w:tcPr>
            <w:tcW w:w="1052" w:type="pct"/>
            <w:shd w:val="clear" w:color="auto" w:fill="F0DCDC"/>
          </w:tcPr>
          <w:p w14:paraId="640E1A0D" w14:textId="77777777" w:rsidR="00B95BD2" w:rsidRPr="003075C7" w:rsidRDefault="00B95BD2" w:rsidP="00B95BD2">
            <w:pPr>
              <w:pStyle w:val="TestTableText"/>
            </w:pPr>
            <w:r w:rsidRPr="003075C7">
              <w:t>Applicable standards</w:t>
            </w:r>
          </w:p>
        </w:tc>
        <w:tc>
          <w:tcPr>
            <w:tcW w:w="3948" w:type="pct"/>
            <w:gridSpan w:val="2"/>
          </w:tcPr>
          <w:p w14:paraId="0C0A4815" w14:textId="77777777" w:rsidR="00B95BD2" w:rsidRPr="003075C7" w:rsidRDefault="00B95BD2" w:rsidP="00B95BD2">
            <w:pPr>
              <w:pStyle w:val="TestTableText"/>
            </w:pPr>
            <w:r w:rsidRPr="003075C7">
              <w:t>AS</w:t>
            </w:r>
            <w:r>
              <w:t>/NZS</w:t>
            </w:r>
            <w:r w:rsidRPr="003075C7">
              <w:t xml:space="preserve"> 61000.4.4 </w:t>
            </w:r>
            <w:r>
              <w:t>[23]</w:t>
            </w:r>
          </w:p>
        </w:tc>
      </w:tr>
      <w:tr w:rsidR="00B95BD2" w:rsidRPr="003075C7" w14:paraId="77A8359F" w14:textId="77777777" w:rsidTr="00B43AE5">
        <w:tc>
          <w:tcPr>
            <w:tcW w:w="1052" w:type="pct"/>
            <w:shd w:val="clear" w:color="auto" w:fill="F0DCDC"/>
          </w:tcPr>
          <w:p w14:paraId="0C6E840E" w14:textId="77777777" w:rsidR="00B95BD2" w:rsidRPr="003075C7" w:rsidRDefault="00B95BD2" w:rsidP="00B95BD2">
            <w:pPr>
              <w:pStyle w:val="TestTableText"/>
            </w:pPr>
            <w:r w:rsidRPr="003075C7">
              <w:t>Object of test</w:t>
            </w:r>
          </w:p>
        </w:tc>
        <w:tc>
          <w:tcPr>
            <w:tcW w:w="3948" w:type="pct"/>
            <w:gridSpan w:val="2"/>
          </w:tcPr>
          <w:p w14:paraId="06CCBE2B" w14:textId="77777777" w:rsidR="00B95BD2" w:rsidRPr="003075C7" w:rsidRDefault="00B95BD2" w:rsidP="00B95BD2">
            <w:pPr>
              <w:pStyle w:val="TestTableText"/>
            </w:pPr>
            <w:r w:rsidRPr="003075C7">
              <w:t xml:space="preserve">To verify compliance with the limits in variation of error specified in </w:t>
            </w:r>
            <w:r>
              <w:br/>
              <w:t xml:space="preserve">Table 4 </w:t>
            </w:r>
            <w:r w:rsidRPr="003075C7">
              <w:t>under conditions where electrical bursts are superimposed on the mains voltage. During the test, a temporary degradation or loss of functio</w:t>
            </w:r>
            <w:r>
              <w:t>n or performance is acceptable.</w:t>
            </w:r>
          </w:p>
        </w:tc>
      </w:tr>
      <w:tr w:rsidR="00B95BD2" w:rsidRPr="003075C7" w14:paraId="2F9A4506" w14:textId="77777777" w:rsidTr="00B43AE5">
        <w:tc>
          <w:tcPr>
            <w:tcW w:w="1052" w:type="pct"/>
            <w:shd w:val="clear" w:color="auto" w:fill="F0DCDC"/>
          </w:tcPr>
          <w:p w14:paraId="0B1E0D96" w14:textId="77777777" w:rsidR="00B95BD2" w:rsidRPr="003075C7" w:rsidRDefault="00B95BD2" w:rsidP="00B95BD2">
            <w:pPr>
              <w:pStyle w:val="TestTableText"/>
            </w:pPr>
            <w:r w:rsidRPr="003075C7">
              <w:t>Test procedure in brief</w:t>
            </w:r>
          </w:p>
        </w:tc>
        <w:tc>
          <w:tcPr>
            <w:tcW w:w="3948" w:type="pct"/>
            <w:gridSpan w:val="2"/>
          </w:tcPr>
          <w:p w14:paraId="1AFBF642" w14:textId="77777777" w:rsidR="00B95BD2" w:rsidRPr="003075C7" w:rsidRDefault="00B95BD2" w:rsidP="00B95BD2">
            <w:pPr>
              <w:pStyle w:val="TestTableText"/>
            </w:pPr>
            <w:r w:rsidRPr="003075C7">
              <w:t>A burst generator shall be used with the performance characteristics as specified in the referenced standard. The characteristics of the generator shall be verified before connecting the EUT.</w:t>
            </w:r>
          </w:p>
          <w:p w14:paraId="4F22EF62" w14:textId="77777777" w:rsidR="00B95BD2" w:rsidRPr="003075C7" w:rsidRDefault="00B95BD2" w:rsidP="00B95BD2">
            <w:pPr>
              <w:pStyle w:val="TestTableText"/>
            </w:pPr>
            <w:r w:rsidRPr="003075C7">
              <w:t>The test consists of exposure to bursts of voltage spikes for which the output voltage on 50 Ω and 1000 Ω load are defined in the referenced standard. Both positive and negative polarity of the bursts shall be applied. The duration of the test shall not be less than 1 min for each amplitude and polarity. The injection network on the mains shall contain blocking filters to prevent the burst energy being dissipated in the mains. The test pulses shall be continuously applied during the measuring time.</w:t>
            </w:r>
          </w:p>
          <w:p w14:paraId="0A465F4B" w14:textId="77777777" w:rsidR="00B95BD2" w:rsidRPr="003075C7" w:rsidRDefault="00B95BD2" w:rsidP="00B95BD2">
            <w:pPr>
              <w:pStyle w:val="TestTableText"/>
              <w:rPr>
                <w:lang w:val="en-US"/>
              </w:rPr>
            </w:pPr>
            <w:r w:rsidRPr="003075C7">
              <w:rPr>
                <w:lang w:val="en-US"/>
              </w:rPr>
              <w:t>The test shall be carried out under the following conditions:</w:t>
            </w:r>
          </w:p>
          <w:p w14:paraId="48C267CF" w14:textId="77777777" w:rsidR="00B95BD2" w:rsidRPr="003075C7" w:rsidRDefault="00B95BD2" w:rsidP="007C176B">
            <w:pPr>
              <w:pStyle w:val="TestTableText"/>
              <w:numPr>
                <w:ilvl w:val="0"/>
                <w:numId w:val="27"/>
              </w:numPr>
              <w:rPr>
                <w:lang w:val="en-US"/>
              </w:rPr>
            </w:pPr>
            <w:r w:rsidRPr="003075C7">
              <w:rPr>
                <w:lang w:val="en-US"/>
              </w:rPr>
              <w:t>the EUT mounted as table-top equipment</w:t>
            </w:r>
            <w:r>
              <w:rPr>
                <w:lang w:val="en-US"/>
              </w:rPr>
              <w:t>;</w:t>
            </w:r>
          </w:p>
          <w:p w14:paraId="65154671" w14:textId="77777777" w:rsidR="00B95BD2" w:rsidRPr="003075C7" w:rsidRDefault="00B95BD2" w:rsidP="007C176B">
            <w:pPr>
              <w:pStyle w:val="TestTableText"/>
              <w:numPr>
                <w:ilvl w:val="0"/>
                <w:numId w:val="27"/>
              </w:numPr>
              <w:rPr>
                <w:lang w:val="en-US"/>
              </w:rPr>
            </w:pPr>
            <w:r w:rsidRPr="003075C7">
              <w:rPr>
                <w:lang w:val="en-US"/>
              </w:rPr>
              <w:t>climatic conditions within the limits specified for the operation of the EUT and test equipment by their respective manufacturers</w:t>
            </w:r>
            <w:r>
              <w:rPr>
                <w:lang w:val="en-US"/>
              </w:rPr>
              <w:t>;</w:t>
            </w:r>
          </w:p>
          <w:p w14:paraId="7C3C3982" w14:textId="77777777" w:rsidR="00B95BD2" w:rsidRPr="003075C7" w:rsidRDefault="00B95BD2" w:rsidP="007C176B">
            <w:pPr>
              <w:pStyle w:val="TestTableText"/>
              <w:numPr>
                <w:ilvl w:val="0"/>
                <w:numId w:val="27"/>
              </w:numPr>
              <w:rPr>
                <w:lang w:val="en-US"/>
              </w:rPr>
            </w:pPr>
            <w:r w:rsidRPr="003075C7">
              <w:rPr>
                <w:lang w:val="en-US"/>
              </w:rPr>
              <w:t>the voltage and auxiliary circuits energ</w:t>
            </w:r>
            <w:r>
              <w:rPr>
                <w:lang w:val="en-US"/>
              </w:rPr>
              <w:t>is</w:t>
            </w:r>
            <w:r w:rsidRPr="003075C7">
              <w:rPr>
                <w:lang w:val="en-US"/>
              </w:rPr>
              <w:t>ed with reference voltage</w:t>
            </w:r>
            <w:r>
              <w:rPr>
                <w:lang w:val="en-US"/>
              </w:rPr>
              <w:t>;</w:t>
            </w:r>
          </w:p>
          <w:p w14:paraId="2D7735FA" w14:textId="77777777" w:rsidR="00B95BD2" w:rsidRPr="003075C7" w:rsidRDefault="00B95BD2" w:rsidP="007C176B">
            <w:pPr>
              <w:pStyle w:val="TestTableText"/>
              <w:numPr>
                <w:ilvl w:val="0"/>
                <w:numId w:val="27"/>
              </w:numPr>
              <w:rPr>
                <w:lang w:val="en-US"/>
              </w:rPr>
            </w:pPr>
            <w:r w:rsidRPr="003075C7">
              <w:t xml:space="preserve">basic current </w:t>
            </w:r>
            <w:r w:rsidRPr="00B95BD2">
              <w:rPr>
                <w:rFonts w:ascii="Cambria Math" w:hAnsi="Cambria Math"/>
                <w:i/>
              </w:rPr>
              <w:t>I</w:t>
            </w:r>
            <w:r w:rsidRPr="00B95BD2">
              <w:rPr>
                <w:rFonts w:ascii="Cambria Math" w:hAnsi="Cambria Math"/>
                <w:vertAlign w:val="subscript"/>
              </w:rPr>
              <w:t>b</w:t>
            </w:r>
            <w:r w:rsidRPr="003075C7">
              <w:t xml:space="preserve"> (or rated current </w:t>
            </w:r>
            <w:r w:rsidRPr="00B95BD2">
              <w:rPr>
                <w:rFonts w:ascii="Cambria Math" w:hAnsi="Cambria Math"/>
                <w:i/>
              </w:rPr>
              <w:t>I</w:t>
            </w:r>
            <w:r w:rsidRPr="00B95BD2">
              <w:rPr>
                <w:rFonts w:ascii="Cambria Math" w:hAnsi="Cambria Math"/>
                <w:vertAlign w:val="subscript"/>
              </w:rPr>
              <w:t>n</w:t>
            </w:r>
            <w:r w:rsidRPr="003075C7">
              <w:t xml:space="preserve"> as appropriate) and </w:t>
            </w:r>
            <w:r w:rsidRPr="00B95BD2">
              <w:rPr>
                <w:rFonts w:ascii="Cambria Math" w:hAnsi="Cambria Math"/>
              </w:rPr>
              <w:t>cos φ</w:t>
            </w:r>
            <w:r w:rsidRPr="003075C7">
              <w:t xml:space="preserve"> (or </w:t>
            </w:r>
            <w:r w:rsidRPr="00B95BD2">
              <w:rPr>
                <w:rFonts w:ascii="Cambria Math" w:hAnsi="Cambria Math"/>
              </w:rPr>
              <w:t>sin φ</w:t>
            </w:r>
            <w:r w:rsidRPr="003075C7">
              <w:t xml:space="preserve">) according to the values given in </w:t>
            </w:r>
            <w:r>
              <w:t>Table 4; and</w:t>
            </w:r>
          </w:p>
          <w:p w14:paraId="515E7423" w14:textId="77777777" w:rsidR="00B95BD2" w:rsidRPr="003075C7" w:rsidRDefault="00B95BD2" w:rsidP="007C176B">
            <w:pPr>
              <w:pStyle w:val="TestTableText"/>
              <w:numPr>
                <w:ilvl w:val="0"/>
                <w:numId w:val="27"/>
              </w:numPr>
              <w:rPr>
                <w:lang w:val="en-US"/>
              </w:rPr>
            </w:pPr>
            <w:r w:rsidRPr="003075C7">
              <w:rPr>
                <w:lang w:val="en-US"/>
              </w:rPr>
              <w:t xml:space="preserve">test voltage applied in common mode (line to earth) to the voltage circuits, the current circuits (if separated from the voltage circuits in normal operation), and the auxiliary circuits (if separated </w:t>
            </w:r>
            <w:r w:rsidRPr="003075C7">
              <w:t>from</w:t>
            </w:r>
            <w:r w:rsidRPr="003075C7">
              <w:rPr>
                <w:lang w:val="en-US"/>
              </w:rPr>
              <w:t xml:space="preserve"> the voltage circuits in normal operation).</w:t>
            </w:r>
          </w:p>
        </w:tc>
      </w:tr>
      <w:tr w:rsidR="00B95BD2" w:rsidRPr="003075C7" w14:paraId="215BF154" w14:textId="77777777" w:rsidTr="00B43AE5">
        <w:tc>
          <w:tcPr>
            <w:tcW w:w="1052" w:type="pct"/>
            <w:shd w:val="clear" w:color="auto" w:fill="F0DCDC"/>
            <w:vAlign w:val="center"/>
          </w:tcPr>
          <w:p w14:paraId="4C56B6A5" w14:textId="77777777" w:rsidR="00B95BD2" w:rsidRPr="003075C7" w:rsidRDefault="00B95BD2" w:rsidP="003E446D">
            <w:pPr>
              <w:pStyle w:val="TestTableText"/>
              <w:jc w:val="right"/>
            </w:pPr>
            <w:r>
              <w:t>Test</w:t>
            </w:r>
            <w:r w:rsidR="003E446D">
              <w:t>s</w:t>
            </w:r>
            <w:r>
              <w:t>:</w:t>
            </w:r>
          </w:p>
        </w:tc>
        <w:tc>
          <w:tcPr>
            <w:tcW w:w="1619" w:type="pct"/>
            <w:shd w:val="clear" w:color="auto" w:fill="F0DCDC"/>
            <w:tcMar>
              <w:left w:w="28" w:type="dxa"/>
              <w:right w:w="28" w:type="dxa"/>
            </w:tcMar>
            <w:vAlign w:val="center"/>
          </w:tcPr>
          <w:p w14:paraId="35A9AC03" w14:textId="77777777" w:rsidR="00B95BD2" w:rsidRPr="003075C7" w:rsidRDefault="00B95BD2" w:rsidP="00B95BD2">
            <w:pPr>
              <w:pStyle w:val="TestTableText"/>
              <w:jc w:val="center"/>
            </w:pPr>
            <w:r w:rsidRPr="003075C7">
              <w:t>On auxiliary circuits with a reference voltage over 40 V</w:t>
            </w:r>
          </w:p>
        </w:tc>
        <w:tc>
          <w:tcPr>
            <w:tcW w:w="2329" w:type="pct"/>
            <w:shd w:val="clear" w:color="auto" w:fill="F0DCDC"/>
            <w:tcMar>
              <w:left w:w="28" w:type="dxa"/>
              <w:right w:w="28" w:type="dxa"/>
            </w:tcMar>
            <w:vAlign w:val="center"/>
          </w:tcPr>
          <w:p w14:paraId="4938C149" w14:textId="77777777" w:rsidR="00B95BD2" w:rsidRPr="003075C7" w:rsidRDefault="00B95BD2" w:rsidP="00B95BD2">
            <w:pPr>
              <w:pStyle w:val="TestTableText"/>
              <w:jc w:val="center"/>
              <w:rPr>
                <w:vertAlign w:val="superscript"/>
              </w:rPr>
            </w:pPr>
            <w:r w:rsidRPr="003075C7">
              <w:t>On current and voltage circuits (including an auxiliary supply to the meter where relevant)</w:t>
            </w:r>
          </w:p>
        </w:tc>
      </w:tr>
      <w:tr w:rsidR="00B95BD2" w:rsidRPr="003075C7" w14:paraId="018218E3" w14:textId="77777777" w:rsidTr="00B43AE5">
        <w:tc>
          <w:tcPr>
            <w:tcW w:w="1052" w:type="pct"/>
            <w:shd w:val="clear" w:color="auto" w:fill="F0DCDC"/>
          </w:tcPr>
          <w:p w14:paraId="5F45D4E4" w14:textId="77777777" w:rsidR="00B95BD2" w:rsidRPr="003075C7" w:rsidRDefault="00B95BD2" w:rsidP="00B95BD2">
            <w:pPr>
              <w:pStyle w:val="TestTableText"/>
            </w:pPr>
            <w:r w:rsidRPr="003075C7">
              <w:t>Test severity level</w:t>
            </w:r>
          </w:p>
        </w:tc>
        <w:tc>
          <w:tcPr>
            <w:tcW w:w="1619" w:type="pct"/>
            <w:vAlign w:val="center"/>
          </w:tcPr>
          <w:p w14:paraId="15052392" w14:textId="77777777" w:rsidR="00B95BD2" w:rsidRPr="003075C7" w:rsidRDefault="00B95BD2" w:rsidP="00B95BD2">
            <w:pPr>
              <w:pStyle w:val="TestTableText"/>
              <w:jc w:val="center"/>
              <w:rPr>
                <w:vertAlign w:val="superscript"/>
              </w:rPr>
            </w:pPr>
            <w:r w:rsidRPr="003075C7">
              <w:t>3</w:t>
            </w:r>
          </w:p>
        </w:tc>
        <w:tc>
          <w:tcPr>
            <w:tcW w:w="2329" w:type="pct"/>
            <w:vAlign w:val="center"/>
          </w:tcPr>
          <w:p w14:paraId="01324B5E" w14:textId="77777777" w:rsidR="00B95BD2" w:rsidRPr="003075C7" w:rsidRDefault="00B95BD2" w:rsidP="00B95BD2">
            <w:pPr>
              <w:pStyle w:val="TestTableText"/>
              <w:jc w:val="center"/>
            </w:pPr>
            <w:r w:rsidRPr="003075C7">
              <w:t>4</w:t>
            </w:r>
          </w:p>
        </w:tc>
      </w:tr>
      <w:tr w:rsidR="00B95BD2" w:rsidRPr="003075C7" w14:paraId="4B169E1F" w14:textId="77777777" w:rsidTr="00B43AE5">
        <w:tc>
          <w:tcPr>
            <w:tcW w:w="1052" w:type="pct"/>
            <w:shd w:val="clear" w:color="auto" w:fill="F0DCDC"/>
          </w:tcPr>
          <w:p w14:paraId="770177BB" w14:textId="77777777" w:rsidR="00B95BD2" w:rsidRPr="003075C7" w:rsidRDefault="00B95BD2" w:rsidP="00B95BD2">
            <w:pPr>
              <w:pStyle w:val="TestTableText"/>
            </w:pPr>
            <w:r w:rsidRPr="003075C7">
              <w:t>Amplitude</w:t>
            </w:r>
          </w:p>
        </w:tc>
        <w:tc>
          <w:tcPr>
            <w:tcW w:w="1619" w:type="pct"/>
            <w:vAlign w:val="center"/>
          </w:tcPr>
          <w:p w14:paraId="0E5B4046" w14:textId="77777777" w:rsidR="00B95BD2" w:rsidRPr="003075C7" w:rsidRDefault="00B95BD2" w:rsidP="00B95BD2">
            <w:pPr>
              <w:pStyle w:val="TestTableText"/>
              <w:jc w:val="center"/>
            </w:pPr>
            <w:r w:rsidRPr="003075C7">
              <w:t>2</w:t>
            </w:r>
            <w:r>
              <w:t xml:space="preserve"> </w:t>
            </w:r>
            <w:r w:rsidRPr="003075C7">
              <w:t>kV</w:t>
            </w:r>
          </w:p>
        </w:tc>
        <w:tc>
          <w:tcPr>
            <w:tcW w:w="2329" w:type="pct"/>
            <w:vAlign w:val="center"/>
          </w:tcPr>
          <w:p w14:paraId="5DBD87FB" w14:textId="77777777" w:rsidR="00B95BD2" w:rsidRPr="003075C7" w:rsidRDefault="00B95BD2" w:rsidP="00B95BD2">
            <w:pPr>
              <w:pStyle w:val="TestTableText"/>
              <w:jc w:val="center"/>
            </w:pPr>
            <w:r w:rsidRPr="003075C7">
              <w:t>4</w:t>
            </w:r>
            <w:r>
              <w:t xml:space="preserve"> </w:t>
            </w:r>
            <w:r w:rsidRPr="003075C7">
              <w:t>kV</w:t>
            </w:r>
          </w:p>
        </w:tc>
      </w:tr>
      <w:tr w:rsidR="00B95BD2" w:rsidRPr="003075C7" w14:paraId="05605AF9" w14:textId="77777777" w:rsidTr="00B43AE5">
        <w:tc>
          <w:tcPr>
            <w:tcW w:w="1052" w:type="pct"/>
            <w:shd w:val="clear" w:color="auto" w:fill="F0DCDC"/>
          </w:tcPr>
          <w:p w14:paraId="3DBCE15B" w14:textId="77777777" w:rsidR="00B95BD2" w:rsidRPr="003075C7" w:rsidRDefault="00B95BD2" w:rsidP="00B95BD2">
            <w:pPr>
              <w:pStyle w:val="TestTableText"/>
            </w:pPr>
            <w:r w:rsidRPr="003075C7">
              <w:t>Repetition rate</w:t>
            </w:r>
          </w:p>
        </w:tc>
        <w:tc>
          <w:tcPr>
            <w:tcW w:w="1619" w:type="pct"/>
            <w:vAlign w:val="center"/>
          </w:tcPr>
          <w:p w14:paraId="121E2E96" w14:textId="77777777" w:rsidR="00B95BD2" w:rsidRPr="003075C7" w:rsidRDefault="00B95BD2" w:rsidP="00B95BD2">
            <w:pPr>
              <w:pStyle w:val="TestTableText"/>
              <w:jc w:val="center"/>
            </w:pPr>
            <w:r w:rsidRPr="003075C7">
              <w:t>5</w:t>
            </w:r>
            <w:r>
              <w:t xml:space="preserve"> </w:t>
            </w:r>
            <w:r w:rsidRPr="003075C7">
              <w:t>kHz</w:t>
            </w:r>
          </w:p>
        </w:tc>
        <w:tc>
          <w:tcPr>
            <w:tcW w:w="2329" w:type="pct"/>
            <w:vAlign w:val="center"/>
          </w:tcPr>
          <w:p w14:paraId="2AEDF1C2" w14:textId="77777777" w:rsidR="00B95BD2" w:rsidRPr="003075C7" w:rsidRDefault="00B95BD2" w:rsidP="00B95BD2">
            <w:pPr>
              <w:pStyle w:val="TestTableText"/>
              <w:jc w:val="center"/>
            </w:pPr>
            <w:r w:rsidRPr="003075C7">
              <w:t>5</w:t>
            </w:r>
            <w:r>
              <w:t xml:space="preserve"> </w:t>
            </w:r>
            <w:r w:rsidRPr="003075C7">
              <w:t>kHz</w:t>
            </w:r>
          </w:p>
        </w:tc>
      </w:tr>
      <w:tr w:rsidR="00B95BD2" w:rsidRPr="003075C7" w14:paraId="61DF000F" w14:textId="77777777" w:rsidTr="00B43AE5">
        <w:tc>
          <w:tcPr>
            <w:tcW w:w="1052" w:type="pct"/>
            <w:shd w:val="clear" w:color="auto" w:fill="F0DCDC"/>
          </w:tcPr>
          <w:p w14:paraId="5C8EBE79" w14:textId="77777777" w:rsidR="00B95BD2" w:rsidRPr="003075C7" w:rsidRDefault="00B95BD2" w:rsidP="00B95BD2">
            <w:pPr>
              <w:pStyle w:val="TestTableText"/>
            </w:pPr>
            <w:r w:rsidRPr="003075C7">
              <w:t>Duration of test</w:t>
            </w:r>
          </w:p>
        </w:tc>
        <w:tc>
          <w:tcPr>
            <w:tcW w:w="3948" w:type="pct"/>
            <w:gridSpan w:val="2"/>
          </w:tcPr>
          <w:p w14:paraId="6B2E14C0" w14:textId="77777777" w:rsidR="00B95BD2" w:rsidRPr="003075C7" w:rsidRDefault="00B95BD2" w:rsidP="00B95BD2">
            <w:pPr>
              <w:pStyle w:val="TestTableText"/>
            </w:pPr>
            <w:r w:rsidRPr="003075C7">
              <w:t>60 s at each polarity</w:t>
            </w:r>
          </w:p>
        </w:tc>
      </w:tr>
      <w:tr w:rsidR="00B95BD2" w:rsidRPr="003075C7" w14:paraId="5E581C7D" w14:textId="77777777" w:rsidTr="00B43AE5">
        <w:tc>
          <w:tcPr>
            <w:tcW w:w="1052" w:type="pct"/>
            <w:shd w:val="clear" w:color="auto" w:fill="F0DCDC"/>
          </w:tcPr>
          <w:p w14:paraId="43123875" w14:textId="77777777" w:rsidR="00B95BD2" w:rsidRPr="003075C7" w:rsidRDefault="00B95BD2" w:rsidP="00B95BD2">
            <w:pPr>
              <w:pStyle w:val="TestTableText"/>
            </w:pPr>
            <w:r w:rsidRPr="003075C7">
              <w:t xml:space="preserve">Additional </w:t>
            </w:r>
            <w:r>
              <w:t>i</w:t>
            </w:r>
            <w:r w:rsidRPr="003075C7">
              <w:t>nformation</w:t>
            </w:r>
          </w:p>
        </w:tc>
        <w:tc>
          <w:tcPr>
            <w:tcW w:w="3948" w:type="pct"/>
            <w:gridSpan w:val="2"/>
          </w:tcPr>
          <w:p w14:paraId="2D0CC7C2" w14:textId="77777777" w:rsidR="00B95BD2" w:rsidRPr="003075C7" w:rsidRDefault="00B95BD2" w:rsidP="00B95BD2">
            <w:pPr>
              <w:pStyle w:val="TestTableText"/>
            </w:pPr>
            <w:r w:rsidRPr="003075C7">
              <w:t>Cable length between EUT and coupling device: 1 m</w:t>
            </w:r>
          </w:p>
        </w:tc>
      </w:tr>
    </w:tbl>
    <w:p w14:paraId="7549DE65" w14:textId="77777777" w:rsidR="00B95BD2" w:rsidRDefault="00B95BD2" w:rsidP="00B43AE5">
      <w:bookmarkStart w:id="67" w:name="_Ref195951694"/>
      <w:bookmarkStart w:id="68" w:name="_Ref197246146"/>
      <w:bookmarkStart w:id="69" w:name="_Toc291768454"/>
      <w:bookmarkStart w:id="70" w:name="_Toc291769521"/>
      <w:r>
        <w:br w:type="page"/>
      </w:r>
    </w:p>
    <w:p w14:paraId="2DE5B39E" w14:textId="77777777" w:rsidR="00B95BD2" w:rsidRPr="004D23A4" w:rsidRDefault="00B95BD2" w:rsidP="00B95BD2">
      <w:pPr>
        <w:pStyle w:val="HeadingAnnexC"/>
      </w:pPr>
      <w:r w:rsidRPr="004D23A4">
        <w:t>Short-time Overcurrents</w:t>
      </w:r>
      <w:bookmarkEnd w:id="67"/>
      <w:bookmarkEnd w:id="68"/>
      <w:bookmarkEnd w:id="69"/>
      <w:bookmarkEnd w:id="70"/>
    </w:p>
    <w:tbl>
      <w:tblPr>
        <w:tblStyle w:val="TableGrid"/>
        <w:tblW w:w="5000" w:type="pct"/>
        <w:tblCellMar>
          <w:left w:w="57" w:type="dxa"/>
          <w:right w:w="57" w:type="dxa"/>
        </w:tblCellMar>
        <w:tblLook w:val="01E0" w:firstRow="1" w:lastRow="1" w:firstColumn="1" w:lastColumn="1" w:noHBand="0" w:noVBand="0"/>
      </w:tblPr>
      <w:tblGrid>
        <w:gridCol w:w="2080"/>
        <w:gridCol w:w="1915"/>
        <w:gridCol w:w="1915"/>
        <w:gridCol w:w="1915"/>
        <w:gridCol w:w="1917"/>
      </w:tblGrid>
      <w:tr w:rsidR="00B95BD2" w:rsidRPr="003075C7" w14:paraId="56F98060" w14:textId="77777777" w:rsidTr="003C70FC">
        <w:tc>
          <w:tcPr>
            <w:tcW w:w="1067" w:type="pct"/>
            <w:shd w:val="clear" w:color="auto" w:fill="F0DCDC"/>
          </w:tcPr>
          <w:p w14:paraId="60286FAA" w14:textId="77777777" w:rsidR="00B95BD2" w:rsidRPr="003075C7" w:rsidRDefault="00B95BD2" w:rsidP="00CD2638">
            <w:pPr>
              <w:pStyle w:val="TestTableText"/>
            </w:pPr>
            <w:r w:rsidRPr="003075C7">
              <w:t>Applicable standards</w:t>
            </w:r>
          </w:p>
        </w:tc>
        <w:tc>
          <w:tcPr>
            <w:tcW w:w="3933" w:type="pct"/>
            <w:gridSpan w:val="4"/>
          </w:tcPr>
          <w:p w14:paraId="0A50C09A" w14:textId="77777777" w:rsidR="00B95BD2" w:rsidRPr="003075C7" w:rsidRDefault="00B95BD2" w:rsidP="00CD2638">
            <w:pPr>
              <w:pStyle w:val="TestTableText"/>
            </w:pPr>
            <w:r w:rsidRPr="003075C7">
              <w:t xml:space="preserve">AS 62053.21 </w:t>
            </w:r>
            <w:r w:rsidRPr="003075C7">
              <w:fldChar w:fldCharType="begin"/>
            </w:r>
            <w:r w:rsidRPr="003075C7">
              <w:instrText xml:space="preserve"> REF _Ref195499080 \r \h  \* MERGEFORMAT </w:instrText>
            </w:r>
            <w:r w:rsidRPr="003075C7">
              <w:fldChar w:fldCharType="separate"/>
            </w:r>
            <w:r w:rsidR="00192601">
              <w:t>[7]</w:t>
            </w:r>
            <w:r w:rsidRPr="003075C7">
              <w:fldChar w:fldCharType="end"/>
            </w:r>
            <w:r w:rsidRPr="003075C7">
              <w:t xml:space="preserve">, AS 62053.22 </w:t>
            </w:r>
            <w:r w:rsidRPr="003075C7">
              <w:fldChar w:fldCharType="begin"/>
            </w:r>
            <w:r w:rsidRPr="003075C7">
              <w:instrText xml:space="preserve"> REF _Ref195499093 \r \h  \* MERGEFORMAT </w:instrText>
            </w:r>
            <w:r w:rsidRPr="003075C7">
              <w:fldChar w:fldCharType="separate"/>
            </w:r>
            <w:r w:rsidR="00192601">
              <w:t>[8]</w:t>
            </w:r>
            <w:r w:rsidRPr="003075C7">
              <w:fldChar w:fldCharType="end"/>
            </w:r>
            <w:r w:rsidRPr="003075C7">
              <w:t xml:space="preserve">, AS 1284.1 </w:t>
            </w:r>
            <w:r w:rsidRPr="003075C7">
              <w:fldChar w:fldCharType="begin"/>
            </w:r>
            <w:r w:rsidRPr="003075C7">
              <w:instrText xml:space="preserve"> REF _Ref211414388 \r \h  \* MERGEFORMAT </w:instrText>
            </w:r>
            <w:r w:rsidRPr="003075C7">
              <w:fldChar w:fldCharType="separate"/>
            </w:r>
            <w:r w:rsidR="00192601">
              <w:t>[5]</w:t>
            </w:r>
            <w:r w:rsidRPr="003075C7">
              <w:fldChar w:fldCharType="end"/>
            </w:r>
          </w:p>
        </w:tc>
      </w:tr>
      <w:tr w:rsidR="00B95BD2" w:rsidRPr="003075C7" w14:paraId="72D7CDA6" w14:textId="77777777" w:rsidTr="003C70FC">
        <w:tc>
          <w:tcPr>
            <w:tcW w:w="1067" w:type="pct"/>
            <w:shd w:val="clear" w:color="auto" w:fill="F0DCDC"/>
          </w:tcPr>
          <w:p w14:paraId="3CBED810" w14:textId="77777777" w:rsidR="00B95BD2" w:rsidRPr="003075C7" w:rsidRDefault="00B95BD2" w:rsidP="00CD2638">
            <w:pPr>
              <w:pStyle w:val="TestTableText"/>
            </w:pPr>
            <w:r w:rsidRPr="003075C7">
              <w:t>Object of test</w:t>
            </w:r>
          </w:p>
        </w:tc>
        <w:tc>
          <w:tcPr>
            <w:tcW w:w="3933" w:type="pct"/>
            <w:gridSpan w:val="4"/>
          </w:tcPr>
          <w:p w14:paraId="0073BAF4" w14:textId="0415D710" w:rsidR="00B95BD2" w:rsidRPr="003075C7" w:rsidRDefault="00B95BD2" w:rsidP="003C70FC">
            <w:pPr>
              <w:pStyle w:val="TestTableText"/>
            </w:pPr>
            <w:r w:rsidRPr="003075C7">
              <w:t xml:space="preserve">To verify compliance with the limits of variation in error specified in </w:t>
            </w:r>
            <w:r w:rsidR="00AF16DC">
              <w:t>Table 4</w:t>
            </w:r>
            <w:r w:rsidRPr="003075C7">
              <w:t xml:space="preserve"> under conditions of short-time overcurrents. The EUT shall perform correctly when back to its initial working conditions after tests A and B, and shall not cause damage to surrounding equipment when subjected to the </w:t>
            </w:r>
            <w:r>
              <w:t>conditions of Tests C</w:t>
            </w:r>
            <w:r w:rsidR="003C70FC">
              <w:t xml:space="preserve"> and</w:t>
            </w:r>
            <w:r>
              <w:t xml:space="preserve"> D.</w:t>
            </w:r>
          </w:p>
        </w:tc>
      </w:tr>
      <w:tr w:rsidR="00B95BD2" w:rsidRPr="003075C7" w14:paraId="34133B8C" w14:textId="77777777" w:rsidTr="003C70FC">
        <w:tc>
          <w:tcPr>
            <w:tcW w:w="1067" w:type="pct"/>
            <w:shd w:val="clear" w:color="auto" w:fill="F0DCDC"/>
          </w:tcPr>
          <w:p w14:paraId="5BF93D2F" w14:textId="77777777" w:rsidR="00B95BD2" w:rsidRPr="003075C7" w:rsidRDefault="00B95BD2" w:rsidP="00CD2638">
            <w:pPr>
              <w:pStyle w:val="TestTableText"/>
            </w:pPr>
            <w:r w:rsidRPr="003075C7">
              <w:t>Test procedure in brief</w:t>
            </w:r>
          </w:p>
        </w:tc>
        <w:tc>
          <w:tcPr>
            <w:tcW w:w="3933" w:type="pct"/>
            <w:gridSpan w:val="4"/>
          </w:tcPr>
          <w:p w14:paraId="03AD1E67" w14:textId="77777777" w:rsidR="00B95BD2" w:rsidRPr="003075C7" w:rsidRDefault="00B95BD2" w:rsidP="00CD2638">
            <w:pPr>
              <w:pStyle w:val="TestTableText"/>
            </w:pPr>
            <w:r w:rsidRPr="003075C7">
              <w:t>The test consists of the application of short-time overcurrents to the EUT with the voltage maintained at the terminals, followed by a recovery period of about 1 h during which the EUT is allowed to return to its initial temperature with the voltage circuits energised.</w:t>
            </w:r>
          </w:p>
          <w:p w14:paraId="2373FF3B" w14:textId="77777777" w:rsidR="00B95BD2" w:rsidRPr="003075C7" w:rsidRDefault="00B95BD2" w:rsidP="00CD2638">
            <w:pPr>
              <w:pStyle w:val="TestTableText"/>
            </w:pPr>
            <w:r w:rsidRPr="003075C7">
              <w:t>The test circuit shall be practically non-inductive and the test shall be performed for polyphase meters phase-by-phase.</w:t>
            </w:r>
          </w:p>
        </w:tc>
      </w:tr>
      <w:tr w:rsidR="003C70FC" w:rsidRPr="003075C7" w14:paraId="1B99326B" w14:textId="77777777" w:rsidTr="003C70FC">
        <w:tc>
          <w:tcPr>
            <w:tcW w:w="1067" w:type="pct"/>
            <w:shd w:val="clear" w:color="auto" w:fill="F0DCDC"/>
          </w:tcPr>
          <w:p w14:paraId="60E03DC7" w14:textId="77777777" w:rsidR="003C70FC" w:rsidRPr="003075C7" w:rsidRDefault="003C70FC" w:rsidP="003E446D">
            <w:pPr>
              <w:pStyle w:val="TestTableText"/>
              <w:jc w:val="right"/>
              <w:rPr>
                <w:szCs w:val="22"/>
              </w:rPr>
            </w:pPr>
            <w:r>
              <w:rPr>
                <w:szCs w:val="22"/>
              </w:rPr>
              <w:t>Tests:</w:t>
            </w:r>
          </w:p>
        </w:tc>
        <w:tc>
          <w:tcPr>
            <w:tcW w:w="983" w:type="pct"/>
            <w:shd w:val="clear" w:color="auto" w:fill="F0DCDC"/>
            <w:vAlign w:val="center"/>
          </w:tcPr>
          <w:p w14:paraId="15AEE5EB" w14:textId="77777777" w:rsidR="003C70FC" w:rsidRPr="003075C7" w:rsidRDefault="003C70FC" w:rsidP="003E446D">
            <w:pPr>
              <w:pStyle w:val="TestTableText"/>
              <w:jc w:val="center"/>
              <w:rPr>
                <w:vertAlign w:val="superscript"/>
              </w:rPr>
            </w:pPr>
            <w:r w:rsidRPr="003075C7">
              <w:t>Test A</w:t>
            </w:r>
            <w:r w:rsidRPr="003075C7">
              <w:rPr>
                <w:vertAlign w:val="superscript"/>
              </w:rPr>
              <w:t>1</w:t>
            </w:r>
          </w:p>
        </w:tc>
        <w:tc>
          <w:tcPr>
            <w:tcW w:w="983" w:type="pct"/>
            <w:shd w:val="clear" w:color="auto" w:fill="F0DCDC"/>
            <w:vAlign w:val="center"/>
          </w:tcPr>
          <w:p w14:paraId="71B72E0D" w14:textId="77777777" w:rsidR="003C70FC" w:rsidRPr="003075C7" w:rsidRDefault="003C70FC" w:rsidP="003E446D">
            <w:pPr>
              <w:pStyle w:val="TestTableText"/>
              <w:jc w:val="center"/>
            </w:pPr>
            <w:r w:rsidRPr="003075C7">
              <w:t>Test B</w:t>
            </w:r>
            <w:r w:rsidRPr="003075C7">
              <w:rPr>
                <w:vertAlign w:val="superscript"/>
              </w:rPr>
              <w:t>2</w:t>
            </w:r>
          </w:p>
        </w:tc>
        <w:tc>
          <w:tcPr>
            <w:tcW w:w="983" w:type="pct"/>
            <w:shd w:val="clear" w:color="auto" w:fill="F0DCDC"/>
            <w:vAlign w:val="center"/>
          </w:tcPr>
          <w:p w14:paraId="7EE622C1" w14:textId="6CA90B86" w:rsidR="003C70FC" w:rsidRPr="003075C7" w:rsidRDefault="003C70FC" w:rsidP="003C70FC">
            <w:pPr>
              <w:pStyle w:val="TestTableText"/>
              <w:jc w:val="center"/>
            </w:pPr>
            <w:r w:rsidRPr="003075C7">
              <w:t xml:space="preserve">Test </w:t>
            </w:r>
            <w:r>
              <w:t>C</w:t>
            </w:r>
            <w:r w:rsidRPr="003075C7">
              <w:rPr>
                <w:vertAlign w:val="superscript"/>
              </w:rPr>
              <w:t>3,5</w:t>
            </w:r>
          </w:p>
        </w:tc>
        <w:tc>
          <w:tcPr>
            <w:tcW w:w="983" w:type="pct"/>
            <w:shd w:val="clear" w:color="auto" w:fill="F0DCDC"/>
            <w:vAlign w:val="center"/>
          </w:tcPr>
          <w:p w14:paraId="5DD04FFB" w14:textId="3079C8A4" w:rsidR="003C70FC" w:rsidRPr="003075C7" w:rsidRDefault="003C70FC" w:rsidP="003C70FC">
            <w:pPr>
              <w:pStyle w:val="TestTableText"/>
              <w:jc w:val="center"/>
            </w:pPr>
            <w:r w:rsidRPr="003075C7">
              <w:t xml:space="preserve">Test </w:t>
            </w:r>
            <w:r>
              <w:t>D</w:t>
            </w:r>
            <w:r w:rsidRPr="003075C7">
              <w:rPr>
                <w:vertAlign w:val="superscript"/>
              </w:rPr>
              <w:t>4,5</w:t>
            </w:r>
          </w:p>
        </w:tc>
      </w:tr>
      <w:tr w:rsidR="003C70FC" w:rsidRPr="003075C7" w14:paraId="3154384A" w14:textId="77777777" w:rsidTr="003C70FC">
        <w:tc>
          <w:tcPr>
            <w:tcW w:w="1067" w:type="pct"/>
            <w:shd w:val="clear" w:color="auto" w:fill="F0DCDC"/>
          </w:tcPr>
          <w:p w14:paraId="5F2FEB5E" w14:textId="77777777" w:rsidR="003C70FC" w:rsidRPr="003075C7" w:rsidRDefault="003C70FC" w:rsidP="00CD2638">
            <w:pPr>
              <w:pStyle w:val="TestTableText"/>
              <w:rPr>
                <w:szCs w:val="22"/>
              </w:rPr>
            </w:pPr>
            <w:r w:rsidRPr="003075C7">
              <w:rPr>
                <w:szCs w:val="22"/>
              </w:rPr>
              <w:t>Overcurrent value</w:t>
            </w:r>
          </w:p>
        </w:tc>
        <w:tc>
          <w:tcPr>
            <w:tcW w:w="983" w:type="pct"/>
            <w:shd w:val="clear" w:color="auto" w:fill="auto"/>
            <w:vAlign w:val="center"/>
          </w:tcPr>
          <w:p w14:paraId="4C654D57" w14:textId="77777777" w:rsidR="003C70FC" w:rsidRPr="003075C7" w:rsidRDefault="003C70FC" w:rsidP="003E446D">
            <w:pPr>
              <w:pStyle w:val="TestTableText"/>
              <w:jc w:val="center"/>
              <w:rPr>
                <w:i/>
                <w:vertAlign w:val="subscript"/>
              </w:rPr>
            </w:pPr>
            <w:r w:rsidRPr="003075C7">
              <w:t xml:space="preserve">30 </w:t>
            </w:r>
            <w:r w:rsidRPr="003E446D">
              <w:rPr>
                <w:rFonts w:ascii="Cambria Math" w:hAnsi="Cambria Math"/>
                <w:i/>
              </w:rPr>
              <w:t>I</w:t>
            </w:r>
            <w:r w:rsidRPr="003E446D">
              <w:rPr>
                <w:rFonts w:ascii="Cambria Math" w:hAnsi="Cambria Math"/>
                <w:vertAlign w:val="subscript"/>
              </w:rPr>
              <w:t>max</w:t>
            </w:r>
          </w:p>
        </w:tc>
        <w:tc>
          <w:tcPr>
            <w:tcW w:w="983" w:type="pct"/>
            <w:shd w:val="clear" w:color="auto" w:fill="auto"/>
            <w:vAlign w:val="center"/>
          </w:tcPr>
          <w:p w14:paraId="6554D46D" w14:textId="77777777" w:rsidR="003C70FC" w:rsidRPr="003075C7" w:rsidRDefault="003C70FC" w:rsidP="003E446D">
            <w:pPr>
              <w:pStyle w:val="TestTableText"/>
              <w:jc w:val="center"/>
            </w:pPr>
            <w:r w:rsidRPr="003075C7">
              <w:t xml:space="preserve">20 </w:t>
            </w:r>
            <w:r w:rsidRPr="003E446D">
              <w:rPr>
                <w:rFonts w:ascii="Cambria Math" w:hAnsi="Cambria Math"/>
                <w:i/>
              </w:rPr>
              <w:t>I</w:t>
            </w:r>
            <w:r w:rsidRPr="003E446D">
              <w:rPr>
                <w:rFonts w:ascii="Cambria Math" w:hAnsi="Cambria Math"/>
                <w:vertAlign w:val="subscript"/>
              </w:rPr>
              <w:t>max</w:t>
            </w:r>
          </w:p>
        </w:tc>
        <w:tc>
          <w:tcPr>
            <w:tcW w:w="983" w:type="pct"/>
            <w:shd w:val="clear" w:color="auto" w:fill="auto"/>
            <w:vAlign w:val="center"/>
          </w:tcPr>
          <w:p w14:paraId="27D58A15" w14:textId="77777777" w:rsidR="003C70FC" w:rsidRPr="003075C7" w:rsidRDefault="003C70FC" w:rsidP="003E446D">
            <w:pPr>
              <w:pStyle w:val="TestTableText"/>
              <w:jc w:val="center"/>
            </w:pPr>
            <w:r w:rsidRPr="003075C7">
              <w:t>250 A</w:t>
            </w:r>
          </w:p>
        </w:tc>
        <w:tc>
          <w:tcPr>
            <w:tcW w:w="983" w:type="pct"/>
            <w:shd w:val="clear" w:color="auto" w:fill="auto"/>
            <w:vAlign w:val="center"/>
          </w:tcPr>
          <w:p w14:paraId="461F1422" w14:textId="77777777" w:rsidR="003C70FC" w:rsidRPr="003075C7" w:rsidRDefault="003C70FC" w:rsidP="003E446D">
            <w:pPr>
              <w:pStyle w:val="TestTableText"/>
              <w:jc w:val="center"/>
            </w:pPr>
            <w:r w:rsidRPr="003075C7">
              <w:t>50 A</w:t>
            </w:r>
          </w:p>
        </w:tc>
      </w:tr>
      <w:tr w:rsidR="003C70FC" w:rsidRPr="003075C7" w14:paraId="09CE6804" w14:textId="77777777" w:rsidTr="003C70FC">
        <w:tc>
          <w:tcPr>
            <w:tcW w:w="1067" w:type="pct"/>
            <w:shd w:val="clear" w:color="auto" w:fill="F0DCDC"/>
          </w:tcPr>
          <w:p w14:paraId="070043DB" w14:textId="77777777" w:rsidR="003C70FC" w:rsidRPr="003075C7" w:rsidRDefault="003C70FC" w:rsidP="00CD2638">
            <w:pPr>
              <w:pStyle w:val="TestTableText"/>
              <w:rPr>
                <w:szCs w:val="22"/>
              </w:rPr>
            </w:pPr>
            <w:r w:rsidRPr="003075C7">
              <w:rPr>
                <w:szCs w:val="22"/>
              </w:rPr>
              <w:t>Duration</w:t>
            </w:r>
          </w:p>
        </w:tc>
        <w:tc>
          <w:tcPr>
            <w:tcW w:w="983" w:type="pct"/>
            <w:shd w:val="clear" w:color="auto" w:fill="auto"/>
            <w:vAlign w:val="center"/>
          </w:tcPr>
          <w:p w14:paraId="3037DB49" w14:textId="77777777" w:rsidR="003C70FC" w:rsidRPr="003075C7" w:rsidRDefault="003C70FC" w:rsidP="003E446D">
            <w:pPr>
              <w:pStyle w:val="TestTableText"/>
              <w:jc w:val="center"/>
            </w:pPr>
            <w:r w:rsidRPr="003075C7">
              <w:t>10 ms</w:t>
            </w:r>
          </w:p>
        </w:tc>
        <w:tc>
          <w:tcPr>
            <w:tcW w:w="983" w:type="pct"/>
            <w:shd w:val="clear" w:color="auto" w:fill="auto"/>
            <w:vAlign w:val="center"/>
          </w:tcPr>
          <w:p w14:paraId="69E4583B" w14:textId="77777777" w:rsidR="003C70FC" w:rsidRPr="003075C7" w:rsidRDefault="003C70FC" w:rsidP="003E446D">
            <w:pPr>
              <w:pStyle w:val="TestTableText"/>
              <w:jc w:val="center"/>
            </w:pPr>
            <w:r w:rsidRPr="003075C7">
              <w:t>0.5 s</w:t>
            </w:r>
          </w:p>
        </w:tc>
        <w:tc>
          <w:tcPr>
            <w:tcW w:w="983" w:type="pct"/>
            <w:shd w:val="clear" w:color="auto" w:fill="auto"/>
            <w:vAlign w:val="center"/>
          </w:tcPr>
          <w:p w14:paraId="119B6DC0" w14:textId="77777777" w:rsidR="003C70FC" w:rsidRPr="003075C7" w:rsidRDefault="003C70FC" w:rsidP="003E446D">
            <w:pPr>
              <w:pStyle w:val="TestTableText"/>
              <w:jc w:val="center"/>
            </w:pPr>
            <w:r w:rsidRPr="003075C7">
              <w:t>60 ms</w:t>
            </w:r>
          </w:p>
        </w:tc>
        <w:tc>
          <w:tcPr>
            <w:tcW w:w="983" w:type="pct"/>
            <w:shd w:val="clear" w:color="auto" w:fill="auto"/>
            <w:vAlign w:val="center"/>
          </w:tcPr>
          <w:p w14:paraId="12CE2782" w14:textId="77777777" w:rsidR="003C70FC" w:rsidRPr="003075C7" w:rsidRDefault="003C70FC" w:rsidP="003E446D">
            <w:pPr>
              <w:pStyle w:val="TestTableText"/>
              <w:jc w:val="center"/>
            </w:pPr>
            <w:r w:rsidRPr="003075C7">
              <w:t>60 ms</w:t>
            </w:r>
          </w:p>
        </w:tc>
      </w:tr>
      <w:tr w:rsidR="00B95BD2" w:rsidRPr="003075C7" w14:paraId="6F9B59D6" w14:textId="77777777" w:rsidTr="003C70FC">
        <w:tc>
          <w:tcPr>
            <w:tcW w:w="1067" w:type="pct"/>
            <w:shd w:val="clear" w:color="auto" w:fill="F0DCDC"/>
          </w:tcPr>
          <w:p w14:paraId="4E79275C" w14:textId="77777777" w:rsidR="00B95BD2" w:rsidRPr="003075C7" w:rsidRDefault="00B95BD2" w:rsidP="00CD2638">
            <w:pPr>
              <w:pStyle w:val="TestTableText"/>
              <w:rPr>
                <w:szCs w:val="22"/>
              </w:rPr>
            </w:pPr>
            <w:r w:rsidRPr="003075C7">
              <w:rPr>
                <w:szCs w:val="22"/>
              </w:rPr>
              <w:t xml:space="preserve">Additional </w:t>
            </w:r>
            <w:r>
              <w:rPr>
                <w:szCs w:val="22"/>
              </w:rPr>
              <w:t>information</w:t>
            </w:r>
          </w:p>
        </w:tc>
        <w:tc>
          <w:tcPr>
            <w:tcW w:w="3933" w:type="pct"/>
            <w:gridSpan w:val="4"/>
          </w:tcPr>
          <w:p w14:paraId="18E7E052" w14:textId="77777777" w:rsidR="00B95BD2" w:rsidRPr="003075C7" w:rsidRDefault="00B95BD2" w:rsidP="00CD2638">
            <w:pPr>
              <w:pStyle w:val="TestTableText"/>
            </w:pPr>
            <w:r w:rsidRPr="003075C7">
              <w:t>Relative tolerance for overcurrent value: +0</w:t>
            </w:r>
            <w:r>
              <w:t>%</w:t>
            </w:r>
            <w:r w:rsidRPr="003075C7">
              <w:t xml:space="preserve"> to –10</w:t>
            </w:r>
            <w:r>
              <w:t>%.</w:t>
            </w:r>
          </w:p>
          <w:p w14:paraId="129572D9" w14:textId="77777777" w:rsidR="00B95BD2" w:rsidRPr="003075C7" w:rsidRDefault="00B95BD2" w:rsidP="003E446D">
            <w:pPr>
              <w:pStyle w:val="Note"/>
              <w:spacing w:before="60" w:after="60"/>
            </w:pPr>
            <w:r>
              <w:t>Note 1:</w:t>
            </w:r>
            <w:r>
              <w:tab/>
            </w:r>
            <w:r w:rsidRPr="003075C7">
              <w:t>For direct-connected static meters</w:t>
            </w:r>
            <w:r>
              <w:t>.</w:t>
            </w:r>
          </w:p>
          <w:p w14:paraId="0A63A622" w14:textId="77777777" w:rsidR="00B95BD2" w:rsidRPr="003075C7" w:rsidRDefault="00B95BD2" w:rsidP="003E446D">
            <w:pPr>
              <w:pStyle w:val="Note"/>
              <w:spacing w:before="60" w:after="60"/>
            </w:pPr>
            <w:r>
              <w:t>Note 2:</w:t>
            </w:r>
            <w:r>
              <w:tab/>
            </w:r>
            <w:r w:rsidRPr="003075C7">
              <w:t>For current transformer-operated meters and all static meters of class 0.2 or 0.5.</w:t>
            </w:r>
          </w:p>
          <w:p w14:paraId="2BE91BC7" w14:textId="77777777" w:rsidR="00B95BD2" w:rsidRPr="003075C7" w:rsidRDefault="00B95BD2" w:rsidP="003E446D">
            <w:pPr>
              <w:pStyle w:val="Note"/>
              <w:spacing w:before="60" w:after="60"/>
            </w:pPr>
            <w:r>
              <w:t>Note 3:</w:t>
            </w:r>
            <w:r>
              <w:tab/>
            </w:r>
            <w:r w:rsidRPr="003075C7">
              <w:t>For 5 A current transformer-operated meters</w:t>
            </w:r>
            <w:r>
              <w:t>.</w:t>
            </w:r>
          </w:p>
          <w:p w14:paraId="28DB6854" w14:textId="77777777" w:rsidR="00B95BD2" w:rsidRPr="003075C7" w:rsidRDefault="00B95BD2" w:rsidP="003E446D">
            <w:pPr>
              <w:pStyle w:val="Note"/>
              <w:spacing w:before="60" w:after="60"/>
            </w:pPr>
            <w:r>
              <w:t>Note 4:</w:t>
            </w:r>
            <w:r>
              <w:tab/>
            </w:r>
            <w:r w:rsidRPr="003075C7">
              <w:t>For 1 A current transformer-operated meters</w:t>
            </w:r>
            <w:r>
              <w:t>.</w:t>
            </w:r>
          </w:p>
          <w:p w14:paraId="043E197D" w14:textId="77777777" w:rsidR="00B95BD2" w:rsidRPr="003075C7" w:rsidRDefault="00B95BD2" w:rsidP="003E446D">
            <w:pPr>
              <w:pStyle w:val="Note"/>
              <w:spacing w:before="60" w:after="60"/>
            </w:pPr>
            <w:r>
              <w:t>Note 5:</w:t>
            </w:r>
            <w:r>
              <w:tab/>
            </w:r>
            <w:r w:rsidRPr="003075C7">
              <w:t xml:space="preserve">Where 20 </w:t>
            </w:r>
            <w:r w:rsidRPr="003E446D">
              <w:rPr>
                <w:rFonts w:ascii="Cambria Math" w:hAnsi="Cambria Math"/>
                <w:i/>
              </w:rPr>
              <w:t>I</w:t>
            </w:r>
            <w:r w:rsidRPr="003E446D">
              <w:rPr>
                <w:rFonts w:ascii="Cambria Math" w:hAnsi="Cambria Math"/>
                <w:vertAlign w:val="subscript"/>
              </w:rPr>
              <w:t>max</w:t>
            </w:r>
            <w:r w:rsidRPr="003075C7">
              <w:t xml:space="preserve"> is greater than 250 A (for 5 A current transformer-operated meters) or 50 A (for 1 A current transformer-operated meters), </w:t>
            </w:r>
            <w:r>
              <w:t>t</w:t>
            </w:r>
            <w:r w:rsidRPr="003075C7">
              <w:t>ests D and E may be omitted.</w:t>
            </w:r>
          </w:p>
          <w:p w14:paraId="73DC905E" w14:textId="694A64FE" w:rsidR="00B95BD2" w:rsidRPr="003075C7" w:rsidRDefault="003C70FC" w:rsidP="003E446D">
            <w:pPr>
              <w:pStyle w:val="TestTableText"/>
            </w:pPr>
            <w:r>
              <w:t>Tests C and</w:t>
            </w:r>
            <w:r w:rsidR="00B95BD2" w:rsidRPr="003075C7">
              <w:t xml:space="preserve"> D are not found in the </w:t>
            </w:r>
            <w:r w:rsidR="00B95BD2">
              <w:t>AS/IEC</w:t>
            </w:r>
            <w:r>
              <w:t xml:space="preserve"> standards referenced.</w:t>
            </w:r>
          </w:p>
        </w:tc>
      </w:tr>
    </w:tbl>
    <w:p w14:paraId="35D251F7" w14:textId="77777777" w:rsidR="003E446D" w:rsidRPr="004D23A4" w:rsidRDefault="003E446D" w:rsidP="003E446D">
      <w:pPr>
        <w:pStyle w:val="HeadingAnnexC"/>
      </w:pPr>
      <w:bookmarkStart w:id="71" w:name="_Ref222809048"/>
      <w:bookmarkStart w:id="72" w:name="_Toc291768455"/>
      <w:bookmarkStart w:id="73" w:name="_Toc291769522"/>
      <w:r w:rsidRPr="004D23A4">
        <w:t>Sub-harmonics in the AC Circuit</w:t>
      </w:r>
      <w:bookmarkEnd w:id="71"/>
      <w:bookmarkEnd w:id="72"/>
      <w:bookmarkEnd w:id="73"/>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3E446D" w:rsidRPr="007817AD" w14:paraId="47FAFF71" w14:textId="77777777" w:rsidTr="00B43AE5">
        <w:tc>
          <w:tcPr>
            <w:tcW w:w="1053" w:type="pct"/>
            <w:shd w:val="clear" w:color="auto" w:fill="F0DCDC"/>
          </w:tcPr>
          <w:p w14:paraId="609F47DF" w14:textId="77777777" w:rsidR="003E446D" w:rsidRPr="007817AD" w:rsidRDefault="003E446D" w:rsidP="003E446D">
            <w:pPr>
              <w:pStyle w:val="TestTableText"/>
            </w:pPr>
            <w:r w:rsidRPr="007817AD">
              <w:t>Applicable standards</w:t>
            </w:r>
          </w:p>
        </w:tc>
        <w:tc>
          <w:tcPr>
            <w:tcW w:w="3947" w:type="pct"/>
          </w:tcPr>
          <w:p w14:paraId="5995195E" w14:textId="77777777" w:rsidR="003E446D" w:rsidRPr="007817AD" w:rsidRDefault="003E446D" w:rsidP="003E446D">
            <w:pPr>
              <w:pStyle w:val="TestTableText"/>
            </w:pPr>
            <w:r w:rsidRPr="007817AD">
              <w:t xml:space="preserve">AS 62053.21 </w:t>
            </w:r>
            <w:r>
              <w:t>[7]</w:t>
            </w:r>
          </w:p>
        </w:tc>
      </w:tr>
      <w:tr w:rsidR="003E446D" w:rsidRPr="007817AD" w14:paraId="5E71CD8A" w14:textId="77777777" w:rsidTr="00B43AE5">
        <w:tc>
          <w:tcPr>
            <w:tcW w:w="1053" w:type="pct"/>
            <w:shd w:val="clear" w:color="auto" w:fill="F0DCDC"/>
          </w:tcPr>
          <w:p w14:paraId="03267928" w14:textId="77777777" w:rsidR="003E446D" w:rsidRPr="007817AD" w:rsidRDefault="003E446D" w:rsidP="003E446D">
            <w:pPr>
              <w:pStyle w:val="TestTableText"/>
            </w:pPr>
            <w:r w:rsidRPr="007817AD">
              <w:t>Object of test</w:t>
            </w:r>
          </w:p>
        </w:tc>
        <w:tc>
          <w:tcPr>
            <w:tcW w:w="3947" w:type="pct"/>
          </w:tcPr>
          <w:p w14:paraId="7602A49B" w14:textId="77777777" w:rsidR="003E446D" w:rsidRPr="007817AD" w:rsidRDefault="003E446D" w:rsidP="003E446D">
            <w:pPr>
              <w:pStyle w:val="TestTableText"/>
            </w:pPr>
            <w:r w:rsidRPr="007817AD">
              <w:t xml:space="preserve">To verify compliance with the limits of variation in error specified in </w:t>
            </w:r>
            <w:r>
              <w:br/>
              <w:t>Table 4</w:t>
            </w:r>
            <w:r w:rsidRPr="007817AD">
              <w:t xml:space="preserve"> when exposed to s</w:t>
            </w:r>
            <w:r>
              <w:t>ub-harmonics in the AC circuit.</w:t>
            </w:r>
          </w:p>
        </w:tc>
      </w:tr>
      <w:tr w:rsidR="003E446D" w:rsidRPr="007817AD" w14:paraId="738CEFD8" w14:textId="77777777" w:rsidTr="00B43AE5">
        <w:tc>
          <w:tcPr>
            <w:tcW w:w="1053" w:type="pct"/>
            <w:shd w:val="clear" w:color="auto" w:fill="F0DCDC"/>
          </w:tcPr>
          <w:p w14:paraId="4EE70205" w14:textId="77777777" w:rsidR="003E446D" w:rsidRPr="007817AD" w:rsidRDefault="003E446D" w:rsidP="003E446D">
            <w:pPr>
              <w:pStyle w:val="TestTableText"/>
            </w:pPr>
            <w:r w:rsidRPr="007817AD">
              <w:t>Test procedure in brief</w:t>
            </w:r>
          </w:p>
        </w:tc>
        <w:tc>
          <w:tcPr>
            <w:tcW w:w="3947" w:type="pct"/>
            <w:tcMar>
              <w:right w:w="28" w:type="dxa"/>
            </w:tcMar>
          </w:tcPr>
          <w:p w14:paraId="0F456052" w14:textId="77777777" w:rsidR="003E446D" w:rsidRPr="007817AD" w:rsidRDefault="003E446D" w:rsidP="003E446D">
            <w:pPr>
              <w:pStyle w:val="TestTableText"/>
            </w:pPr>
            <w:r w:rsidRPr="007817AD">
              <w:t xml:space="preserve">The meter shall be subjected to a test sinusoidal waveform with amplitude twice that of the reference sinusoidal signal and which is switched off after every second period for the next </w:t>
            </w:r>
            <w:r>
              <w:t>two periods</w:t>
            </w:r>
            <w:r w:rsidRPr="007817AD">
              <w:t>. Care should be taken to ensure that no DC current is introduced.</w:t>
            </w:r>
            <w:r>
              <w:t xml:space="preserve"> </w:t>
            </w:r>
            <w:r w:rsidRPr="007817AD">
              <w:t>The test shall be performed with basic current 0.5</w:t>
            </w:r>
            <w:r>
              <w:t xml:space="preserve"> </w:t>
            </w:r>
            <w:r w:rsidRPr="003E446D">
              <w:rPr>
                <w:rFonts w:ascii="Cambria Math" w:hAnsi="Cambria Math"/>
                <w:i/>
              </w:rPr>
              <w:t>I</w:t>
            </w:r>
            <w:r w:rsidRPr="003E446D">
              <w:rPr>
                <w:rFonts w:ascii="Cambria Math" w:hAnsi="Cambria Math"/>
                <w:vertAlign w:val="subscript"/>
              </w:rPr>
              <w:t>b</w:t>
            </w:r>
            <w:r w:rsidRPr="007817AD">
              <w:t xml:space="preserve"> (or rated current 0.5</w:t>
            </w:r>
            <w:r>
              <w:t> </w:t>
            </w:r>
            <w:r w:rsidRPr="003E446D">
              <w:rPr>
                <w:rFonts w:ascii="Cambria Math" w:hAnsi="Cambria Math"/>
                <w:i/>
              </w:rPr>
              <w:t>I</w:t>
            </w:r>
            <w:r w:rsidRPr="003E446D">
              <w:rPr>
                <w:rFonts w:ascii="Cambria Math" w:hAnsi="Cambria Math"/>
                <w:vertAlign w:val="subscript"/>
              </w:rPr>
              <w:t>n</w:t>
            </w:r>
            <w:r w:rsidRPr="007817AD">
              <w:t xml:space="preserve"> as appropriate) and power factor 1.</w:t>
            </w:r>
          </w:p>
        </w:tc>
      </w:tr>
    </w:tbl>
    <w:p w14:paraId="00DA2B4E" w14:textId="77777777" w:rsidR="003E446D" w:rsidRPr="004D23A4" w:rsidRDefault="003E446D" w:rsidP="003E446D">
      <w:pPr>
        <w:pStyle w:val="HeadingAnnexC"/>
      </w:pPr>
      <w:bookmarkStart w:id="74" w:name="_Ref222809271"/>
      <w:bookmarkStart w:id="75" w:name="_Toc291768456"/>
      <w:bookmarkStart w:id="76" w:name="_Toc291769523"/>
      <w:r w:rsidRPr="004D23A4">
        <w:t xml:space="preserve">Odd </w:t>
      </w:r>
      <w:r>
        <w:t>H</w:t>
      </w:r>
      <w:r w:rsidRPr="004D23A4">
        <w:t>armonics in the AC Circuit</w:t>
      </w:r>
      <w:bookmarkEnd w:id="74"/>
      <w:bookmarkEnd w:id="75"/>
      <w:bookmarkEnd w:id="76"/>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3E446D" w:rsidRPr="007817AD" w14:paraId="1638D1F9" w14:textId="77777777" w:rsidTr="00B43AE5">
        <w:tc>
          <w:tcPr>
            <w:tcW w:w="1053" w:type="pct"/>
            <w:shd w:val="clear" w:color="auto" w:fill="F0DCDC"/>
          </w:tcPr>
          <w:p w14:paraId="4CBC104C" w14:textId="77777777" w:rsidR="003E446D" w:rsidRPr="007817AD" w:rsidRDefault="003E446D" w:rsidP="003E446D">
            <w:pPr>
              <w:pStyle w:val="TestTableText"/>
            </w:pPr>
            <w:r w:rsidRPr="007817AD">
              <w:t>Applicable standards</w:t>
            </w:r>
          </w:p>
        </w:tc>
        <w:tc>
          <w:tcPr>
            <w:tcW w:w="3947" w:type="pct"/>
          </w:tcPr>
          <w:p w14:paraId="65CA1FF4" w14:textId="77777777" w:rsidR="003E446D" w:rsidRPr="007817AD" w:rsidRDefault="003E446D" w:rsidP="003E446D">
            <w:pPr>
              <w:pStyle w:val="TestTableText"/>
            </w:pPr>
            <w:r w:rsidRPr="007817AD">
              <w:t xml:space="preserve">AS 62053.21 </w:t>
            </w:r>
            <w:r>
              <w:t>[7]</w:t>
            </w:r>
          </w:p>
        </w:tc>
      </w:tr>
      <w:tr w:rsidR="003E446D" w:rsidRPr="007817AD" w14:paraId="135E49C1" w14:textId="77777777" w:rsidTr="00B43AE5">
        <w:tc>
          <w:tcPr>
            <w:tcW w:w="1053" w:type="pct"/>
            <w:shd w:val="clear" w:color="auto" w:fill="F0DCDC"/>
          </w:tcPr>
          <w:p w14:paraId="1CDBFA60" w14:textId="77777777" w:rsidR="003E446D" w:rsidRPr="007817AD" w:rsidRDefault="003E446D" w:rsidP="003E446D">
            <w:pPr>
              <w:pStyle w:val="TestTableText"/>
            </w:pPr>
            <w:r w:rsidRPr="007817AD">
              <w:t>Object of test</w:t>
            </w:r>
          </w:p>
        </w:tc>
        <w:tc>
          <w:tcPr>
            <w:tcW w:w="3947" w:type="pct"/>
          </w:tcPr>
          <w:p w14:paraId="3E210234" w14:textId="77777777" w:rsidR="003E446D" w:rsidRPr="007817AD" w:rsidRDefault="003E446D" w:rsidP="003E446D">
            <w:pPr>
              <w:pStyle w:val="TestTableText"/>
            </w:pPr>
            <w:r w:rsidRPr="007817AD">
              <w:t xml:space="preserve">To verify compliance with the limits of variation in error specified in </w:t>
            </w:r>
            <w:r>
              <w:br/>
              <w:t>Table 4</w:t>
            </w:r>
            <w:r w:rsidRPr="007817AD">
              <w:t xml:space="preserve"> when exposed to o</w:t>
            </w:r>
            <w:r>
              <w:t>dd harmonics in the AC circuit.</w:t>
            </w:r>
          </w:p>
        </w:tc>
      </w:tr>
      <w:tr w:rsidR="003E446D" w:rsidRPr="007817AD" w14:paraId="2DB0747B" w14:textId="77777777" w:rsidTr="00B43AE5">
        <w:tc>
          <w:tcPr>
            <w:tcW w:w="1053" w:type="pct"/>
            <w:shd w:val="clear" w:color="auto" w:fill="F0DCDC"/>
          </w:tcPr>
          <w:p w14:paraId="234021D2" w14:textId="77777777" w:rsidR="003E446D" w:rsidRPr="007817AD" w:rsidRDefault="003E446D" w:rsidP="003E446D">
            <w:pPr>
              <w:pStyle w:val="TestTableText"/>
            </w:pPr>
            <w:r w:rsidRPr="007817AD">
              <w:t>Test procedure in brief</w:t>
            </w:r>
          </w:p>
        </w:tc>
        <w:tc>
          <w:tcPr>
            <w:tcW w:w="3947" w:type="pct"/>
            <w:tcMar>
              <w:right w:w="28" w:type="dxa"/>
            </w:tcMar>
          </w:tcPr>
          <w:p w14:paraId="6E5E2B4F" w14:textId="77777777" w:rsidR="003E446D" w:rsidRPr="007817AD" w:rsidRDefault="003E446D" w:rsidP="003E446D">
            <w:pPr>
              <w:pStyle w:val="TestTableText"/>
            </w:pPr>
            <w:r w:rsidRPr="007817AD">
              <w:t>The meter shall be subjected to a test sinusoidal waveform with amplitude twice that of the reference sinusoidal signal and which is set to zero for the first and third quarters of each period.</w:t>
            </w:r>
            <w:r>
              <w:t xml:space="preserve"> </w:t>
            </w:r>
            <w:r w:rsidRPr="007817AD">
              <w:t>The test shall be performed with basic current 0.5</w:t>
            </w:r>
            <w:r>
              <w:t> </w:t>
            </w:r>
            <w:r w:rsidRPr="003E446D">
              <w:rPr>
                <w:rFonts w:ascii="Cambria Math" w:hAnsi="Cambria Math"/>
                <w:i/>
              </w:rPr>
              <w:t>I</w:t>
            </w:r>
            <w:r w:rsidRPr="003E446D">
              <w:rPr>
                <w:rFonts w:ascii="Cambria Math" w:hAnsi="Cambria Math"/>
                <w:vertAlign w:val="subscript"/>
              </w:rPr>
              <w:t>b</w:t>
            </w:r>
            <w:r w:rsidRPr="007817AD">
              <w:t xml:space="preserve"> (or rated current 0.5</w:t>
            </w:r>
            <w:r>
              <w:t> </w:t>
            </w:r>
            <w:r w:rsidRPr="003E446D">
              <w:rPr>
                <w:rFonts w:ascii="Cambria Math" w:hAnsi="Cambria Math"/>
                <w:i/>
              </w:rPr>
              <w:t>I</w:t>
            </w:r>
            <w:r w:rsidRPr="003E446D">
              <w:rPr>
                <w:rFonts w:ascii="Cambria Math" w:hAnsi="Cambria Math"/>
                <w:vertAlign w:val="subscript"/>
              </w:rPr>
              <w:t>n</w:t>
            </w:r>
            <w:r w:rsidRPr="007817AD">
              <w:t xml:space="preserve"> as appropriate) and power factor 1.</w:t>
            </w:r>
          </w:p>
        </w:tc>
      </w:tr>
    </w:tbl>
    <w:p w14:paraId="2F260C57" w14:textId="57A64E44" w:rsidR="00AF16DC" w:rsidRDefault="00AF16DC">
      <w:r>
        <w:br w:type="page"/>
      </w:r>
    </w:p>
    <w:p w14:paraId="6571530C" w14:textId="77777777" w:rsidR="003E446D" w:rsidRPr="004D23A4" w:rsidRDefault="003E446D" w:rsidP="003E446D">
      <w:pPr>
        <w:pStyle w:val="HeadingAnnexC"/>
      </w:pPr>
      <w:bookmarkStart w:id="77" w:name="_Ref248140540"/>
      <w:bookmarkStart w:id="78" w:name="_Toc291768457"/>
      <w:bookmarkStart w:id="79" w:name="_Toc291769524"/>
      <w:r w:rsidRPr="004D23A4">
        <w:t>Impulse Voltage Test</w:t>
      </w:r>
      <w:bookmarkEnd w:id="77"/>
      <w:bookmarkEnd w:id="78"/>
      <w:bookmarkEnd w:id="79"/>
    </w:p>
    <w:tbl>
      <w:tblPr>
        <w:tblStyle w:val="TableGrid"/>
        <w:tblW w:w="5000" w:type="pct"/>
        <w:tblLayout w:type="fixed"/>
        <w:tblCellMar>
          <w:left w:w="57" w:type="dxa"/>
          <w:right w:w="57" w:type="dxa"/>
        </w:tblCellMar>
        <w:tblLook w:val="01E0" w:firstRow="1" w:lastRow="1" w:firstColumn="1" w:lastColumn="1" w:noHBand="0" w:noVBand="0"/>
      </w:tblPr>
      <w:tblGrid>
        <w:gridCol w:w="2052"/>
        <w:gridCol w:w="3844"/>
        <w:gridCol w:w="3846"/>
      </w:tblGrid>
      <w:tr w:rsidR="003E446D" w:rsidRPr="007817AD" w14:paraId="47448547" w14:textId="77777777" w:rsidTr="00B43AE5">
        <w:tc>
          <w:tcPr>
            <w:tcW w:w="1053" w:type="pct"/>
            <w:shd w:val="clear" w:color="auto" w:fill="F0DCDC"/>
          </w:tcPr>
          <w:p w14:paraId="478BCE52" w14:textId="77777777" w:rsidR="003E446D" w:rsidRPr="007817AD" w:rsidRDefault="003E446D" w:rsidP="003E446D">
            <w:pPr>
              <w:pStyle w:val="TestTableText"/>
            </w:pPr>
            <w:r w:rsidRPr="007817AD">
              <w:t>Applicable standards</w:t>
            </w:r>
          </w:p>
        </w:tc>
        <w:tc>
          <w:tcPr>
            <w:tcW w:w="3947" w:type="pct"/>
            <w:gridSpan w:val="2"/>
            <w:vAlign w:val="center"/>
          </w:tcPr>
          <w:p w14:paraId="698D2438" w14:textId="77777777" w:rsidR="000618E0" w:rsidRDefault="003E446D">
            <w:pPr>
              <w:pStyle w:val="TestTableText"/>
            </w:pPr>
            <w:r w:rsidRPr="007817AD">
              <w:t xml:space="preserve">AS 62052.11 </w:t>
            </w:r>
            <w:r>
              <w:t>[4]</w:t>
            </w:r>
            <w:r w:rsidRPr="007817AD">
              <w:t xml:space="preserve">, SP-Method 1618 </w:t>
            </w:r>
            <w:r>
              <w:t>[24]</w:t>
            </w:r>
          </w:p>
          <w:p w14:paraId="59770D42" w14:textId="626B8696" w:rsidR="00D00CB2" w:rsidRPr="007817AD" w:rsidRDefault="000618E0" w:rsidP="00B456F7">
            <w:pPr>
              <w:pStyle w:val="TestTableText"/>
            </w:pPr>
            <w:r>
              <w:t>O</w:t>
            </w:r>
            <w:r w:rsidR="00D00CB2">
              <w:t>r</w:t>
            </w:r>
            <w:r>
              <w:t xml:space="preserve"> </w:t>
            </w:r>
            <w:r w:rsidR="00D00CB2" w:rsidRPr="00D97978">
              <w:t>OIML</w:t>
            </w:r>
            <w:r w:rsidRPr="00B43AE5">
              <w:t> </w:t>
            </w:r>
            <w:r w:rsidR="00D00CB2" w:rsidRPr="00D97978">
              <w:t>R</w:t>
            </w:r>
            <w:r w:rsidRPr="00B43AE5">
              <w:t> </w:t>
            </w:r>
            <w:r w:rsidR="00D00CB2" w:rsidRPr="00D97978">
              <w:t>46</w:t>
            </w:r>
            <w:r w:rsidRPr="00B43AE5">
              <w:t> </w:t>
            </w:r>
            <w:r w:rsidR="00D00CB2" w:rsidRPr="00D97978">
              <w:t>[</w:t>
            </w:r>
            <w:r w:rsidR="00B456F7" w:rsidRPr="00B43AE5">
              <w:t>2</w:t>
            </w:r>
            <w:r w:rsidR="00B456F7">
              <w:t>5</w:t>
            </w:r>
            <w:r w:rsidR="00D00CB2" w:rsidRPr="00D97978">
              <w:t>]</w:t>
            </w:r>
            <w:r w:rsidRPr="00D97978">
              <w:t xml:space="preserve"> </w:t>
            </w:r>
            <w:r w:rsidR="00D97978" w:rsidRPr="00D97978">
              <w:t>if</w:t>
            </w:r>
            <w:r w:rsidR="00D97978">
              <w:t xml:space="preserve"> using the </w:t>
            </w:r>
            <w:r>
              <w:t>alternative test procedure</w:t>
            </w:r>
          </w:p>
        </w:tc>
      </w:tr>
      <w:tr w:rsidR="003E446D" w:rsidRPr="007817AD" w14:paraId="34E9C48B" w14:textId="77777777" w:rsidTr="00B43AE5">
        <w:tc>
          <w:tcPr>
            <w:tcW w:w="1053" w:type="pct"/>
            <w:shd w:val="clear" w:color="auto" w:fill="F0DCDC"/>
          </w:tcPr>
          <w:p w14:paraId="2AB9C8A4" w14:textId="77777777" w:rsidR="003E446D" w:rsidRPr="007817AD" w:rsidRDefault="003E446D" w:rsidP="003E446D">
            <w:pPr>
              <w:pStyle w:val="TestTableText"/>
            </w:pPr>
            <w:r w:rsidRPr="007817AD">
              <w:t>Object of test</w:t>
            </w:r>
          </w:p>
        </w:tc>
        <w:tc>
          <w:tcPr>
            <w:tcW w:w="3947" w:type="pct"/>
            <w:gridSpan w:val="2"/>
            <w:vAlign w:val="center"/>
          </w:tcPr>
          <w:p w14:paraId="3452F8DF" w14:textId="77777777" w:rsidR="003E446D" w:rsidRDefault="003E446D" w:rsidP="003E446D">
            <w:pPr>
              <w:pStyle w:val="TestTableText"/>
            </w:pPr>
            <w:r w:rsidRPr="007817AD">
              <w:t>To verify retention of adequate dielectric qualities under the application of an impulse voltage consistent with normal conditions of use. After this test, there shall be no change at reference conditions in the percentage error greater than the uncertainty of the measurement and no mechanical damage to the EUT.</w:t>
            </w:r>
          </w:p>
          <w:p w14:paraId="6E224CD0" w14:textId="77777777" w:rsidR="003E446D" w:rsidRPr="007817AD" w:rsidRDefault="003E446D" w:rsidP="003E446D">
            <w:pPr>
              <w:pStyle w:val="TestTableText"/>
            </w:pPr>
            <w:r w:rsidRPr="007817AD">
              <w:t>During the test relative to earth, no flashover, disruptive discharge or puncture shall occur.</w:t>
            </w:r>
          </w:p>
        </w:tc>
      </w:tr>
      <w:tr w:rsidR="000618E0" w:rsidRPr="007817AD" w14:paraId="0E3CC2E3" w14:textId="77777777" w:rsidTr="00DC1F3E">
        <w:tc>
          <w:tcPr>
            <w:tcW w:w="1053" w:type="pct"/>
            <w:shd w:val="clear" w:color="auto" w:fill="F0DCDC"/>
          </w:tcPr>
          <w:p w14:paraId="0ECB72F6" w14:textId="77777777" w:rsidR="000618E0" w:rsidRPr="007817AD" w:rsidRDefault="000618E0" w:rsidP="00DC1F3E">
            <w:pPr>
              <w:pStyle w:val="TestTableText"/>
            </w:pPr>
            <w:r w:rsidRPr="007817AD">
              <w:t>Test procedure in brief</w:t>
            </w:r>
          </w:p>
        </w:tc>
        <w:tc>
          <w:tcPr>
            <w:tcW w:w="3947" w:type="pct"/>
            <w:gridSpan w:val="2"/>
            <w:tcMar>
              <w:right w:w="28" w:type="dxa"/>
            </w:tcMar>
            <w:vAlign w:val="center"/>
          </w:tcPr>
          <w:p w14:paraId="3915A3E1" w14:textId="3366F831" w:rsidR="000618E0" w:rsidRPr="007817AD" w:rsidRDefault="000618E0" w:rsidP="00DC1F3E">
            <w:pPr>
              <w:pStyle w:val="TestTableText"/>
            </w:pPr>
            <w:r w:rsidRPr="007817AD">
              <w:t>The test procedure shall be performed as described in AS 62052.11</w:t>
            </w:r>
            <w:r>
              <w:t xml:space="preserve"> (</w:t>
            </w:r>
            <w:r w:rsidRPr="007817AD">
              <w:t>clause 7.3.2</w:t>
            </w:r>
            <w:r>
              <w:t>)</w:t>
            </w:r>
            <w:r w:rsidRPr="007817AD">
              <w:t xml:space="preserve"> </w:t>
            </w:r>
            <w:r w:rsidRPr="006A3B29">
              <w:t>except for the test for circuits and between circuits (clause 7.3.2.1 of AS 62052.11) where</w:t>
            </w:r>
            <w:r>
              <w:t xml:space="preserve"> </w:t>
            </w:r>
            <w:r w:rsidRPr="007817AD">
              <w:t>the impulse voltage, source impedance, source capacitance and stored energy values shown bel</w:t>
            </w:r>
            <w:r>
              <w:t>ow (from SP-Method 1618).</w:t>
            </w:r>
          </w:p>
        </w:tc>
      </w:tr>
      <w:tr w:rsidR="003E446D" w:rsidRPr="007817AD" w14:paraId="4B89C9B5" w14:textId="77777777" w:rsidTr="00B43AE5">
        <w:tc>
          <w:tcPr>
            <w:tcW w:w="1053" w:type="pct"/>
            <w:shd w:val="clear" w:color="auto" w:fill="F0DCDC"/>
          </w:tcPr>
          <w:p w14:paraId="0725E171" w14:textId="24DD24BE" w:rsidR="003E446D" w:rsidRPr="007817AD" w:rsidRDefault="00B43AE5">
            <w:pPr>
              <w:pStyle w:val="TestTableText"/>
            </w:pPr>
            <w:r>
              <w:t>Alternative t</w:t>
            </w:r>
            <w:r w:rsidRPr="007817AD">
              <w:t>est procedure</w:t>
            </w:r>
          </w:p>
        </w:tc>
        <w:tc>
          <w:tcPr>
            <w:tcW w:w="3947" w:type="pct"/>
            <w:gridSpan w:val="2"/>
            <w:tcMar>
              <w:right w:w="28" w:type="dxa"/>
            </w:tcMar>
            <w:vAlign w:val="center"/>
          </w:tcPr>
          <w:p w14:paraId="53465077" w14:textId="5217191C" w:rsidR="00D00CB2" w:rsidRPr="007817AD" w:rsidRDefault="00B43AE5" w:rsidP="00B456F7">
            <w:pPr>
              <w:pStyle w:val="TestTableText"/>
            </w:pPr>
            <w:r>
              <w:t>An acceptable alternative to the test procedure above and the test conditions below is the impulse voltage test specified in OIML R 46 [</w:t>
            </w:r>
            <w:r w:rsidR="00B456F7">
              <w:t>25</w:t>
            </w:r>
            <w:r>
              <w:t>].</w:t>
            </w:r>
          </w:p>
        </w:tc>
      </w:tr>
      <w:tr w:rsidR="003E446D" w:rsidRPr="007817AD" w14:paraId="00210E6F" w14:textId="77777777" w:rsidTr="00B43AE5">
        <w:tc>
          <w:tcPr>
            <w:tcW w:w="1053" w:type="pct"/>
            <w:shd w:val="clear" w:color="auto" w:fill="F0DCDC"/>
          </w:tcPr>
          <w:p w14:paraId="000C14DA" w14:textId="77777777" w:rsidR="003E446D" w:rsidRPr="007817AD" w:rsidRDefault="003E446D" w:rsidP="003E446D">
            <w:pPr>
              <w:pStyle w:val="TestTableText"/>
            </w:pPr>
            <w:r>
              <w:t>Test conditions</w:t>
            </w:r>
          </w:p>
        </w:tc>
        <w:tc>
          <w:tcPr>
            <w:tcW w:w="1973" w:type="pct"/>
            <w:shd w:val="clear" w:color="auto" w:fill="F0DCDC"/>
            <w:vAlign w:val="center"/>
          </w:tcPr>
          <w:p w14:paraId="6A88987B" w14:textId="77777777" w:rsidR="003E446D" w:rsidRPr="007817AD" w:rsidRDefault="003E446D" w:rsidP="003E446D">
            <w:pPr>
              <w:pStyle w:val="TestTableText"/>
              <w:jc w:val="center"/>
            </w:pPr>
            <w:r>
              <w:t>For circuits and between circuits</w:t>
            </w:r>
          </w:p>
        </w:tc>
        <w:tc>
          <w:tcPr>
            <w:tcW w:w="1974" w:type="pct"/>
            <w:shd w:val="clear" w:color="auto" w:fill="F0DCDC"/>
            <w:vAlign w:val="center"/>
          </w:tcPr>
          <w:p w14:paraId="154E83C0" w14:textId="77777777" w:rsidR="003E446D" w:rsidRPr="005A7379" w:rsidRDefault="003E446D" w:rsidP="003E446D">
            <w:pPr>
              <w:pStyle w:val="TestTableText"/>
              <w:jc w:val="center"/>
            </w:pPr>
            <w:r>
              <w:t>For electric circuits relative to earth</w:t>
            </w:r>
          </w:p>
        </w:tc>
      </w:tr>
      <w:tr w:rsidR="003E446D" w:rsidRPr="007817AD" w14:paraId="002CE26B" w14:textId="77777777" w:rsidTr="00B43AE5">
        <w:tc>
          <w:tcPr>
            <w:tcW w:w="1053" w:type="pct"/>
            <w:shd w:val="clear" w:color="auto" w:fill="F0DCDC"/>
          </w:tcPr>
          <w:p w14:paraId="0F3355D9" w14:textId="77777777" w:rsidR="003E446D" w:rsidRPr="007817AD" w:rsidRDefault="003E446D" w:rsidP="003E446D">
            <w:pPr>
              <w:pStyle w:val="TestTableText"/>
            </w:pPr>
            <w:r w:rsidRPr="007817AD">
              <w:t>Impulse voltage</w:t>
            </w:r>
          </w:p>
        </w:tc>
        <w:tc>
          <w:tcPr>
            <w:tcW w:w="1973" w:type="pct"/>
            <w:shd w:val="clear" w:color="auto" w:fill="auto"/>
            <w:vAlign w:val="center"/>
          </w:tcPr>
          <w:p w14:paraId="3F712F0A" w14:textId="77777777" w:rsidR="003E446D" w:rsidRPr="005A7379" w:rsidRDefault="003E446D" w:rsidP="003E446D">
            <w:pPr>
              <w:pStyle w:val="TestTableText"/>
              <w:jc w:val="center"/>
            </w:pPr>
            <w:r w:rsidRPr="005A7379">
              <w:t xml:space="preserve">12 kV </w:t>
            </w:r>
            <w:r w:rsidRPr="005A7379">
              <w:rPr>
                <w:lang w:eastAsia="en-AU"/>
              </w:rPr>
              <w:t>+0%, –15%</w:t>
            </w:r>
          </w:p>
        </w:tc>
        <w:tc>
          <w:tcPr>
            <w:tcW w:w="1974" w:type="pct"/>
            <w:shd w:val="clear" w:color="auto" w:fill="auto"/>
            <w:vAlign w:val="center"/>
          </w:tcPr>
          <w:p w14:paraId="7426663B" w14:textId="77777777" w:rsidR="003E446D" w:rsidRPr="005A7379" w:rsidRDefault="003E446D" w:rsidP="003E446D">
            <w:pPr>
              <w:pStyle w:val="TestTableText"/>
              <w:jc w:val="center"/>
            </w:pPr>
            <w:r>
              <w:t>10</w:t>
            </w:r>
            <w:r w:rsidRPr="005A7379">
              <w:t xml:space="preserve"> kV </w:t>
            </w:r>
            <w:r w:rsidRPr="005A7379">
              <w:rPr>
                <w:lang w:eastAsia="en-AU"/>
              </w:rPr>
              <w:t>+0%, –1</w:t>
            </w:r>
            <w:r>
              <w:rPr>
                <w:lang w:eastAsia="en-AU"/>
              </w:rPr>
              <w:t>0</w:t>
            </w:r>
            <w:r w:rsidRPr="005A7379">
              <w:rPr>
                <w:lang w:eastAsia="en-AU"/>
              </w:rPr>
              <w:t>%</w:t>
            </w:r>
          </w:p>
        </w:tc>
      </w:tr>
      <w:tr w:rsidR="003E446D" w:rsidRPr="007817AD" w14:paraId="08641814" w14:textId="77777777" w:rsidTr="00B43AE5">
        <w:tc>
          <w:tcPr>
            <w:tcW w:w="1053" w:type="pct"/>
            <w:shd w:val="clear" w:color="auto" w:fill="F0DCDC"/>
          </w:tcPr>
          <w:p w14:paraId="54F6D572" w14:textId="77777777" w:rsidR="003E446D" w:rsidRPr="007817AD" w:rsidRDefault="003E446D" w:rsidP="003E446D">
            <w:pPr>
              <w:pStyle w:val="TestTableText"/>
            </w:pPr>
            <w:r w:rsidRPr="007817AD">
              <w:t>Source capacitance</w:t>
            </w:r>
          </w:p>
        </w:tc>
        <w:tc>
          <w:tcPr>
            <w:tcW w:w="1973" w:type="pct"/>
            <w:shd w:val="clear" w:color="auto" w:fill="auto"/>
            <w:vAlign w:val="center"/>
          </w:tcPr>
          <w:p w14:paraId="1C67678F" w14:textId="77777777" w:rsidR="003E446D" w:rsidRPr="007817AD" w:rsidRDefault="003E446D" w:rsidP="003E446D">
            <w:pPr>
              <w:pStyle w:val="TestTableText"/>
              <w:jc w:val="center"/>
            </w:pPr>
            <w:r w:rsidRPr="007817AD">
              <w:t>0.125 µF</w:t>
            </w:r>
          </w:p>
        </w:tc>
        <w:tc>
          <w:tcPr>
            <w:tcW w:w="1974" w:type="pct"/>
            <w:shd w:val="clear" w:color="auto" w:fill="auto"/>
            <w:vAlign w:val="center"/>
          </w:tcPr>
          <w:p w14:paraId="45FCA573" w14:textId="77777777" w:rsidR="003E446D" w:rsidRPr="007817AD" w:rsidRDefault="003E446D" w:rsidP="003E446D">
            <w:pPr>
              <w:pStyle w:val="TestTableText"/>
              <w:jc w:val="center"/>
            </w:pPr>
            <w:r>
              <w:t>—</w:t>
            </w:r>
          </w:p>
        </w:tc>
      </w:tr>
      <w:tr w:rsidR="003E446D" w:rsidRPr="007817AD" w14:paraId="33CB63AC" w14:textId="77777777" w:rsidTr="00B43AE5">
        <w:tc>
          <w:tcPr>
            <w:tcW w:w="1053" w:type="pct"/>
            <w:shd w:val="clear" w:color="auto" w:fill="F0DCDC"/>
          </w:tcPr>
          <w:p w14:paraId="02FC6EF1" w14:textId="77777777" w:rsidR="003E446D" w:rsidRPr="007817AD" w:rsidRDefault="003E446D" w:rsidP="003E446D">
            <w:pPr>
              <w:pStyle w:val="TestTableText"/>
            </w:pPr>
            <w:r w:rsidRPr="007817AD">
              <w:t>Source impedance</w:t>
            </w:r>
          </w:p>
        </w:tc>
        <w:tc>
          <w:tcPr>
            <w:tcW w:w="1973" w:type="pct"/>
            <w:shd w:val="clear" w:color="auto" w:fill="auto"/>
            <w:vAlign w:val="center"/>
          </w:tcPr>
          <w:p w14:paraId="2938C574" w14:textId="77777777" w:rsidR="003E446D" w:rsidRPr="007817AD" w:rsidRDefault="003E446D" w:rsidP="003E446D">
            <w:pPr>
              <w:pStyle w:val="TestTableText"/>
              <w:jc w:val="center"/>
            </w:pPr>
            <w:r w:rsidRPr="007817AD">
              <w:t>40 Ω ± 5 Ω</w:t>
            </w:r>
          </w:p>
        </w:tc>
        <w:tc>
          <w:tcPr>
            <w:tcW w:w="1974" w:type="pct"/>
            <w:shd w:val="clear" w:color="auto" w:fill="auto"/>
            <w:vAlign w:val="center"/>
          </w:tcPr>
          <w:p w14:paraId="01FBCBF0" w14:textId="77777777" w:rsidR="003E446D" w:rsidRPr="007817AD" w:rsidRDefault="003E446D" w:rsidP="003E446D">
            <w:pPr>
              <w:pStyle w:val="TestTableText"/>
              <w:jc w:val="center"/>
            </w:pPr>
            <w:r>
              <w:t>50</w:t>
            </w:r>
            <w:r w:rsidRPr="007817AD">
              <w:t>0 Ω ± 5</w:t>
            </w:r>
            <w:r>
              <w:t>0</w:t>
            </w:r>
            <w:r w:rsidRPr="007817AD">
              <w:t xml:space="preserve"> Ω</w:t>
            </w:r>
          </w:p>
        </w:tc>
      </w:tr>
      <w:tr w:rsidR="003E446D" w:rsidRPr="007817AD" w14:paraId="6756A766" w14:textId="77777777" w:rsidTr="00B43AE5">
        <w:tc>
          <w:tcPr>
            <w:tcW w:w="1053" w:type="pct"/>
            <w:shd w:val="clear" w:color="auto" w:fill="F0DCDC"/>
          </w:tcPr>
          <w:p w14:paraId="1CBB7AC8" w14:textId="77777777" w:rsidR="003E446D" w:rsidRPr="007817AD" w:rsidRDefault="003E446D" w:rsidP="003E446D">
            <w:pPr>
              <w:pStyle w:val="TestTableText"/>
            </w:pPr>
            <w:r w:rsidRPr="007817AD">
              <w:t>Stored energy</w:t>
            </w:r>
          </w:p>
        </w:tc>
        <w:tc>
          <w:tcPr>
            <w:tcW w:w="1973" w:type="pct"/>
            <w:shd w:val="clear" w:color="auto" w:fill="auto"/>
            <w:vAlign w:val="center"/>
          </w:tcPr>
          <w:p w14:paraId="5F620519" w14:textId="77777777" w:rsidR="003E446D" w:rsidRPr="007817AD" w:rsidRDefault="003E446D" w:rsidP="003E446D">
            <w:pPr>
              <w:pStyle w:val="TestTableText"/>
              <w:jc w:val="center"/>
            </w:pPr>
            <w:r w:rsidRPr="007817AD">
              <w:t>9.0 J ± 1.0 J</w:t>
            </w:r>
          </w:p>
        </w:tc>
        <w:tc>
          <w:tcPr>
            <w:tcW w:w="1974" w:type="pct"/>
            <w:shd w:val="clear" w:color="auto" w:fill="auto"/>
            <w:vAlign w:val="center"/>
          </w:tcPr>
          <w:p w14:paraId="4E6A83FF" w14:textId="77777777" w:rsidR="003E446D" w:rsidRPr="007817AD" w:rsidRDefault="003E446D" w:rsidP="003E446D">
            <w:pPr>
              <w:pStyle w:val="TestTableText"/>
              <w:jc w:val="center"/>
            </w:pPr>
            <w:r w:rsidRPr="007817AD">
              <w:t>0</w:t>
            </w:r>
            <w:r>
              <w:t>.5</w:t>
            </w:r>
            <w:r w:rsidRPr="007817AD">
              <w:t xml:space="preserve"> J ± 0</w:t>
            </w:r>
            <w:r>
              <w:t>.05</w:t>
            </w:r>
            <w:r w:rsidRPr="007817AD">
              <w:t xml:space="preserve"> J</w:t>
            </w:r>
          </w:p>
        </w:tc>
      </w:tr>
      <w:tr w:rsidR="003E446D" w:rsidRPr="007817AD" w14:paraId="4BF780C8" w14:textId="77777777" w:rsidTr="00B43AE5">
        <w:tc>
          <w:tcPr>
            <w:tcW w:w="1053" w:type="pct"/>
            <w:shd w:val="clear" w:color="auto" w:fill="F0DCDC"/>
          </w:tcPr>
          <w:p w14:paraId="0260E520" w14:textId="77777777" w:rsidR="003E446D" w:rsidRPr="007817AD" w:rsidRDefault="003E446D" w:rsidP="003E446D">
            <w:pPr>
              <w:pStyle w:val="TestTableText"/>
            </w:pPr>
            <w:r w:rsidRPr="007817AD">
              <w:t>Impulse waveform at no load</w:t>
            </w:r>
          </w:p>
        </w:tc>
        <w:tc>
          <w:tcPr>
            <w:tcW w:w="3947" w:type="pct"/>
            <w:gridSpan w:val="2"/>
            <w:vAlign w:val="center"/>
          </w:tcPr>
          <w:p w14:paraId="5A42B3C5" w14:textId="5B2B213C" w:rsidR="003E446D" w:rsidRPr="007817AD" w:rsidRDefault="003E446D" w:rsidP="00B456F7">
            <w:pPr>
              <w:pStyle w:val="TestTableText"/>
            </w:pPr>
            <w:r w:rsidRPr="007817AD">
              <w:t xml:space="preserve">1.2/50 impulse specified in IEC 60060-1 </w:t>
            </w:r>
            <w:r>
              <w:t>[</w:t>
            </w:r>
            <w:r w:rsidR="00B456F7">
              <w:t>26</w:t>
            </w:r>
            <w:r>
              <w:t>]</w:t>
            </w:r>
          </w:p>
        </w:tc>
      </w:tr>
      <w:tr w:rsidR="003E446D" w:rsidRPr="007817AD" w14:paraId="291ABF71" w14:textId="77777777" w:rsidTr="00B43AE5">
        <w:tc>
          <w:tcPr>
            <w:tcW w:w="1053" w:type="pct"/>
            <w:shd w:val="clear" w:color="auto" w:fill="F0DCDC"/>
          </w:tcPr>
          <w:p w14:paraId="71145EEE" w14:textId="77777777" w:rsidR="003E446D" w:rsidRPr="007817AD" w:rsidRDefault="003E446D" w:rsidP="003E446D">
            <w:pPr>
              <w:pStyle w:val="TestTableText"/>
            </w:pPr>
            <w:r w:rsidRPr="007817AD">
              <w:t>Time between impulses</w:t>
            </w:r>
          </w:p>
        </w:tc>
        <w:tc>
          <w:tcPr>
            <w:tcW w:w="3947" w:type="pct"/>
            <w:gridSpan w:val="2"/>
            <w:vAlign w:val="center"/>
          </w:tcPr>
          <w:p w14:paraId="358ACE57" w14:textId="77777777" w:rsidR="003E446D" w:rsidRPr="007817AD" w:rsidRDefault="003E446D" w:rsidP="003E446D">
            <w:pPr>
              <w:pStyle w:val="TestTableText"/>
            </w:pPr>
            <w:r>
              <w:t>M</w:t>
            </w:r>
            <w:r w:rsidRPr="007817AD">
              <w:t>inimum 3 s</w:t>
            </w:r>
          </w:p>
        </w:tc>
      </w:tr>
      <w:tr w:rsidR="003E446D" w:rsidRPr="007817AD" w14:paraId="3D62FB0D" w14:textId="77777777" w:rsidTr="00B43AE5">
        <w:tc>
          <w:tcPr>
            <w:tcW w:w="1053" w:type="pct"/>
            <w:shd w:val="clear" w:color="auto" w:fill="F0DCDC"/>
          </w:tcPr>
          <w:p w14:paraId="022F11BE" w14:textId="77777777" w:rsidR="003E446D" w:rsidRPr="007817AD" w:rsidRDefault="003E446D" w:rsidP="003E446D">
            <w:pPr>
              <w:pStyle w:val="TestTableText"/>
            </w:pPr>
            <w:r w:rsidRPr="007817AD">
              <w:t>Front time T</w:t>
            </w:r>
            <w:r w:rsidRPr="007817AD">
              <w:rPr>
                <w:vertAlign w:val="subscript"/>
              </w:rPr>
              <w:t>1</w:t>
            </w:r>
            <w:r w:rsidRPr="007817AD">
              <w:t xml:space="preserve"> </w:t>
            </w:r>
            <w:r>
              <w:br/>
            </w:r>
            <w:r w:rsidRPr="007817AD">
              <w:t>(voltage rise time)</w:t>
            </w:r>
          </w:p>
        </w:tc>
        <w:tc>
          <w:tcPr>
            <w:tcW w:w="3947" w:type="pct"/>
            <w:gridSpan w:val="2"/>
            <w:vAlign w:val="center"/>
          </w:tcPr>
          <w:p w14:paraId="62C868A2" w14:textId="77777777" w:rsidR="003E446D" w:rsidRPr="007817AD" w:rsidRDefault="003E446D" w:rsidP="003E446D">
            <w:pPr>
              <w:pStyle w:val="TestTableText"/>
            </w:pPr>
            <w:r w:rsidRPr="007817AD">
              <w:t>1.2 ± 30</w:t>
            </w:r>
            <w:r>
              <w:t>%</w:t>
            </w:r>
            <w:r w:rsidRPr="007817AD">
              <w:t xml:space="preserve"> (with no load)</w:t>
            </w:r>
          </w:p>
        </w:tc>
      </w:tr>
      <w:tr w:rsidR="003E446D" w:rsidRPr="007817AD" w14:paraId="4B42CD2B" w14:textId="77777777" w:rsidTr="00B43AE5">
        <w:tc>
          <w:tcPr>
            <w:tcW w:w="1053" w:type="pct"/>
            <w:shd w:val="clear" w:color="auto" w:fill="F0DCDC"/>
          </w:tcPr>
          <w:p w14:paraId="1945F74B" w14:textId="77777777" w:rsidR="003E446D" w:rsidRPr="007817AD" w:rsidRDefault="003E446D" w:rsidP="003E446D">
            <w:pPr>
              <w:pStyle w:val="TestTableText"/>
            </w:pPr>
            <w:r w:rsidRPr="007817AD">
              <w:t>Time to half-value T</w:t>
            </w:r>
            <w:r w:rsidRPr="007817AD">
              <w:rPr>
                <w:vertAlign w:val="subscript"/>
              </w:rPr>
              <w:t>2</w:t>
            </w:r>
            <w:r w:rsidRPr="007817AD">
              <w:t xml:space="preserve"> (voltage fall time)</w:t>
            </w:r>
          </w:p>
        </w:tc>
        <w:tc>
          <w:tcPr>
            <w:tcW w:w="3947" w:type="pct"/>
            <w:gridSpan w:val="2"/>
            <w:vAlign w:val="center"/>
          </w:tcPr>
          <w:p w14:paraId="2C2CBC5C" w14:textId="77777777" w:rsidR="003E446D" w:rsidRPr="007817AD" w:rsidRDefault="003E446D" w:rsidP="003E446D">
            <w:pPr>
              <w:pStyle w:val="TestTableText"/>
            </w:pPr>
            <w:r w:rsidRPr="007817AD">
              <w:t>50 ± 20</w:t>
            </w:r>
            <w:r>
              <w:t>%</w:t>
            </w:r>
            <w:r w:rsidRPr="007817AD">
              <w:t xml:space="preserve"> (with no load)</w:t>
            </w:r>
          </w:p>
        </w:tc>
      </w:tr>
      <w:tr w:rsidR="003E446D" w:rsidRPr="007817AD" w14:paraId="0A3ED082" w14:textId="77777777" w:rsidTr="00B43AE5">
        <w:tc>
          <w:tcPr>
            <w:tcW w:w="1053" w:type="pct"/>
            <w:shd w:val="clear" w:color="auto" w:fill="F0DCDC"/>
          </w:tcPr>
          <w:p w14:paraId="5CC5C9DB" w14:textId="77777777" w:rsidR="003E446D" w:rsidRPr="007817AD" w:rsidRDefault="003E446D" w:rsidP="003E446D">
            <w:pPr>
              <w:pStyle w:val="TestTableText"/>
            </w:pPr>
            <w:r w:rsidRPr="007817AD">
              <w:t>Additional information</w:t>
            </w:r>
          </w:p>
        </w:tc>
        <w:tc>
          <w:tcPr>
            <w:tcW w:w="3947" w:type="pct"/>
            <w:gridSpan w:val="2"/>
            <w:vAlign w:val="center"/>
          </w:tcPr>
          <w:p w14:paraId="2ADDAB3B" w14:textId="77777777" w:rsidR="003E446D" w:rsidRDefault="003E446D" w:rsidP="003E446D">
            <w:pPr>
              <w:pStyle w:val="TestTableText"/>
            </w:pPr>
            <w:r w:rsidRPr="007817AD">
              <w:t>The specified values for impulse voltage and stored energy</w:t>
            </w:r>
            <w:r>
              <w:t xml:space="preserve"> for the test for circuits and between circuits</w:t>
            </w:r>
            <w:r w:rsidRPr="007817AD">
              <w:t xml:space="preserve"> come from SP-Method 1618 and are higher than the values listed in Table 3b of</w:t>
            </w:r>
            <w:r>
              <w:t xml:space="preserve"> </w:t>
            </w:r>
            <w:r w:rsidRPr="007817AD">
              <w:t xml:space="preserve">AS 62052.11 </w:t>
            </w:r>
            <w:r>
              <w:t>[4]</w:t>
            </w:r>
            <w:r w:rsidRPr="007817AD">
              <w:t xml:space="preserve"> and the corresponding table of IEC</w:t>
            </w:r>
            <w:r>
              <w:t xml:space="preserve"> </w:t>
            </w:r>
            <w:r w:rsidRPr="007817AD">
              <w:t xml:space="preserve">62052-11 </w:t>
            </w:r>
            <w:r>
              <w:t>[9]</w:t>
            </w:r>
            <w:r w:rsidRPr="007817AD">
              <w:t>. The values of source capacitance and source impedance have been chosen to align with those cited in SP-Method 1618 and thus also with the new impulse voltage and stored energy values.</w:t>
            </w:r>
          </w:p>
          <w:p w14:paraId="14FEB3A7" w14:textId="77777777" w:rsidR="003E446D" w:rsidRPr="007817AD" w:rsidRDefault="003E446D" w:rsidP="003E446D">
            <w:pPr>
              <w:pStyle w:val="TestTableText"/>
            </w:pPr>
            <w:r w:rsidRPr="007817AD">
              <w:t xml:space="preserve">The </w:t>
            </w:r>
            <w:r>
              <w:t>i</w:t>
            </w:r>
            <w:r w:rsidRPr="007817AD">
              <w:t xml:space="preserve">mpulse </w:t>
            </w:r>
            <w:r>
              <w:t>v</w:t>
            </w:r>
            <w:r w:rsidRPr="007817AD">
              <w:t xml:space="preserve">oltage test should be carried out before the AC </w:t>
            </w:r>
            <w:r>
              <w:t>v</w:t>
            </w:r>
            <w:r w:rsidRPr="007817AD">
              <w:t>oltage test (Annex</w:t>
            </w:r>
            <w:r>
              <w:t> A.2.20</w:t>
            </w:r>
            <w:r w:rsidRPr="007817AD">
              <w:t>).</w:t>
            </w:r>
          </w:p>
        </w:tc>
      </w:tr>
    </w:tbl>
    <w:p w14:paraId="26D1BF9A" w14:textId="47599405" w:rsidR="003E446D" w:rsidRDefault="003E446D" w:rsidP="00B43AE5">
      <w:bookmarkStart w:id="80" w:name="_Ref195586094"/>
      <w:bookmarkStart w:id="81" w:name="_Ref197246070"/>
      <w:bookmarkStart w:id="82" w:name="_Toc291768458"/>
      <w:bookmarkStart w:id="83" w:name="_Toc291769525"/>
      <w:r>
        <w:br w:type="page"/>
      </w:r>
    </w:p>
    <w:p w14:paraId="57B04F82" w14:textId="77777777" w:rsidR="003E446D" w:rsidRPr="004D23A4" w:rsidRDefault="003E446D" w:rsidP="003E446D">
      <w:pPr>
        <w:pStyle w:val="HeadingAnnexC"/>
      </w:pPr>
      <w:r w:rsidRPr="004D23A4">
        <w:t>AC Voltage Test</w:t>
      </w:r>
      <w:bookmarkEnd w:id="80"/>
      <w:bookmarkEnd w:id="81"/>
      <w:bookmarkEnd w:id="82"/>
      <w:bookmarkEnd w:id="83"/>
    </w:p>
    <w:tbl>
      <w:tblPr>
        <w:tblStyle w:val="TableGrid"/>
        <w:tblW w:w="5000" w:type="pct"/>
        <w:tblLayout w:type="fixed"/>
        <w:tblCellMar>
          <w:left w:w="57" w:type="dxa"/>
          <w:right w:w="57" w:type="dxa"/>
        </w:tblCellMar>
        <w:tblLook w:val="01E0" w:firstRow="1" w:lastRow="1" w:firstColumn="1" w:lastColumn="1" w:noHBand="0" w:noVBand="0"/>
      </w:tblPr>
      <w:tblGrid>
        <w:gridCol w:w="2034"/>
        <w:gridCol w:w="7708"/>
      </w:tblGrid>
      <w:tr w:rsidR="003E446D" w:rsidRPr="007817AD" w14:paraId="15558415" w14:textId="77777777" w:rsidTr="00B43AE5">
        <w:tc>
          <w:tcPr>
            <w:tcW w:w="1044" w:type="pct"/>
            <w:shd w:val="clear" w:color="auto" w:fill="F0DCDC"/>
          </w:tcPr>
          <w:p w14:paraId="21E722E4" w14:textId="77777777" w:rsidR="003E446D" w:rsidRPr="007817AD" w:rsidRDefault="003E446D" w:rsidP="00752606">
            <w:pPr>
              <w:pStyle w:val="TestTableText"/>
            </w:pPr>
            <w:r w:rsidRPr="007817AD">
              <w:t>Applicable standards</w:t>
            </w:r>
          </w:p>
        </w:tc>
        <w:tc>
          <w:tcPr>
            <w:tcW w:w="3956" w:type="pct"/>
            <w:vAlign w:val="center"/>
          </w:tcPr>
          <w:p w14:paraId="3B32578D" w14:textId="77777777" w:rsidR="003E446D" w:rsidRPr="007817AD" w:rsidRDefault="003E446D" w:rsidP="00752606">
            <w:pPr>
              <w:pStyle w:val="TestTableText"/>
            </w:pPr>
            <w:r w:rsidRPr="007817AD">
              <w:t xml:space="preserve">AS 62053.21 </w:t>
            </w:r>
            <w:r w:rsidR="00752606">
              <w:t>[7]</w:t>
            </w:r>
            <w:r w:rsidRPr="007817AD">
              <w:t xml:space="preserve">, AS 62053.22 </w:t>
            </w:r>
            <w:r w:rsidR="00752606">
              <w:t>[8]</w:t>
            </w:r>
            <w:r w:rsidRPr="007817AD">
              <w:t xml:space="preserve">, AS 1284.1 </w:t>
            </w:r>
            <w:r w:rsidR="00752606">
              <w:t>[5]</w:t>
            </w:r>
          </w:p>
        </w:tc>
      </w:tr>
      <w:tr w:rsidR="003E446D" w:rsidRPr="007817AD" w14:paraId="75BA793F" w14:textId="77777777" w:rsidTr="00B43AE5">
        <w:tc>
          <w:tcPr>
            <w:tcW w:w="1044" w:type="pct"/>
            <w:shd w:val="clear" w:color="auto" w:fill="F0DCDC"/>
          </w:tcPr>
          <w:p w14:paraId="0CB8D487" w14:textId="77777777" w:rsidR="003E446D" w:rsidRPr="007817AD" w:rsidRDefault="003E446D" w:rsidP="00752606">
            <w:pPr>
              <w:pStyle w:val="TestTableText"/>
            </w:pPr>
            <w:r w:rsidRPr="007817AD">
              <w:t>Object of test</w:t>
            </w:r>
          </w:p>
        </w:tc>
        <w:tc>
          <w:tcPr>
            <w:tcW w:w="3956" w:type="pct"/>
            <w:vAlign w:val="center"/>
          </w:tcPr>
          <w:p w14:paraId="29BDE9AE" w14:textId="77777777" w:rsidR="003E446D" w:rsidRPr="007817AD" w:rsidRDefault="003E446D" w:rsidP="00752606">
            <w:pPr>
              <w:pStyle w:val="TestTableText"/>
            </w:pPr>
            <w:r w:rsidRPr="007817AD">
              <w:t>To verify retention of adequate dielectric qualities under the application of a test voltage consistent with normal conditions of use. After this test, there shall be no change at reference conditions in the percentage error greater than the uncertainty of the measurement and no mechanical damage to the EUT. During this test no flashover, disruptive discharge or puncture shall occur.</w:t>
            </w:r>
          </w:p>
        </w:tc>
      </w:tr>
      <w:tr w:rsidR="003E446D" w:rsidRPr="007817AD" w14:paraId="2AD8B911" w14:textId="77777777" w:rsidTr="00B43AE5">
        <w:tc>
          <w:tcPr>
            <w:tcW w:w="1044" w:type="pct"/>
            <w:shd w:val="clear" w:color="auto" w:fill="F0DCDC"/>
          </w:tcPr>
          <w:p w14:paraId="0DCA5934" w14:textId="77777777" w:rsidR="003E446D" w:rsidRPr="007817AD" w:rsidRDefault="003E446D" w:rsidP="00752606">
            <w:pPr>
              <w:pStyle w:val="TestTableText"/>
            </w:pPr>
            <w:r w:rsidRPr="007817AD">
              <w:t>Test procedure in brief</w:t>
            </w:r>
          </w:p>
        </w:tc>
        <w:tc>
          <w:tcPr>
            <w:tcW w:w="3956" w:type="pct"/>
            <w:vAlign w:val="center"/>
          </w:tcPr>
          <w:p w14:paraId="26CCE859" w14:textId="77777777" w:rsidR="003E446D" w:rsidRPr="007817AD" w:rsidRDefault="003E446D" w:rsidP="00752606">
            <w:pPr>
              <w:pStyle w:val="TestTableText"/>
            </w:pPr>
            <w:r w:rsidRPr="007817AD">
              <w:t>The AC voltage test shall be carried out in accordance with the details shown below. The test voltage shall be substantially sinusoidal, having a frequency between 45 and 65 Hz, and applied for 1 min. The power source shall be capable of supplying at least 500 VA.</w:t>
            </w:r>
          </w:p>
          <w:p w14:paraId="1DFA6A9D" w14:textId="77777777" w:rsidR="003E446D" w:rsidRPr="007817AD" w:rsidRDefault="003E446D" w:rsidP="00752606">
            <w:pPr>
              <w:pStyle w:val="TestTableText"/>
            </w:pPr>
            <w:r w:rsidRPr="007817AD">
              <w:t>During the tests relative to earth, the auxiliary circuits with reference voltage equal to or below 40 V shall be connected to earth. All these tests shall be carried out with the meter case closed, and the meter cover and terminal cover in place.</w:t>
            </w:r>
          </w:p>
        </w:tc>
      </w:tr>
      <w:tr w:rsidR="003E446D" w:rsidRPr="007817AD" w14:paraId="6BF1D8D4" w14:textId="77777777" w:rsidTr="00B43AE5">
        <w:tc>
          <w:tcPr>
            <w:tcW w:w="1044" w:type="pct"/>
            <w:shd w:val="clear" w:color="auto" w:fill="F0DCDC"/>
            <w:vAlign w:val="center"/>
          </w:tcPr>
          <w:p w14:paraId="57408536" w14:textId="77777777" w:rsidR="003E446D" w:rsidRPr="007817AD" w:rsidRDefault="003E446D" w:rsidP="00752606">
            <w:pPr>
              <w:pStyle w:val="TestTableText"/>
              <w:rPr>
                <w:iCs/>
              </w:rPr>
            </w:pPr>
            <w:r w:rsidRPr="007817AD">
              <w:rPr>
                <w:iCs/>
              </w:rPr>
              <w:t>Test voltage (</w:t>
            </w:r>
            <w:r>
              <w:rPr>
                <w:iCs/>
              </w:rPr>
              <w:t>rms</w:t>
            </w:r>
            <w:r w:rsidRPr="007817AD">
              <w:rPr>
                <w:iCs/>
              </w:rPr>
              <w:t>)</w:t>
            </w:r>
          </w:p>
        </w:tc>
        <w:tc>
          <w:tcPr>
            <w:tcW w:w="3956" w:type="pct"/>
            <w:shd w:val="clear" w:color="auto" w:fill="F0DCDC"/>
            <w:vAlign w:val="center"/>
          </w:tcPr>
          <w:p w14:paraId="61433FC2" w14:textId="77777777" w:rsidR="003E446D" w:rsidRPr="007817AD" w:rsidRDefault="003E446D" w:rsidP="00752606">
            <w:pPr>
              <w:pStyle w:val="TestTableText"/>
              <w:rPr>
                <w:iCs/>
              </w:rPr>
            </w:pPr>
            <w:r w:rsidRPr="007817AD">
              <w:rPr>
                <w:iCs/>
              </w:rPr>
              <w:t>Points of application of test voltage</w:t>
            </w:r>
            <w:r>
              <w:rPr>
                <w:iCs/>
              </w:rPr>
              <w:t>:</w:t>
            </w:r>
          </w:p>
        </w:tc>
      </w:tr>
      <w:tr w:rsidR="003E446D" w:rsidRPr="007817AD" w14:paraId="2A7F39CE" w14:textId="77777777" w:rsidTr="00B43AE5">
        <w:tc>
          <w:tcPr>
            <w:tcW w:w="1044" w:type="pct"/>
            <w:shd w:val="clear" w:color="auto" w:fill="F0DCDC"/>
          </w:tcPr>
          <w:p w14:paraId="381837AD" w14:textId="77777777" w:rsidR="003E446D" w:rsidRPr="007817AD" w:rsidRDefault="003E446D" w:rsidP="00752606">
            <w:pPr>
              <w:pStyle w:val="TestTableText"/>
              <w:jc w:val="right"/>
              <w:rPr>
                <w:iCs/>
              </w:rPr>
            </w:pPr>
            <w:r w:rsidRPr="007817AD">
              <w:rPr>
                <w:iCs/>
              </w:rPr>
              <w:t>2 kV</w:t>
            </w:r>
          </w:p>
        </w:tc>
        <w:tc>
          <w:tcPr>
            <w:tcW w:w="3956" w:type="pct"/>
            <w:vAlign w:val="center"/>
          </w:tcPr>
          <w:p w14:paraId="141CA8AA" w14:textId="77777777" w:rsidR="003E446D" w:rsidRPr="007817AD" w:rsidRDefault="003E446D" w:rsidP="007C176B">
            <w:pPr>
              <w:pStyle w:val="TestTableText"/>
              <w:numPr>
                <w:ilvl w:val="0"/>
                <w:numId w:val="28"/>
              </w:numPr>
            </w:pPr>
            <w:r w:rsidRPr="007817AD">
              <w:t>Between circuits not intended to be connected together in service.</w:t>
            </w:r>
          </w:p>
        </w:tc>
      </w:tr>
      <w:tr w:rsidR="003E446D" w:rsidRPr="007817AD" w14:paraId="05E3424B" w14:textId="77777777" w:rsidTr="00B43AE5">
        <w:tc>
          <w:tcPr>
            <w:tcW w:w="1044" w:type="pct"/>
            <w:shd w:val="clear" w:color="auto" w:fill="F0DCDC"/>
          </w:tcPr>
          <w:p w14:paraId="6DD96894" w14:textId="77777777" w:rsidR="003E446D" w:rsidRPr="007817AD" w:rsidRDefault="003E446D" w:rsidP="00752606">
            <w:pPr>
              <w:pStyle w:val="TestTableText"/>
              <w:jc w:val="right"/>
              <w:rPr>
                <w:iCs/>
              </w:rPr>
            </w:pPr>
            <w:r w:rsidRPr="007817AD">
              <w:rPr>
                <w:iCs/>
              </w:rPr>
              <w:t>4 kV</w:t>
            </w:r>
          </w:p>
        </w:tc>
        <w:tc>
          <w:tcPr>
            <w:tcW w:w="3956" w:type="pct"/>
            <w:shd w:val="clear" w:color="auto" w:fill="auto"/>
            <w:vAlign w:val="center"/>
          </w:tcPr>
          <w:p w14:paraId="488DE050" w14:textId="77777777" w:rsidR="003E446D" w:rsidRPr="007817AD" w:rsidRDefault="003E446D" w:rsidP="007C176B">
            <w:pPr>
              <w:pStyle w:val="TestTableText"/>
              <w:numPr>
                <w:ilvl w:val="0"/>
                <w:numId w:val="28"/>
              </w:numPr>
            </w:pPr>
            <w:r w:rsidRPr="007817AD">
              <w:t>Between, on the one hand, all the current and voltage circuits as well as the auxiliary circuits whose reference voltage is over 40 V, connected together, and, on the other hand, earth.</w:t>
            </w:r>
          </w:p>
        </w:tc>
      </w:tr>
      <w:tr w:rsidR="003E446D" w:rsidRPr="007817AD" w14:paraId="41CDD23F" w14:textId="77777777" w:rsidTr="00B43AE5">
        <w:trPr>
          <w:trHeight w:val="870"/>
        </w:trPr>
        <w:tc>
          <w:tcPr>
            <w:tcW w:w="1044" w:type="pct"/>
            <w:shd w:val="clear" w:color="auto" w:fill="F0DCDC"/>
          </w:tcPr>
          <w:p w14:paraId="7A72F9EE" w14:textId="77777777" w:rsidR="003E446D" w:rsidRPr="007817AD" w:rsidRDefault="003E446D" w:rsidP="00752606">
            <w:pPr>
              <w:pStyle w:val="TestTableText"/>
              <w:jc w:val="right"/>
              <w:rPr>
                <w:iCs/>
              </w:rPr>
            </w:pPr>
            <w:r w:rsidRPr="007817AD">
              <w:rPr>
                <w:iCs/>
              </w:rPr>
              <w:t>40 V</w:t>
            </w:r>
          </w:p>
        </w:tc>
        <w:tc>
          <w:tcPr>
            <w:tcW w:w="3956" w:type="pct"/>
            <w:shd w:val="clear" w:color="auto" w:fill="auto"/>
            <w:tcMar>
              <w:right w:w="28" w:type="dxa"/>
            </w:tcMar>
            <w:vAlign w:val="center"/>
          </w:tcPr>
          <w:p w14:paraId="27EB12A1" w14:textId="55B78765" w:rsidR="003E446D" w:rsidRPr="007817AD" w:rsidRDefault="003E446D" w:rsidP="00752606">
            <w:pPr>
              <w:pStyle w:val="TestTableText"/>
              <w:ind w:left="360"/>
              <w:rPr>
                <w:iCs/>
              </w:rPr>
            </w:pPr>
            <w:r w:rsidRPr="007817AD">
              <w:rPr>
                <w:iCs/>
              </w:rPr>
              <w:t>If a visual inspection does not conclusively demonstrate compliance with protective class</w:t>
            </w:r>
            <w:r>
              <w:rPr>
                <w:iCs/>
              </w:rPr>
              <w:t xml:space="preserve"> </w:t>
            </w:r>
            <w:r w:rsidR="00CB4A2D">
              <w:rPr>
                <w:iCs/>
              </w:rPr>
              <w:t>II</w:t>
            </w:r>
            <w:r w:rsidRPr="007817AD">
              <w:rPr>
                <w:iCs/>
              </w:rPr>
              <w:t xml:space="preserve"> requirements as specified in clause 5.7 of AS 62052.11</w:t>
            </w:r>
            <w:r w:rsidRPr="007817AD">
              <w:t xml:space="preserve"> </w:t>
            </w:r>
            <w:r w:rsidR="00752606">
              <w:t>[4]</w:t>
            </w:r>
            <w:r w:rsidRPr="007817AD">
              <w:rPr>
                <w:iCs/>
              </w:rPr>
              <w:t>:</w:t>
            </w:r>
          </w:p>
          <w:p w14:paraId="00366503" w14:textId="77777777" w:rsidR="003E446D" w:rsidRPr="007817AD" w:rsidRDefault="003E446D" w:rsidP="007C176B">
            <w:pPr>
              <w:pStyle w:val="TestTableText"/>
              <w:numPr>
                <w:ilvl w:val="0"/>
                <w:numId w:val="28"/>
              </w:numPr>
            </w:pPr>
            <w:r w:rsidRPr="007817AD">
              <w:t>Between, on the one hand, all conductive parts inside the meter connected together and, on the other hand, all conductive parts outside the meter that are accessible with a test finger, connected together.</w:t>
            </w:r>
          </w:p>
        </w:tc>
      </w:tr>
      <w:tr w:rsidR="003E446D" w:rsidRPr="007817AD" w14:paraId="001C6236" w14:textId="77777777" w:rsidTr="00B43AE5">
        <w:tc>
          <w:tcPr>
            <w:tcW w:w="1044" w:type="pct"/>
            <w:shd w:val="clear" w:color="auto" w:fill="F0DCDC"/>
          </w:tcPr>
          <w:p w14:paraId="10079089" w14:textId="77777777" w:rsidR="003E446D" w:rsidRPr="007817AD" w:rsidRDefault="003E446D" w:rsidP="00752606">
            <w:pPr>
              <w:pStyle w:val="TestTableText"/>
            </w:pPr>
            <w:r w:rsidRPr="007817AD">
              <w:t>Additional information</w:t>
            </w:r>
          </w:p>
        </w:tc>
        <w:tc>
          <w:tcPr>
            <w:tcW w:w="3956" w:type="pct"/>
            <w:vAlign w:val="center"/>
          </w:tcPr>
          <w:p w14:paraId="0D408AE0" w14:textId="77777777" w:rsidR="003E446D" w:rsidRPr="007817AD" w:rsidRDefault="003E446D" w:rsidP="00752606">
            <w:pPr>
              <w:pStyle w:val="TestTableText"/>
            </w:pPr>
            <w:r w:rsidRPr="007817AD">
              <w:t xml:space="preserve">The AC </w:t>
            </w:r>
            <w:r>
              <w:t xml:space="preserve">voltage </w:t>
            </w:r>
            <w:r w:rsidRPr="007817AD">
              <w:t xml:space="preserve">test should be performed after the </w:t>
            </w:r>
            <w:r>
              <w:t>i</w:t>
            </w:r>
            <w:r w:rsidRPr="007817AD">
              <w:t xml:space="preserve">mpulse </w:t>
            </w:r>
            <w:r>
              <w:t xml:space="preserve">voltage </w:t>
            </w:r>
            <w:r w:rsidRPr="007817AD">
              <w:t xml:space="preserve">test (Annex </w:t>
            </w:r>
            <w:r w:rsidR="00752606">
              <w:t>A.2.19</w:t>
            </w:r>
            <w:r w:rsidRPr="007817AD">
              <w:t>).</w:t>
            </w:r>
          </w:p>
        </w:tc>
      </w:tr>
    </w:tbl>
    <w:p w14:paraId="5BF052E2" w14:textId="77777777" w:rsidR="00752606" w:rsidRDefault="00752606" w:rsidP="00752606">
      <w:pPr>
        <w:pStyle w:val="HeadingAnnexC"/>
      </w:pPr>
      <w:bookmarkStart w:id="84" w:name="_Ref291758486"/>
      <w:bookmarkStart w:id="85" w:name="_Toc291768459"/>
      <w:bookmarkStart w:id="86" w:name="_Toc291769526"/>
      <w:r>
        <w:t>Harmonic Components in the Current and Voltage Circuits</w:t>
      </w:r>
      <w:bookmarkEnd w:id="84"/>
      <w:bookmarkEnd w:id="85"/>
      <w:bookmarkEnd w:id="86"/>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752606" w:rsidRPr="007817AD" w14:paraId="4459BAF7" w14:textId="77777777" w:rsidTr="00B43AE5">
        <w:tc>
          <w:tcPr>
            <w:tcW w:w="1000" w:type="pct"/>
            <w:shd w:val="clear" w:color="auto" w:fill="F0DCDC"/>
          </w:tcPr>
          <w:p w14:paraId="2DA89AD2" w14:textId="77777777" w:rsidR="00752606" w:rsidRPr="007817AD" w:rsidRDefault="00752606" w:rsidP="00752606">
            <w:pPr>
              <w:pStyle w:val="TestTableText"/>
            </w:pPr>
            <w:r w:rsidRPr="007817AD">
              <w:t>Applicable standards</w:t>
            </w:r>
          </w:p>
        </w:tc>
        <w:tc>
          <w:tcPr>
            <w:tcW w:w="3750" w:type="pct"/>
          </w:tcPr>
          <w:p w14:paraId="38482FAC" w14:textId="77777777" w:rsidR="00752606" w:rsidRPr="007817AD" w:rsidRDefault="00752606" w:rsidP="00752606">
            <w:pPr>
              <w:pStyle w:val="TestTableText"/>
            </w:pPr>
            <w:r>
              <w:t>AS 62053.21 [7], AS 62053.22 [8]</w:t>
            </w:r>
          </w:p>
        </w:tc>
      </w:tr>
      <w:tr w:rsidR="00752606" w:rsidRPr="007817AD" w14:paraId="41D788E7" w14:textId="77777777" w:rsidTr="00B43AE5">
        <w:tc>
          <w:tcPr>
            <w:tcW w:w="1000" w:type="pct"/>
            <w:shd w:val="clear" w:color="auto" w:fill="F0DCDC"/>
          </w:tcPr>
          <w:p w14:paraId="41667BA2" w14:textId="77777777" w:rsidR="00752606" w:rsidRPr="007817AD" w:rsidRDefault="00752606" w:rsidP="00752606">
            <w:pPr>
              <w:pStyle w:val="TestTableText"/>
            </w:pPr>
            <w:r w:rsidRPr="007817AD">
              <w:t>Object of test</w:t>
            </w:r>
          </w:p>
        </w:tc>
        <w:tc>
          <w:tcPr>
            <w:tcW w:w="3750" w:type="pct"/>
          </w:tcPr>
          <w:p w14:paraId="13A1D0E4" w14:textId="77777777" w:rsidR="00752606" w:rsidRPr="007817AD" w:rsidRDefault="00752606" w:rsidP="00752606">
            <w:pPr>
              <w:pStyle w:val="TestTableText"/>
            </w:pPr>
            <w:r>
              <w:t xml:space="preserve">To verify compliance with the limits of variation in error specified in </w:t>
            </w:r>
            <w:r>
              <w:br/>
              <w:t>Table 4 when exposed to harmonic components in the current and voltage circuits.</w:t>
            </w:r>
          </w:p>
        </w:tc>
      </w:tr>
      <w:tr w:rsidR="00752606" w:rsidRPr="007817AD" w14:paraId="776325E4" w14:textId="77777777" w:rsidTr="00B43AE5">
        <w:tc>
          <w:tcPr>
            <w:tcW w:w="1000" w:type="pct"/>
            <w:shd w:val="clear" w:color="auto" w:fill="F0DCDC"/>
          </w:tcPr>
          <w:p w14:paraId="04ABEA1A" w14:textId="77777777" w:rsidR="00752606" w:rsidRPr="007817AD" w:rsidRDefault="00752606" w:rsidP="00752606">
            <w:pPr>
              <w:pStyle w:val="TestTableText"/>
            </w:pPr>
            <w:r>
              <w:t>Test conditions</w:t>
            </w:r>
          </w:p>
        </w:tc>
        <w:tc>
          <w:tcPr>
            <w:tcW w:w="3750" w:type="pct"/>
          </w:tcPr>
          <w:p w14:paraId="5240954D" w14:textId="77777777" w:rsidR="00752606" w:rsidRDefault="00752606" w:rsidP="00752606">
            <w:pPr>
              <w:pStyle w:val="TestTableText"/>
              <w:tabs>
                <w:tab w:val="left" w:pos="3556"/>
              </w:tabs>
            </w:pPr>
            <w:r>
              <w:t>Fundamental frequency current:</w:t>
            </w:r>
            <w:r>
              <w:tab/>
            </w:r>
            <w:r w:rsidRPr="00752606">
              <w:rPr>
                <w:rFonts w:ascii="Cambria Math" w:hAnsi="Cambria Math"/>
                <w:i/>
              </w:rPr>
              <w:t>I</w:t>
            </w:r>
            <w:r w:rsidRPr="00752606">
              <w:rPr>
                <w:rFonts w:ascii="Cambria Math" w:hAnsi="Cambria Math"/>
                <w:vertAlign w:val="subscript"/>
              </w:rPr>
              <w:t>1</w:t>
            </w:r>
            <w:r w:rsidRPr="00752606">
              <w:rPr>
                <w:rFonts w:ascii="Cambria Math" w:hAnsi="Cambria Math"/>
              </w:rPr>
              <w:t xml:space="preserve"> = 0.5 </w:t>
            </w:r>
            <w:r w:rsidRPr="00752606">
              <w:rPr>
                <w:rFonts w:ascii="Cambria Math" w:hAnsi="Cambria Math"/>
                <w:i/>
              </w:rPr>
              <w:t>I</w:t>
            </w:r>
            <w:r w:rsidRPr="00752606">
              <w:rPr>
                <w:rFonts w:ascii="Cambria Math" w:hAnsi="Cambria Math"/>
                <w:vertAlign w:val="subscript"/>
              </w:rPr>
              <w:t>max</w:t>
            </w:r>
          </w:p>
          <w:p w14:paraId="12AC8B1C" w14:textId="77777777" w:rsidR="00752606" w:rsidRDefault="00752606" w:rsidP="00752606">
            <w:pPr>
              <w:pStyle w:val="TestTableText"/>
              <w:tabs>
                <w:tab w:val="left" w:pos="3556"/>
              </w:tabs>
            </w:pPr>
            <w:r>
              <w:t>Fundamental frequency voltage:</w:t>
            </w:r>
            <w:r>
              <w:tab/>
            </w:r>
            <w:r w:rsidRPr="00752606">
              <w:rPr>
                <w:rFonts w:ascii="Cambria Math" w:hAnsi="Cambria Math"/>
                <w:i/>
              </w:rPr>
              <w:t>U</w:t>
            </w:r>
            <w:r w:rsidRPr="00752606">
              <w:rPr>
                <w:rFonts w:ascii="Cambria Math" w:hAnsi="Cambria Math"/>
                <w:vertAlign w:val="subscript"/>
              </w:rPr>
              <w:t>1</w:t>
            </w:r>
            <w:r w:rsidRPr="00752606">
              <w:rPr>
                <w:rFonts w:ascii="Cambria Math" w:hAnsi="Cambria Math"/>
              </w:rPr>
              <w:t xml:space="preserve"> = </w:t>
            </w:r>
            <w:r w:rsidRPr="00752606">
              <w:rPr>
                <w:rFonts w:ascii="Cambria Math" w:hAnsi="Cambria Math"/>
                <w:i/>
              </w:rPr>
              <w:t>U</w:t>
            </w:r>
            <w:r w:rsidRPr="00752606">
              <w:rPr>
                <w:rFonts w:ascii="Cambria Math" w:hAnsi="Cambria Math"/>
                <w:vertAlign w:val="subscript"/>
              </w:rPr>
              <w:t>nom</w:t>
            </w:r>
          </w:p>
          <w:p w14:paraId="00616660" w14:textId="77777777" w:rsidR="00752606" w:rsidRDefault="00752606" w:rsidP="00752606">
            <w:pPr>
              <w:pStyle w:val="TestTableText"/>
              <w:tabs>
                <w:tab w:val="left" w:pos="3556"/>
              </w:tabs>
            </w:pPr>
            <w:r>
              <w:t>Fundamental frequency power factor:</w:t>
            </w:r>
            <w:r>
              <w:tab/>
            </w:r>
            <w:r w:rsidRPr="00752606">
              <w:rPr>
                <w:rFonts w:ascii="Cambria Math" w:hAnsi="Cambria Math"/>
              </w:rPr>
              <w:t>1</w:t>
            </w:r>
          </w:p>
          <w:p w14:paraId="33A12301" w14:textId="77777777" w:rsidR="00752606" w:rsidRDefault="00752606" w:rsidP="00752606">
            <w:pPr>
              <w:pStyle w:val="TestTableText"/>
              <w:tabs>
                <w:tab w:val="left" w:pos="3556"/>
              </w:tabs>
            </w:pPr>
            <w:r>
              <w:t xml:space="preserve">Content of </w:t>
            </w:r>
            <w:bookmarkStart w:id="87" w:name="OLE_LINK14"/>
            <w:bookmarkStart w:id="88" w:name="OLE_LINK15"/>
            <w:r>
              <w:t xml:space="preserve">fifth </w:t>
            </w:r>
            <w:bookmarkEnd w:id="87"/>
            <w:bookmarkEnd w:id="88"/>
            <w:r>
              <w:t>harmonic voltage:</w:t>
            </w:r>
            <w:r>
              <w:tab/>
            </w:r>
            <w:r w:rsidRPr="00752606">
              <w:rPr>
                <w:rFonts w:ascii="Cambria Math" w:hAnsi="Cambria Math"/>
                <w:i/>
              </w:rPr>
              <w:t>U</w:t>
            </w:r>
            <w:r w:rsidRPr="00752606">
              <w:rPr>
                <w:rFonts w:ascii="Cambria Math" w:hAnsi="Cambria Math"/>
                <w:vertAlign w:val="subscript"/>
              </w:rPr>
              <w:t>5</w:t>
            </w:r>
            <w:r w:rsidRPr="00752606">
              <w:rPr>
                <w:rFonts w:ascii="Cambria Math" w:hAnsi="Cambria Math"/>
              </w:rPr>
              <w:t xml:space="preserve"> = 10% of </w:t>
            </w:r>
            <w:r w:rsidRPr="00752606">
              <w:rPr>
                <w:rFonts w:ascii="Cambria Math" w:hAnsi="Cambria Math"/>
                <w:i/>
              </w:rPr>
              <w:t>U</w:t>
            </w:r>
            <w:r w:rsidRPr="00752606">
              <w:rPr>
                <w:rFonts w:ascii="Cambria Math" w:hAnsi="Cambria Math"/>
                <w:vertAlign w:val="subscript"/>
              </w:rPr>
              <w:t>nom</w:t>
            </w:r>
          </w:p>
          <w:p w14:paraId="47C8A4B2" w14:textId="77777777" w:rsidR="00752606" w:rsidRPr="006D30F7" w:rsidRDefault="00752606" w:rsidP="00752606">
            <w:pPr>
              <w:pStyle w:val="TestTableText"/>
              <w:tabs>
                <w:tab w:val="left" w:pos="3556"/>
              </w:tabs>
            </w:pPr>
            <w:r>
              <w:t>Content of fifth harmonic current:</w:t>
            </w:r>
            <w:r>
              <w:tab/>
            </w:r>
            <w:r w:rsidRPr="00752606">
              <w:rPr>
                <w:rFonts w:ascii="Cambria Math" w:hAnsi="Cambria Math"/>
                <w:i/>
              </w:rPr>
              <w:t>I</w:t>
            </w:r>
            <w:r w:rsidRPr="00752606">
              <w:rPr>
                <w:rFonts w:ascii="Cambria Math" w:hAnsi="Cambria Math"/>
                <w:vertAlign w:val="subscript"/>
              </w:rPr>
              <w:t>5</w:t>
            </w:r>
            <w:r w:rsidRPr="00752606">
              <w:rPr>
                <w:rFonts w:ascii="Cambria Math" w:hAnsi="Cambria Math"/>
              </w:rPr>
              <w:t xml:space="preserve"> = 40% of fundamental current</w:t>
            </w:r>
          </w:p>
        </w:tc>
      </w:tr>
      <w:tr w:rsidR="00752606" w:rsidRPr="007817AD" w14:paraId="7179E6AE" w14:textId="77777777" w:rsidTr="00B43AE5">
        <w:tc>
          <w:tcPr>
            <w:tcW w:w="1000" w:type="pct"/>
            <w:shd w:val="clear" w:color="auto" w:fill="F0DCDC"/>
          </w:tcPr>
          <w:p w14:paraId="31B184E1" w14:textId="77777777" w:rsidR="00752606" w:rsidRPr="007817AD" w:rsidRDefault="00752606" w:rsidP="00752606">
            <w:pPr>
              <w:pStyle w:val="TestTableText"/>
            </w:pPr>
            <w:r w:rsidRPr="007817AD">
              <w:t>Test procedure in brief</w:t>
            </w:r>
          </w:p>
        </w:tc>
        <w:tc>
          <w:tcPr>
            <w:tcW w:w="3750" w:type="pct"/>
          </w:tcPr>
          <w:p w14:paraId="024378B2" w14:textId="77777777" w:rsidR="00752606" w:rsidRPr="007817AD" w:rsidRDefault="00752606" w:rsidP="00752606">
            <w:pPr>
              <w:pStyle w:val="TestTableText"/>
            </w:pPr>
            <w:r>
              <w:t>The variation in percentage error shall be measured under the most unfavourable phase displacement of the fifth harmonic in the current compared with the fundamental error.</w:t>
            </w:r>
          </w:p>
        </w:tc>
      </w:tr>
    </w:tbl>
    <w:p w14:paraId="778DE500" w14:textId="4285EFDE" w:rsidR="00752606" w:rsidRDefault="00752606" w:rsidP="00DF1D1F">
      <w:pPr>
        <w:pStyle w:val="HeadingAnnexA"/>
      </w:pPr>
      <w:r>
        <w:br w:type="page"/>
      </w:r>
      <w:bookmarkStart w:id="89" w:name="_Toc528660300"/>
      <w:bookmarkStart w:id="90" w:name="_Toc528660301"/>
      <w:bookmarkStart w:id="91" w:name="_Toc528660302"/>
      <w:bookmarkStart w:id="92" w:name="_Toc528660303"/>
      <w:bookmarkStart w:id="93" w:name="_Toc528660304"/>
      <w:bookmarkStart w:id="94" w:name="_Toc528660305"/>
      <w:bookmarkStart w:id="95" w:name="_Toc528660306"/>
      <w:bookmarkStart w:id="96" w:name="_Toc528660307"/>
      <w:bookmarkStart w:id="97" w:name="_Toc528660308"/>
      <w:bookmarkStart w:id="98" w:name="_Toc528660309"/>
      <w:bookmarkStart w:id="99" w:name="_Toc528660310"/>
      <w:bookmarkStart w:id="100" w:name="_Toc528660311"/>
      <w:bookmarkStart w:id="101" w:name="_Toc528660312"/>
      <w:bookmarkStart w:id="102" w:name="_Toc528660313"/>
      <w:bookmarkStart w:id="103" w:name="_Toc528660314"/>
      <w:bookmarkStart w:id="104" w:name="_Toc528660315"/>
      <w:bookmarkStart w:id="105" w:name="_Toc528660316"/>
      <w:bookmarkStart w:id="106" w:name="_Toc528660317"/>
      <w:bookmarkStart w:id="107" w:name="_Toc528660318"/>
      <w:bookmarkStart w:id="108" w:name="_Toc528660319"/>
      <w:bookmarkStart w:id="109" w:name="_Toc528660320"/>
      <w:bookmarkStart w:id="110" w:name="_Toc528660321"/>
      <w:bookmarkStart w:id="111" w:name="_Toc528660322"/>
      <w:bookmarkStart w:id="112" w:name="_Toc528660323"/>
      <w:bookmarkStart w:id="113" w:name="_Toc528660324"/>
      <w:bookmarkStart w:id="114" w:name="_Toc528660325"/>
      <w:bookmarkStart w:id="115" w:name="_Toc528660326"/>
      <w:bookmarkStart w:id="116" w:name="_Toc528660327"/>
      <w:bookmarkStart w:id="117" w:name="_Toc528660328"/>
      <w:bookmarkStart w:id="118" w:name="_Toc528660329"/>
      <w:bookmarkStart w:id="119" w:name="_Toc528660330"/>
      <w:bookmarkStart w:id="120" w:name="_Toc323560817"/>
      <w:bookmarkStart w:id="121" w:name="_Toc8548602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345B43">
        <w:t>Mandatory Test Points</w:t>
      </w:r>
      <w:bookmarkEnd w:id="120"/>
      <w:r w:rsidR="00A54F54">
        <w:t xml:space="preserve"> (Mandatory)</w:t>
      </w:r>
      <w:bookmarkEnd w:id="121"/>
    </w:p>
    <w:p w14:paraId="19971734" w14:textId="77777777" w:rsidR="00345B43" w:rsidRDefault="00345B43" w:rsidP="00345B43">
      <w:pPr>
        <w:pStyle w:val="HeadingAnnexB"/>
        <w:rPr>
          <w:lang w:val="en-US"/>
        </w:rPr>
      </w:pPr>
      <w:bookmarkStart w:id="122" w:name="OLE_LINK16"/>
      <w:bookmarkStart w:id="123" w:name="OLE_LINK17"/>
      <w:r>
        <w:rPr>
          <w:lang w:val="en-US"/>
        </w:rPr>
        <w:t>Mandatory Test Points for Pattern Approval</w:t>
      </w:r>
    </w:p>
    <w:p w14:paraId="5461F670" w14:textId="17B8F085" w:rsidR="00345B43" w:rsidRDefault="00345B43" w:rsidP="00345B43">
      <w:r>
        <w:t xml:space="preserve">The mandatory test points for pattern approval are specified in Tables </w:t>
      </w:r>
      <w:r w:rsidR="00DF1D1F">
        <w:t>B</w:t>
      </w:r>
      <w:r>
        <w:t xml:space="preserve">.1 to </w:t>
      </w:r>
      <w:r w:rsidR="00DF1D1F">
        <w:t>B</w:t>
      </w:r>
      <w:r>
        <w:t>.4.</w:t>
      </w:r>
    </w:p>
    <w:p w14:paraId="4D380AA4" w14:textId="2CEFEC8B" w:rsidR="00345B43" w:rsidRDefault="00345B43" w:rsidP="00345B43">
      <w:pPr>
        <w:pStyle w:val="Caption"/>
      </w:pPr>
      <w:r>
        <w:t xml:space="preserve">Table </w:t>
      </w:r>
      <w:r w:rsidR="00DF1D1F">
        <w:t>B</w:t>
      </w:r>
      <w:r>
        <w:t>.1. Mandatory test points for Table 1</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gridCol w:w="1531"/>
      </w:tblGrid>
      <w:tr w:rsidR="00345B43" w14:paraId="1932019D" w14:textId="77777777" w:rsidTr="00B43AE5">
        <w:tc>
          <w:tcPr>
            <w:tcW w:w="1531" w:type="dxa"/>
            <w:vMerge w:val="restart"/>
            <w:shd w:val="clear" w:color="auto" w:fill="F0DCDC"/>
            <w:vAlign w:val="center"/>
          </w:tcPr>
          <w:p w14:paraId="79FD1B41" w14:textId="77777777" w:rsidR="00345B43" w:rsidRPr="00277C88" w:rsidRDefault="00345B43" w:rsidP="00345B43">
            <w:pPr>
              <w:pStyle w:val="TableText"/>
            </w:pPr>
            <w:r w:rsidRPr="00277C88">
              <w:t>Current (A)</w:t>
            </w:r>
          </w:p>
        </w:tc>
        <w:tc>
          <w:tcPr>
            <w:tcW w:w="1531" w:type="dxa"/>
            <w:gridSpan w:val="3"/>
            <w:shd w:val="clear" w:color="auto" w:fill="F0DCDC"/>
            <w:vAlign w:val="center"/>
          </w:tcPr>
          <w:p w14:paraId="7E0B791B" w14:textId="77777777" w:rsidR="00345B43" w:rsidRPr="00277C88" w:rsidRDefault="00345B43" w:rsidP="00345B43">
            <w:pPr>
              <w:pStyle w:val="TableText"/>
            </w:pPr>
            <w:r w:rsidRPr="00277C88">
              <w:t xml:space="preserve">Power </w:t>
            </w:r>
            <w:r>
              <w:t>f</w:t>
            </w:r>
            <w:r w:rsidRPr="00277C88">
              <w:t>actor</w:t>
            </w:r>
          </w:p>
        </w:tc>
      </w:tr>
      <w:tr w:rsidR="00345B43" w14:paraId="26420768" w14:textId="77777777" w:rsidTr="00B43AE5">
        <w:tc>
          <w:tcPr>
            <w:tcW w:w="1531" w:type="dxa"/>
            <w:vMerge/>
            <w:shd w:val="clear" w:color="auto" w:fill="F0DCDC"/>
            <w:vAlign w:val="center"/>
          </w:tcPr>
          <w:p w14:paraId="2E74A0CE" w14:textId="77777777" w:rsidR="00345B43" w:rsidRPr="00277C88" w:rsidRDefault="00345B43" w:rsidP="00345B43">
            <w:pPr>
              <w:pStyle w:val="TableText"/>
            </w:pPr>
          </w:p>
        </w:tc>
        <w:tc>
          <w:tcPr>
            <w:tcW w:w="1531" w:type="dxa"/>
            <w:shd w:val="clear" w:color="auto" w:fill="F0DCDC"/>
            <w:vAlign w:val="center"/>
          </w:tcPr>
          <w:p w14:paraId="4B49BE3A" w14:textId="77777777" w:rsidR="00345B43" w:rsidRPr="00277C88" w:rsidRDefault="00345B43" w:rsidP="00345B43">
            <w:pPr>
              <w:pStyle w:val="TableText"/>
            </w:pPr>
            <w:r w:rsidRPr="00277C88">
              <w:t>1</w:t>
            </w:r>
          </w:p>
        </w:tc>
        <w:tc>
          <w:tcPr>
            <w:tcW w:w="1531" w:type="dxa"/>
            <w:shd w:val="clear" w:color="auto" w:fill="F0DCDC"/>
            <w:vAlign w:val="center"/>
          </w:tcPr>
          <w:p w14:paraId="6713842B" w14:textId="77777777" w:rsidR="00345B43" w:rsidRPr="00277C88" w:rsidRDefault="00345B43" w:rsidP="00345B43">
            <w:pPr>
              <w:pStyle w:val="TableText"/>
            </w:pPr>
            <w:r w:rsidRPr="00277C88">
              <w:t>0.5 inductive</w:t>
            </w:r>
          </w:p>
        </w:tc>
        <w:tc>
          <w:tcPr>
            <w:tcW w:w="1531" w:type="dxa"/>
            <w:shd w:val="clear" w:color="auto" w:fill="F0DCDC"/>
            <w:vAlign w:val="center"/>
          </w:tcPr>
          <w:p w14:paraId="72C2624D" w14:textId="77777777" w:rsidR="00345B43" w:rsidRPr="00277C88" w:rsidRDefault="00345B43" w:rsidP="00345B43">
            <w:pPr>
              <w:pStyle w:val="TableText"/>
            </w:pPr>
            <w:r w:rsidRPr="00277C88">
              <w:t>0.8 capacitive</w:t>
            </w:r>
          </w:p>
        </w:tc>
      </w:tr>
      <w:tr w:rsidR="00345B43" w14:paraId="4BFAF9F6" w14:textId="77777777" w:rsidTr="00FB22BD">
        <w:tc>
          <w:tcPr>
            <w:tcW w:w="1531" w:type="dxa"/>
            <w:shd w:val="clear" w:color="auto" w:fill="auto"/>
            <w:vAlign w:val="center"/>
          </w:tcPr>
          <w:p w14:paraId="4E22D5C1" w14:textId="77777777" w:rsidR="00345B43" w:rsidRPr="00345B43" w:rsidRDefault="00345B43" w:rsidP="00345B43">
            <w:pPr>
              <w:pStyle w:val="TableText"/>
              <w:rPr>
                <w:rFonts w:ascii="Cambria Math" w:hAnsi="Cambria Math"/>
              </w:rPr>
            </w:pPr>
            <w:r w:rsidRPr="00345B43">
              <w:rPr>
                <w:rFonts w:ascii="Cambria Math" w:hAnsi="Cambria Math"/>
              </w:rPr>
              <w:t xml:space="preserve">0.05 </w:t>
            </w:r>
            <w:r w:rsidRPr="00345B43">
              <w:rPr>
                <w:rFonts w:ascii="Cambria Math" w:hAnsi="Cambria Math"/>
                <w:i/>
              </w:rPr>
              <w:t>I</w:t>
            </w:r>
            <w:r w:rsidRPr="00345B43">
              <w:rPr>
                <w:rFonts w:ascii="Cambria Math" w:hAnsi="Cambria Math"/>
                <w:vertAlign w:val="subscript"/>
              </w:rPr>
              <w:t>b</w:t>
            </w:r>
          </w:p>
        </w:tc>
        <w:tc>
          <w:tcPr>
            <w:tcW w:w="1531" w:type="dxa"/>
            <w:vAlign w:val="center"/>
          </w:tcPr>
          <w:p w14:paraId="296F3710" w14:textId="77777777" w:rsidR="00345B43" w:rsidRDefault="00345B43" w:rsidP="00345B43">
            <w:pPr>
              <w:pStyle w:val="TableText"/>
            </w:pPr>
            <w:r>
              <w:t>Yes</w:t>
            </w:r>
          </w:p>
        </w:tc>
        <w:tc>
          <w:tcPr>
            <w:tcW w:w="1531" w:type="dxa"/>
            <w:vAlign w:val="center"/>
          </w:tcPr>
          <w:p w14:paraId="2AA03482" w14:textId="77777777" w:rsidR="00345B43" w:rsidRDefault="00345B43" w:rsidP="00345B43">
            <w:pPr>
              <w:pStyle w:val="TableText"/>
            </w:pPr>
            <w:r>
              <w:t>No</w:t>
            </w:r>
          </w:p>
        </w:tc>
        <w:tc>
          <w:tcPr>
            <w:tcW w:w="1531" w:type="dxa"/>
            <w:vAlign w:val="center"/>
          </w:tcPr>
          <w:p w14:paraId="5F0B34F1" w14:textId="77777777" w:rsidR="00345B43" w:rsidRDefault="00345B43" w:rsidP="00345B43">
            <w:pPr>
              <w:pStyle w:val="TableText"/>
            </w:pPr>
            <w:r>
              <w:t>No</w:t>
            </w:r>
          </w:p>
        </w:tc>
      </w:tr>
      <w:tr w:rsidR="00345B43" w14:paraId="40EF8C4D" w14:textId="77777777" w:rsidTr="00FB22BD">
        <w:tc>
          <w:tcPr>
            <w:tcW w:w="1531" w:type="dxa"/>
            <w:shd w:val="clear" w:color="auto" w:fill="auto"/>
            <w:vAlign w:val="center"/>
          </w:tcPr>
          <w:p w14:paraId="7654283B" w14:textId="77777777" w:rsidR="00345B43" w:rsidRPr="00345B43" w:rsidRDefault="00345B43" w:rsidP="00345B43">
            <w:pPr>
              <w:pStyle w:val="TableText"/>
              <w:rPr>
                <w:rFonts w:ascii="Cambria Math" w:hAnsi="Cambria Math"/>
              </w:rPr>
            </w:pPr>
            <w:r w:rsidRPr="00345B43">
              <w:rPr>
                <w:rFonts w:ascii="Cambria Math" w:hAnsi="Cambria Math"/>
              </w:rPr>
              <w:t xml:space="preserve">0.1 </w:t>
            </w:r>
            <w:r w:rsidRPr="00345B43">
              <w:rPr>
                <w:rFonts w:ascii="Cambria Math" w:hAnsi="Cambria Math"/>
                <w:i/>
              </w:rPr>
              <w:t>I</w:t>
            </w:r>
            <w:r w:rsidRPr="00345B43">
              <w:rPr>
                <w:rFonts w:ascii="Cambria Math" w:hAnsi="Cambria Math"/>
                <w:vertAlign w:val="subscript"/>
              </w:rPr>
              <w:t>b</w:t>
            </w:r>
          </w:p>
        </w:tc>
        <w:tc>
          <w:tcPr>
            <w:tcW w:w="1531" w:type="dxa"/>
            <w:vAlign w:val="center"/>
          </w:tcPr>
          <w:p w14:paraId="159865C8" w14:textId="77777777" w:rsidR="00345B43" w:rsidRDefault="00345B43" w:rsidP="00345B43">
            <w:pPr>
              <w:pStyle w:val="TableText"/>
            </w:pPr>
            <w:r>
              <w:t>Yes</w:t>
            </w:r>
          </w:p>
        </w:tc>
        <w:tc>
          <w:tcPr>
            <w:tcW w:w="1531" w:type="dxa"/>
            <w:vAlign w:val="center"/>
          </w:tcPr>
          <w:p w14:paraId="1285775C" w14:textId="77777777" w:rsidR="00345B43" w:rsidRDefault="00345B43" w:rsidP="00345B43">
            <w:pPr>
              <w:pStyle w:val="TableText"/>
            </w:pPr>
            <w:r>
              <w:t>Yes</w:t>
            </w:r>
          </w:p>
        </w:tc>
        <w:tc>
          <w:tcPr>
            <w:tcW w:w="1531" w:type="dxa"/>
            <w:vAlign w:val="center"/>
          </w:tcPr>
          <w:p w14:paraId="2540C5C3" w14:textId="77777777" w:rsidR="00345B43" w:rsidRDefault="00345B43" w:rsidP="00345B43">
            <w:pPr>
              <w:pStyle w:val="TableText"/>
            </w:pPr>
            <w:r>
              <w:t>Yes</w:t>
            </w:r>
          </w:p>
        </w:tc>
      </w:tr>
      <w:tr w:rsidR="00345B43" w14:paraId="290CBA48" w14:textId="77777777" w:rsidTr="00FB22BD">
        <w:tc>
          <w:tcPr>
            <w:tcW w:w="1531" w:type="dxa"/>
            <w:shd w:val="clear" w:color="auto" w:fill="auto"/>
            <w:vAlign w:val="center"/>
          </w:tcPr>
          <w:p w14:paraId="40E6443C" w14:textId="77777777" w:rsidR="00345B43" w:rsidRPr="00345B43" w:rsidRDefault="00345B43" w:rsidP="00345B43">
            <w:pPr>
              <w:pStyle w:val="TableText"/>
              <w:rPr>
                <w:rFonts w:ascii="Cambria Math" w:hAnsi="Cambria Math"/>
              </w:rPr>
            </w:pPr>
            <w:r w:rsidRPr="00345B43">
              <w:rPr>
                <w:rFonts w:ascii="Cambria Math" w:hAnsi="Cambria Math"/>
              </w:rPr>
              <w:t xml:space="preserve">0.2 </w:t>
            </w:r>
            <w:r w:rsidRPr="00345B43">
              <w:rPr>
                <w:rFonts w:ascii="Cambria Math" w:hAnsi="Cambria Math"/>
                <w:i/>
              </w:rPr>
              <w:t>I</w:t>
            </w:r>
            <w:r w:rsidRPr="00345B43">
              <w:rPr>
                <w:rFonts w:ascii="Cambria Math" w:hAnsi="Cambria Math"/>
                <w:vertAlign w:val="subscript"/>
              </w:rPr>
              <w:t>b</w:t>
            </w:r>
          </w:p>
        </w:tc>
        <w:tc>
          <w:tcPr>
            <w:tcW w:w="1531" w:type="dxa"/>
            <w:vAlign w:val="center"/>
          </w:tcPr>
          <w:p w14:paraId="5CD4789A" w14:textId="77777777" w:rsidR="00345B43" w:rsidRDefault="00345B43" w:rsidP="00345B43">
            <w:pPr>
              <w:pStyle w:val="TableText"/>
            </w:pPr>
            <w:r>
              <w:t>Yes</w:t>
            </w:r>
          </w:p>
        </w:tc>
        <w:tc>
          <w:tcPr>
            <w:tcW w:w="1531" w:type="dxa"/>
            <w:vAlign w:val="center"/>
          </w:tcPr>
          <w:p w14:paraId="5E239EBC" w14:textId="77777777" w:rsidR="00345B43" w:rsidRDefault="00345B43" w:rsidP="00345B43">
            <w:pPr>
              <w:pStyle w:val="TableText"/>
            </w:pPr>
            <w:r>
              <w:t>Yes</w:t>
            </w:r>
          </w:p>
        </w:tc>
        <w:tc>
          <w:tcPr>
            <w:tcW w:w="1531" w:type="dxa"/>
            <w:vAlign w:val="center"/>
          </w:tcPr>
          <w:p w14:paraId="178D76A1" w14:textId="77777777" w:rsidR="00345B43" w:rsidRDefault="00345B43" w:rsidP="00345B43">
            <w:pPr>
              <w:pStyle w:val="TableText"/>
            </w:pPr>
            <w:r>
              <w:t>Yes</w:t>
            </w:r>
          </w:p>
        </w:tc>
      </w:tr>
      <w:tr w:rsidR="00345B43" w14:paraId="42071D4A" w14:textId="77777777" w:rsidTr="00FB22BD">
        <w:tc>
          <w:tcPr>
            <w:tcW w:w="1531" w:type="dxa"/>
            <w:shd w:val="clear" w:color="auto" w:fill="auto"/>
            <w:vAlign w:val="center"/>
          </w:tcPr>
          <w:p w14:paraId="6853340C"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b</w:t>
            </w:r>
          </w:p>
        </w:tc>
        <w:tc>
          <w:tcPr>
            <w:tcW w:w="1531" w:type="dxa"/>
            <w:vAlign w:val="center"/>
          </w:tcPr>
          <w:p w14:paraId="5B008CAB" w14:textId="77777777" w:rsidR="00345B43" w:rsidRDefault="00345B43" w:rsidP="00345B43">
            <w:pPr>
              <w:pStyle w:val="TableText"/>
            </w:pPr>
            <w:r>
              <w:t>Yes</w:t>
            </w:r>
          </w:p>
        </w:tc>
        <w:tc>
          <w:tcPr>
            <w:tcW w:w="1531" w:type="dxa"/>
            <w:vAlign w:val="center"/>
          </w:tcPr>
          <w:p w14:paraId="3F2173EF" w14:textId="77777777" w:rsidR="00345B43" w:rsidRDefault="00345B43" w:rsidP="00345B43">
            <w:pPr>
              <w:pStyle w:val="TableText"/>
            </w:pPr>
            <w:r>
              <w:t>Yes</w:t>
            </w:r>
          </w:p>
        </w:tc>
        <w:tc>
          <w:tcPr>
            <w:tcW w:w="1531" w:type="dxa"/>
            <w:vAlign w:val="center"/>
          </w:tcPr>
          <w:p w14:paraId="01695C50" w14:textId="77777777" w:rsidR="00345B43" w:rsidRDefault="00345B43" w:rsidP="00345B43">
            <w:pPr>
              <w:pStyle w:val="TableText"/>
            </w:pPr>
            <w:r>
              <w:t>Yes</w:t>
            </w:r>
          </w:p>
        </w:tc>
      </w:tr>
      <w:tr w:rsidR="00345B43" w14:paraId="734D44D9" w14:textId="77777777" w:rsidTr="00FB22BD">
        <w:tc>
          <w:tcPr>
            <w:tcW w:w="1531" w:type="dxa"/>
            <w:shd w:val="clear" w:color="auto" w:fill="auto"/>
            <w:vAlign w:val="center"/>
          </w:tcPr>
          <w:p w14:paraId="25FB6A84"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39320599" w14:textId="77777777" w:rsidR="00345B43" w:rsidRDefault="00345B43" w:rsidP="00345B43">
            <w:pPr>
              <w:pStyle w:val="TableText"/>
            </w:pPr>
            <w:r>
              <w:t>Yes</w:t>
            </w:r>
          </w:p>
        </w:tc>
        <w:tc>
          <w:tcPr>
            <w:tcW w:w="1531" w:type="dxa"/>
            <w:vAlign w:val="center"/>
          </w:tcPr>
          <w:p w14:paraId="4F0D8889" w14:textId="77777777" w:rsidR="00345B43" w:rsidRDefault="00345B43" w:rsidP="00345B43">
            <w:pPr>
              <w:pStyle w:val="TableText"/>
            </w:pPr>
            <w:r>
              <w:t>Yes</w:t>
            </w:r>
          </w:p>
        </w:tc>
        <w:tc>
          <w:tcPr>
            <w:tcW w:w="1531" w:type="dxa"/>
            <w:vAlign w:val="center"/>
          </w:tcPr>
          <w:p w14:paraId="553BD453" w14:textId="77777777" w:rsidR="00345B43" w:rsidRDefault="00345B43" w:rsidP="00345B43">
            <w:pPr>
              <w:pStyle w:val="TableText"/>
            </w:pPr>
            <w:r>
              <w:t>Yes</w:t>
            </w:r>
          </w:p>
        </w:tc>
      </w:tr>
    </w:tbl>
    <w:p w14:paraId="76572AB8" w14:textId="0B525C41" w:rsidR="00345B43" w:rsidRDefault="00345B43" w:rsidP="00345B43">
      <w:pPr>
        <w:pStyle w:val="Caption"/>
      </w:pPr>
      <w:r>
        <w:t xml:space="preserve">Table </w:t>
      </w:r>
      <w:r w:rsidR="00DF1D1F">
        <w:t>B</w:t>
      </w:r>
      <w:r>
        <w:t xml:space="preserve">.2. Mandatory test </w:t>
      </w:r>
      <w:r w:rsidRPr="00345B43">
        <w:t>points</w:t>
      </w:r>
      <w:r>
        <w:t xml:space="preserve"> for Table 2</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gridCol w:w="1531"/>
      </w:tblGrid>
      <w:tr w:rsidR="00345B43" w:rsidRPr="00345B43" w14:paraId="42EE69EB" w14:textId="77777777" w:rsidTr="00B43AE5">
        <w:tc>
          <w:tcPr>
            <w:tcW w:w="1531" w:type="dxa"/>
            <w:vMerge w:val="restart"/>
            <w:shd w:val="clear" w:color="auto" w:fill="F0DCDC"/>
            <w:vAlign w:val="center"/>
          </w:tcPr>
          <w:p w14:paraId="090ED8A5" w14:textId="77777777" w:rsidR="00345B43" w:rsidRPr="00345B43" w:rsidRDefault="00345B43" w:rsidP="00345B43">
            <w:pPr>
              <w:pStyle w:val="TableText"/>
            </w:pPr>
            <w:r w:rsidRPr="00345B43">
              <w:t>Current (A)</w:t>
            </w:r>
          </w:p>
        </w:tc>
        <w:tc>
          <w:tcPr>
            <w:tcW w:w="1531" w:type="dxa"/>
            <w:gridSpan w:val="3"/>
            <w:shd w:val="clear" w:color="auto" w:fill="F0DCDC"/>
            <w:vAlign w:val="center"/>
          </w:tcPr>
          <w:p w14:paraId="1999F8E7" w14:textId="77777777" w:rsidR="00345B43" w:rsidRPr="00345B43" w:rsidRDefault="00345B43" w:rsidP="00345B43">
            <w:pPr>
              <w:pStyle w:val="TableText"/>
            </w:pPr>
            <w:r w:rsidRPr="00345B43">
              <w:t>Power factor</w:t>
            </w:r>
          </w:p>
        </w:tc>
      </w:tr>
      <w:tr w:rsidR="00FB22BD" w:rsidRPr="00345B43" w14:paraId="2BEB87DB" w14:textId="77777777" w:rsidTr="00B43AE5">
        <w:tc>
          <w:tcPr>
            <w:tcW w:w="1531" w:type="dxa"/>
            <w:vMerge/>
            <w:shd w:val="clear" w:color="auto" w:fill="F0DCDC"/>
            <w:vAlign w:val="center"/>
          </w:tcPr>
          <w:p w14:paraId="4F623875" w14:textId="77777777" w:rsidR="00345B43" w:rsidRPr="00345B43" w:rsidRDefault="00345B43" w:rsidP="00345B43">
            <w:pPr>
              <w:pStyle w:val="TableText"/>
            </w:pPr>
          </w:p>
        </w:tc>
        <w:tc>
          <w:tcPr>
            <w:tcW w:w="1531" w:type="dxa"/>
            <w:shd w:val="clear" w:color="auto" w:fill="F0DCDC"/>
            <w:vAlign w:val="center"/>
          </w:tcPr>
          <w:p w14:paraId="061CC36A" w14:textId="77777777" w:rsidR="00345B43" w:rsidRPr="00345B43" w:rsidRDefault="00345B43" w:rsidP="00345B43">
            <w:pPr>
              <w:pStyle w:val="TableText"/>
            </w:pPr>
            <w:r w:rsidRPr="00345B43">
              <w:t>1</w:t>
            </w:r>
          </w:p>
        </w:tc>
        <w:tc>
          <w:tcPr>
            <w:tcW w:w="1531" w:type="dxa"/>
            <w:shd w:val="clear" w:color="auto" w:fill="F0DCDC"/>
            <w:vAlign w:val="center"/>
          </w:tcPr>
          <w:p w14:paraId="188163FF" w14:textId="77777777" w:rsidR="00345B43" w:rsidRPr="00345B43" w:rsidRDefault="00345B43" w:rsidP="00345B43">
            <w:pPr>
              <w:pStyle w:val="TableText"/>
            </w:pPr>
            <w:r w:rsidRPr="00345B43">
              <w:t>0.5 inductive</w:t>
            </w:r>
          </w:p>
        </w:tc>
        <w:tc>
          <w:tcPr>
            <w:tcW w:w="1531" w:type="dxa"/>
            <w:shd w:val="clear" w:color="auto" w:fill="F0DCDC"/>
            <w:vAlign w:val="center"/>
          </w:tcPr>
          <w:p w14:paraId="36E5E0BD" w14:textId="77777777" w:rsidR="00345B43" w:rsidRPr="00345B43" w:rsidRDefault="00345B43" w:rsidP="00345B43">
            <w:pPr>
              <w:pStyle w:val="TableText"/>
            </w:pPr>
            <w:r w:rsidRPr="00345B43">
              <w:t>0.8 capacitive</w:t>
            </w:r>
          </w:p>
        </w:tc>
      </w:tr>
      <w:tr w:rsidR="00345B43" w:rsidRPr="00345B43" w14:paraId="77D6D34D" w14:textId="77777777" w:rsidTr="00FB22BD">
        <w:tc>
          <w:tcPr>
            <w:tcW w:w="1531" w:type="dxa"/>
            <w:shd w:val="clear" w:color="auto" w:fill="auto"/>
          </w:tcPr>
          <w:p w14:paraId="05C7A432" w14:textId="77777777" w:rsidR="00345B43" w:rsidRPr="00345B43" w:rsidRDefault="00345B43" w:rsidP="00345B43">
            <w:pPr>
              <w:pStyle w:val="TableText"/>
              <w:rPr>
                <w:rFonts w:ascii="Cambria Math" w:hAnsi="Cambria Math"/>
              </w:rPr>
            </w:pPr>
            <w:r w:rsidRPr="00345B43">
              <w:rPr>
                <w:rFonts w:ascii="Cambria Math" w:hAnsi="Cambria Math"/>
              </w:rPr>
              <w:t xml:space="preserve">0.01 </w:t>
            </w:r>
            <w:r w:rsidRPr="00345B43">
              <w:rPr>
                <w:rFonts w:ascii="Cambria Math" w:hAnsi="Cambria Math"/>
                <w:i/>
              </w:rPr>
              <w:t>I</w:t>
            </w:r>
            <w:r w:rsidRPr="00345B43">
              <w:rPr>
                <w:rFonts w:ascii="Cambria Math" w:hAnsi="Cambria Math"/>
                <w:vertAlign w:val="subscript"/>
              </w:rPr>
              <w:t>n</w:t>
            </w:r>
          </w:p>
        </w:tc>
        <w:tc>
          <w:tcPr>
            <w:tcW w:w="1531" w:type="dxa"/>
          </w:tcPr>
          <w:p w14:paraId="56F2B827" w14:textId="77777777" w:rsidR="00345B43" w:rsidRPr="00345B43" w:rsidRDefault="00345B43" w:rsidP="00345B43">
            <w:pPr>
              <w:pStyle w:val="TableText"/>
            </w:pPr>
            <w:r w:rsidRPr="00345B43">
              <w:t>Yes</w:t>
            </w:r>
          </w:p>
        </w:tc>
        <w:tc>
          <w:tcPr>
            <w:tcW w:w="1531" w:type="dxa"/>
          </w:tcPr>
          <w:p w14:paraId="388F8D88" w14:textId="77777777" w:rsidR="00345B43" w:rsidRPr="00345B43" w:rsidRDefault="00345B43" w:rsidP="00345B43">
            <w:pPr>
              <w:pStyle w:val="TableText"/>
            </w:pPr>
            <w:r w:rsidRPr="00345B43">
              <w:t>No</w:t>
            </w:r>
          </w:p>
        </w:tc>
        <w:tc>
          <w:tcPr>
            <w:tcW w:w="1531" w:type="dxa"/>
          </w:tcPr>
          <w:p w14:paraId="76355A51" w14:textId="77777777" w:rsidR="00345B43" w:rsidRPr="00345B43" w:rsidRDefault="00345B43" w:rsidP="00345B43">
            <w:pPr>
              <w:pStyle w:val="TableText"/>
            </w:pPr>
            <w:r w:rsidRPr="00345B43">
              <w:t>No</w:t>
            </w:r>
          </w:p>
        </w:tc>
      </w:tr>
      <w:tr w:rsidR="00345B43" w:rsidRPr="00345B43" w14:paraId="677A2D28" w14:textId="77777777" w:rsidTr="00FB22BD">
        <w:tc>
          <w:tcPr>
            <w:tcW w:w="1531" w:type="dxa"/>
            <w:shd w:val="clear" w:color="auto" w:fill="auto"/>
          </w:tcPr>
          <w:p w14:paraId="0775372C" w14:textId="77777777" w:rsidR="00345B43" w:rsidRPr="00345B43" w:rsidRDefault="00345B43" w:rsidP="00345B43">
            <w:pPr>
              <w:pStyle w:val="TableText"/>
              <w:rPr>
                <w:rFonts w:ascii="Cambria Math" w:hAnsi="Cambria Math"/>
              </w:rPr>
            </w:pPr>
            <w:r w:rsidRPr="00345B43">
              <w:rPr>
                <w:rFonts w:ascii="Cambria Math" w:hAnsi="Cambria Math"/>
              </w:rPr>
              <w:t xml:space="preserve">0.02 </w:t>
            </w:r>
            <w:r w:rsidRPr="00345B43">
              <w:rPr>
                <w:rFonts w:ascii="Cambria Math" w:hAnsi="Cambria Math"/>
                <w:i/>
              </w:rPr>
              <w:t>I</w:t>
            </w:r>
            <w:r w:rsidRPr="00345B43">
              <w:rPr>
                <w:rFonts w:ascii="Cambria Math" w:hAnsi="Cambria Math"/>
                <w:vertAlign w:val="subscript"/>
              </w:rPr>
              <w:t>n</w:t>
            </w:r>
          </w:p>
        </w:tc>
        <w:tc>
          <w:tcPr>
            <w:tcW w:w="1531" w:type="dxa"/>
          </w:tcPr>
          <w:p w14:paraId="36D252C0" w14:textId="77777777" w:rsidR="00345B43" w:rsidRPr="00345B43" w:rsidRDefault="00345B43" w:rsidP="00345B43">
            <w:pPr>
              <w:pStyle w:val="TableText"/>
            </w:pPr>
            <w:r w:rsidRPr="00345B43">
              <w:t>Yes</w:t>
            </w:r>
          </w:p>
        </w:tc>
        <w:tc>
          <w:tcPr>
            <w:tcW w:w="1531" w:type="dxa"/>
          </w:tcPr>
          <w:p w14:paraId="3DBD5954" w14:textId="77777777" w:rsidR="00345B43" w:rsidRPr="00345B43" w:rsidRDefault="00345B43" w:rsidP="00345B43">
            <w:pPr>
              <w:pStyle w:val="TableText"/>
            </w:pPr>
            <w:r w:rsidRPr="00345B43">
              <w:t>Yes</w:t>
            </w:r>
          </w:p>
        </w:tc>
        <w:tc>
          <w:tcPr>
            <w:tcW w:w="1531" w:type="dxa"/>
          </w:tcPr>
          <w:p w14:paraId="2418D398" w14:textId="77777777" w:rsidR="00345B43" w:rsidRPr="00345B43" w:rsidRDefault="00345B43" w:rsidP="00345B43">
            <w:pPr>
              <w:pStyle w:val="TableText"/>
            </w:pPr>
            <w:r w:rsidRPr="00345B43">
              <w:t>Yes</w:t>
            </w:r>
          </w:p>
        </w:tc>
      </w:tr>
      <w:tr w:rsidR="00345B43" w:rsidRPr="00345B43" w14:paraId="3845DB7B" w14:textId="77777777" w:rsidTr="00FB22BD">
        <w:tc>
          <w:tcPr>
            <w:tcW w:w="1531" w:type="dxa"/>
            <w:shd w:val="clear" w:color="auto" w:fill="auto"/>
          </w:tcPr>
          <w:p w14:paraId="5523478C" w14:textId="77777777" w:rsidR="00345B43" w:rsidRPr="00345B43" w:rsidRDefault="00345B43" w:rsidP="00345B43">
            <w:pPr>
              <w:pStyle w:val="TableText"/>
              <w:rPr>
                <w:rFonts w:ascii="Cambria Math" w:hAnsi="Cambria Math"/>
              </w:rPr>
            </w:pPr>
            <w:r w:rsidRPr="00345B43">
              <w:rPr>
                <w:rFonts w:ascii="Cambria Math" w:hAnsi="Cambria Math"/>
              </w:rPr>
              <w:t xml:space="preserve">0.05 </w:t>
            </w:r>
            <w:r w:rsidRPr="00345B43">
              <w:rPr>
                <w:rFonts w:ascii="Cambria Math" w:hAnsi="Cambria Math"/>
                <w:i/>
              </w:rPr>
              <w:t>I</w:t>
            </w:r>
            <w:r w:rsidRPr="00345B43">
              <w:rPr>
                <w:rFonts w:ascii="Cambria Math" w:hAnsi="Cambria Math"/>
                <w:vertAlign w:val="subscript"/>
              </w:rPr>
              <w:t>n</w:t>
            </w:r>
          </w:p>
        </w:tc>
        <w:tc>
          <w:tcPr>
            <w:tcW w:w="1531" w:type="dxa"/>
          </w:tcPr>
          <w:p w14:paraId="457CB4E7" w14:textId="77777777" w:rsidR="00345B43" w:rsidRPr="00345B43" w:rsidRDefault="00345B43" w:rsidP="00345B43">
            <w:pPr>
              <w:pStyle w:val="TableText"/>
            </w:pPr>
            <w:r w:rsidRPr="00345B43">
              <w:t>Yes</w:t>
            </w:r>
          </w:p>
        </w:tc>
        <w:tc>
          <w:tcPr>
            <w:tcW w:w="1531" w:type="dxa"/>
          </w:tcPr>
          <w:p w14:paraId="5C34E319" w14:textId="77777777" w:rsidR="00345B43" w:rsidRPr="00345B43" w:rsidRDefault="00345B43" w:rsidP="00345B43">
            <w:pPr>
              <w:pStyle w:val="TableText"/>
            </w:pPr>
            <w:r w:rsidRPr="00345B43">
              <w:t>Yes</w:t>
            </w:r>
          </w:p>
        </w:tc>
        <w:tc>
          <w:tcPr>
            <w:tcW w:w="1531" w:type="dxa"/>
          </w:tcPr>
          <w:p w14:paraId="73F92679" w14:textId="77777777" w:rsidR="00345B43" w:rsidRPr="00345B43" w:rsidRDefault="00345B43" w:rsidP="00345B43">
            <w:pPr>
              <w:pStyle w:val="TableText"/>
            </w:pPr>
            <w:r w:rsidRPr="00345B43">
              <w:t>Yes</w:t>
            </w:r>
          </w:p>
        </w:tc>
      </w:tr>
      <w:tr w:rsidR="00345B43" w:rsidRPr="00345B43" w14:paraId="4C44EFEF" w14:textId="77777777" w:rsidTr="00FB22BD">
        <w:tc>
          <w:tcPr>
            <w:tcW w:w="1531" w:type="dxa"/>
            <w:shd w:val="clear" w:color="auto" w:fill="auto"/>
          </w:tcPr>
          <w:p w14:paraId="6B01CA55" w14:textId="77777777" w:rsidR="00345B43" w:rsidRPr="00345B43" w:rsidRDefault="00345B43" w:rsidP="00345B43">
            <w:pPr>
              <w:pStyle w:val="TableText"/>
              <w:rPr>
                <w:rFonts w:ascii="Cambria Math" w:hAnsi="Cambria Math"/>
              </w:rPr>
            </w:pPr>
            <w:r w:rsidRPr="00345B43">
              <w:rPr>
                <w:rFonts w:ascii="Cambria Math" w:hAnsi="Cambria Math"/>
              </w:rPr>
              <w:t xml:space="preserve">0.1 </w:t>
            </w:r>
            <w:r w:rsidRPr="00345B43">
              <w:rPr>
                <w:rFonts w:ascii="Cambria Math" w:hAnsi="Cambria Math"/>
                <w:i/>
              </w:rPr>
              <w:t>I</w:t>
            </w:r>
            <w:r w:rsidRPr="00345B43">
              <w:rPr>
                <w:rFonts w:ascii="Cambria Math" w:hAnsi="Cambria Math"/>
                <w:vertAlign w:val="subscript"/>
              </w:rPr>
              <w:t>n</w:t>
            </w:r>
          </w:p>
        </w:tc>
        <w:tc>
          <w:tcPr>
            <w:tcW w:w="1531" w:type="dxa"/>
          </w:tcPr>
          <w:p w14:paraId="3EBC181D" w14:textId="77777777" w:rsidR="00345B43" w:rsidRPr="00345B43" w:rsidRDefault="00345B43" w:rsidP="00345B43">
            <w:pPr>
              <w:pStyle w:val="TableText"/>
            </w:pPr>
            <w:r w:rsidRPr="00345B43">
              <w:t>Yes</w:t>
            </w:r>
          </w:p>
        </w:tc>
        <w:tc>
          <w:tcPr>
            <w:tcW w:w="1531" w:type="dxa"/>
          </w:tcPr>
          <w:p w14:paraId="50F5E67A" w14:textId="77777777" w:rsidR="00345B43" w:rsidRPr="00345B43" w:rsidRDefault="00345B43" w:rsidP="00345B43">
            <w:pPr>
              <w:pStyle w:val="TableText"/>
            </w:pPr>
            <w:r w:rsidRPr="00345B43">
              <w:t>Yes</w:t>
            </w:r>
          </w:p>
        </w:tc>
        <w:tc>
          <w:tcPr>
            <w:tcW w:w="1531" w:type="dxa"/>
          </w:tcPr>
          <w:p w14:paraId="0497BD47" w14:textId="77777777" w:rsidR="00345B43" w:rsidRPr="00345B43" w:rsidRDefault="00345B43" w:rsidP="00345B43">
            <w:pPr>
              <w:pStyle w:val="TableText"/>
            </w:pPr>
            <w:r w:rsidRPr="00345B43">
              <w:t>Yes</w:t>
            </w:r>
          </w:p>
        </w:tc>
      </w:tr>
      <w:tr w:rsidR="00345B43" w:rsidRPr="00345B43" w14:paraId="3240E748" w14:textId="77777777" w:rsidTr="00FB22BD">
        <w:tc>
          <w:tcPr>
            <w:tcW w:w="1531" w:type="dxa"/>
            <w:shd w:val="clear" w:color="auto" w:fill="auto"/>
          </w:tcPr>
          <w:p w14:paraId="0BB584EF"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n</w:t>
            </w:r>
          </w:p>
        </w:tc>
        <w:tc>
          <w:tcPr>
            <w:tcW w:w="1531" w:type="dxa"/>
          </w:tcPr>
          <w:p w14:paraId="4DB987E2" w14:textId="77777777" w:rsidR="00345B43" w:rsidRPr="00345B43" w:rsidRDefault="00345B43" w:rsidP="00345B43">
            <w:pPr>
              <w:pStyle w:val="TableText"/>
            </w:pPr>
            <w:r w:rsidRPr="00345B43">
              <w:t>Yes</w:t>
            </w:r>
          </w:p>
        </w:tc>
        <w:tc>
          <w:tcPr>
            <w:tcW w:w="1531" w:type="dxa"/>
          </w:tcPr>
          <w:p w14:paraId="619ED8BE" w14:textId="77777777" w:rsidR="00345B43" w:rsidRPr="00345B43" w:rsidRDefault="00345B43" w:rsidP="00345B43">
            <w:pPr>
              <w:pStyle w:val="TableText"/>
            </w:pPr>
            <w:r w:rsidRPr="00345B43">
              <w:t>Yes</w:t>
            </w:r>
          </w:p>
        </w:tc>
        <w:tc>
          <w:tcPr>
            <w:tcW w:w="1531" w:type="dxa"/>
          </w:tcPr>
          <w:p w14:paraId="25EDE397" w14:textId="77777777" w:rsidR="00345B43" w:rsidRPr="00345B43" w:rsidRDefault="00345B43" w:rsidP="00345B43">
            <w:pPr>
              <w:pStyle w:val="TableText"/>
            </w:pPr>
            <w:r w:rsidRPr="00345B43">
              <w:t>Yes</w:t>
            </w:r>
          </w:p>
        </w:tc>
      </w:tr>
      <w:tr w:rsidR="00345B43" w:rsidRPr="00345B43" w14:paraId="1AFCEE95" w14:textId="77777777" w:rsidTr="00FB22BD">
        <w:tc>
          <w:tcPr>
            <w:tcW w:w="1531" w:type="dxa"/>
            <w:shd w:val="clear" w:color="auto" w:fill="auto"/>
          </w:tcPr>
          <w:p w14:paraId="7EF57D4F"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tcPr>
          <w:p w14:paraId="2AD53CD5" w14:textId="77777777" w:rsidR="00345B43" w:rsidRPr="00345B43" w:rsidRDefault="00345B43" w:rsidP="00345B43">
            <w:pPr>
              <w:pStyle w:val="TableText"/>
            </w:pPr>
            <w:r w:rsidRPr="00345B43">
              <w:t>Yes</w:t>
            </w:r>
          </w:p>
        </w:tc>
        <w:tc>
          <w:tcPr>
            <w:tcW w:w="1531" w:type="dxa"/>
          </w:tcPr>
          <w:p w14:paraId="518B780B" w14:textId="77777777" w:rsidR="00345B43" w:rsidRPr="00345B43" w:rsidRDefault="00345B43" w:rsidP="00345B43">
            <w:pPr>
              <w:pStyle w:val="TableText"/>
            </w:pPr>
            <w:r w:rsidRPr="00345B43">
              <w:t>Yes</w:t>
            </w:r>
          </w:p>
        </w:tc>
        <w:tc>
          <w:tcPr>
            <w:tcW w:w="1531" w:type="dxa"/>
          </w:tcPr>
          <w:p w14:paraId="6E890E77" w14:textId="77777777" w:rsidR="00345B43" w:rsidRPr="00345B43" w:rsidRDefault="00345B43" w:rsidP="00345B43">
            <w:pPr>
              <w:pStyle w:val="TableText"/>
            </w:pPr>
            <w:r w:rsidRPr="00345B43">
              <w:t>Yes</w:t>
            </w:r>
          </w:p>
        </w:tc>
      </w:tr>
    </w:tbl>
    <w:p w14:paraId="74598DA3" w14:textId="71A9CF39" w:rsidR="00345B43" w:rsidRDefault="00345B43" w:rsidP="007C176B">
      <w:pPr>
        <w:pStyle w:val="Caption"/>
      </w:pPr>
      <w:r>
        <w:t xml:space="preserve">Table </w:t>
      </w:r>
      <w:r w:rsidR="00DF1D1F">
        <w:t>B</w:t>
      </w:r>
      <w:r>
        <w:t>.3. Mandatory test points for Table 3 for direct-connected meters</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tblGrid>
      <w:tr w:rsidR="00345B43" w:rsidRPr="00FB22BD" w14:paraId="1299D306" w14:textId="77777777" w:rsidTr="00B43AE5">
        <w:tc>
          <w:tcPr>
            <w:tcW w:w="1531" w:type="dxa"/>
            <w:vMerge w:val="restart"/>
            <w:shd w:val="clear" w:color="auto" w:fill="F0DCDC"/>
            <w:vAlign w:val="center"/>
          </w:tcPr>
          <w:p w14:paraId="2A9B994E" w14:textId="77777777" w:rsidR="00345B43" w:rsidRPr="00FB22BD" w:rsidRDefault="00345B43" w:rsidP="00FB22BD">
            <w:pPr>
              <w:pStyle w:val="TableText"/>
            </w:pPr>
            <w:r w:rsidRPr="00FB22BD">
              <w:t>Current (A)</w:t>
            </w:r>
          </w:p>
        </w:tc>
        <w:tc>
          <w:tcPr>
            <w:tcW w:w="1531" w:type="dxa"/>
            <w:gridSpan w:val="2"/>
            <w:shd w:val="clear" w:color="auto" w:fill="F0DCDC"/>
            <w:vAlign w:val="center"/>
          </w:tcPr>
          <w:p w14:paraId="2E551F2D" w14:textId="77777777" w:rsidR="00345B43" w:rsidRPr="00FB22BD" w:rsidRDefault="00345B43" w:rsidP="00FB22BD">
            <w:pPr>
              <w:pStyle w:val="TableText"/>
            </w:pPr>
            <w:r w:rsidRPr="00FB22BD">
              <w:t>Power factor</w:t>
            </w:r>
          </w:p>
        </w:tc>
      </w:tr>
      <w:tr w:rsidR="00345B43" w:rsidRPr="00FB22BD" w14:paraId="62A4DDAA" w14:textId="77777777" w:rsidTr="00B43AE5">
        <w:tc>
          <w:tcPr>
            <w:tcW w:w="1531" w:type="dxa"/>
            <w:vMerge/>
            <w:shd w:val="clear" w:color="auto" w:fill="F0DCDC"/>
            <w:vAlign w:val="center"/>
          </w:tcPr>
          <w:p w14:paraId="32414035" w14:textId="77777777" w:rsidR="00345B43" w:rsidRPr="00FB22BD" w:rsidRDefault="00345B43" w:rsidP="00FB22BD">
            <w:pPr>
              <w:pStyle w:val="TableText"/>
            </w:pPr>
          </w:p>
        </w:tc>
        <w:tc>
          <w:tcPr>
            <w:tcW w:w="1531" w:type="dxa"/>
            <w:shd w:val="clear" w:color="auto" w:fill="F0DCDC"/>
            <w:vAlign w:val="center"/>
          </w:tcPr>
          <w:p w14:paraId="0C48FF7C" w14:textId="77777777" w:rsidR="00345B43" w:rsidRPr="00FB22BD" w:rsidRDefault="00345B43" w:rsidP="00FB22BD">
            <w:pPr>
              <w:pStyle w:val="TableText"/>
            </w:pPr>
            <w:r w:rsidRPr="00FB22BD">
              <w:t>1</w:t>
            </w:r>
          </w:p>
        </w:tc>
        <w:tc>
          <w:tcPr>
            <w:tcW w:w="1531" w:type="dxa"/>
            <w:shd w:val="clear" w:color="auto" w:fill="F0DCDC"/>
            <w:vAlign w:val="center"/>
          </w:tcPr>
          <w:p w14:paraId="677DDD6F" w14:textId="77777777" w:rsidR="00345B43" w:rsidRPr="00FB22BD" w:rsidRDefault="00345B43" w:rsidP="00FB22BD">
            <w:pPr>
              <w:pStyle w:val="TableText"/>
            </w:pPr>
            <w:r w:rsidRPr="00FB22BD">
              <w:t>0.5 inductive</w:t>
            </w:r>
          </w:p>
        </w:tc>
      </w:tr>
      <w:tr w:rsidR="00345B43" w:rsidRPr="00FB22BD" w14:paraId="15E045A7" w14:textId="77777777" w:rsidTr="00FB22BD">
        <w:tc>
          <w:tcPr>
            <w:tcW w:w="1531" w:type="dxa"/>
            <w:vAlign w:val="center"/>
          </w:tcPr>
          <w:p w14:paraId="69D8A3A3" w14:textId="77777777" w:rsidR="00345B43" w:rsidRPr="00FB22BD" w:rsidRDefault="00345B43" w:rsidP="00FB22BD">
            <w:pPr>
              <w:pStyle w:val="TableText"/>
              <w:rPr>
                <w:rFonts w:ascii="Cambria Math" w:hAnsi="Cambria Math"/>
              </w:rPr>
            </w:pPr>
            <w:r w:rsidRPr="00FB22BD">
              <w:rPr>
                <w:rFonts w:ascii="Cambria Math" w:hAnsi="Cambria Math"/>
              </w:rPr>
              <w:t xml:space="preserve">0.1 </w:t>
            </w:r>
            <w:r w:rsidR="00FB22BD" w:rsidRPr="00345B43">
              <w:rPr>
                <w:rFonts w:ascii="Cambria Math" w:hAnsi="Cambria Math"/>
                <w:i/>
              </w:rPr>
              <w:t>I</w:t>
            </w:r>
            <w:r w:rsidR="00FB22BD" w:rsidRPr="00345B43">
              <w:rPr>
                <w:rFonts w:ascii="Cambria Math" w:hAnsi="Cambria Math"/>
                <w:vertAlign w:val="subscript"/>
              </w:rPr>
              <w:t>b</w:t>
            </w:r>
          </w:p>
        </w:tc>
        <w:tc>
          <w:tcPr>
            <w:tcW w:w="1531" w:type="dxa"/>
            <w:vAlign w:val="center"/>
          </w:tcPr>
          <w:p w14:paraId="370A9F19" w14:textId="77777777" w:rsidR="00345B43" w:rsidRPr="00FB22BD" w:rsidRDefault="00345B43" w:rsidP="00FB22BD">
            <w:pPr>
              <w:pStyle w:val="TableText"/>
            </w:pPr>
            <w:r w:rsidRPr="00FB22BD">
              <w:t>Yes</w:t>
            </w:r>
          </w:p>
        </w:tc>
        <w:tc>
          <w:tcPr>
            <w:tcW w:w="1531" w:type="dxa"/>
            <w:vAlign w:val="center"/>
          </w:tcPr>
          <w:p w14:paraId="2D8657BA" w14:textId="77777777" w:rsidR="00345B43" w:rsidRPr="00FB22BD" w:rsidRDefault="00345B43" w:rsidP="00FB22BD">
            <w:pPr>
              <w:pStyle w:val="TableText"/>
            </w:pPr>
            <w:r w:rsidRPr="00FB22BD">
              <w:t>No</w:t>
            </w:r>
          </w:p>
        </w:tc>
      </w:tr>
      <w:tr w:rsidR="00345B43" w:rsidRPr="00FB22BD" w14:paraId="3E49BBBB" w14:textId="77777777" w:rsidTr="00FB22BD">
        <w:tc>
          <w:tcPr>
            <w:tcW w:w="1531" w:type="dxa"/>
            <w:vAlign w:val="center"/>
          </w:tcPr>
          <w:p w14:paraId="57DCCB4B" w14:textId="77777777" w:rsidR="00345B43" w:rsidRPr="00FB22BD" w:rsidRDefault="00345B43" w:rsidP="00FB22BD">
            <w:pPr>
              <w:pStyle w:val="TableText"/>
              <w:rPr>
                <w:rFonts w:ascii="Cambria Math" w:hAnsi="Cambria Math"/>
              </w:rPr>
            </w:pPr>
            <w:r w:rsidRPr="00FB22BD">
              <w:rPr>
                <w:rFonts w:ascii="Cambria Math" w:hAnsi="Cambria Math"/>
              </w:rPr>
              <w:t xml:space="preserve">0.2 </w:t>
            </w:r>
            <w:r w:rsidR="00FB22BD" w:rsidRPr="00345B43">
              <w:rPr>
                <w:rFonts w:ascii="Cambria Math" w:hAnsi="Cambria Math"/>
                <w:i/>
              </w:rPr>
              <w:t>I</w:t>
            </w:r>
            <w:r w:rsidR="00FB22BD" w:rsidRPr="00345B43">
              <w:rPr>
                <w:rFonts w:ascii="Cambria Math" w:hAnsi="Cambria Math"/>
                <w:vertAlign w:val="subscript"/>
              </w:rPr>
              <w:t>b</w:t>
            </w:r>
          </w:p>
        </w:tc>
        <w:tc>
          <w:tcPr>
            <w:tcW w:w="1531" w:type="dxa"/>
            <w:vAlign w:val="center"/>
          </w:tcPr>
          <w:p w14:paraId="4C6FDBDB" w14:textId="77777777" w:rsidR="00345B43" w:rsidRPr="00FB22BD" w:rsidRDefault="00345B43" w:rsidP="00FB22BD">
            <w:pPr>
              <w:pStyle w:val="TableText"/>
            </w:pPr>
            <w:r w:rsidRPr="00FB22BD">
              <w:t>Yes</w:t>
            </w:r>
          </w:p>
        </w:tc>
        <w:tc>
          <w:tcPr>
            <w:tcW w:w="1531" w:type="dxa"/>
            <w:vAlign w:val="center"/>
          </w:tcPr>
          <w:p w14:paraId="7A5231B4" w14:textId="77777777" w:rsidR="00345B43" w:rsidRPr="00FB22BD" w:rsidRDefault="00345B43" w:rsidP="00FB22BD">
            <w:pPr>
              <w:pStyle w:val="TableText"/>
            </w:pPr>
            <w:r w:rsidRPr="00FB22BD">
              <w:t>Yes</w:t>
            </w:r>
          </w:p>
        </w:tc>
      </w:tr>
      <w:tr w:rsidR="00345B43" w:rsidRPr="00FB22BD" w14:paraId="4DF53CB1" w14:textId="77777777" w:rsidTr="00FB22BD">
        <w:tc>
          <w:tcPr>
            <w:tcW w:w="1531" w:type="dxa"/>
            <w:vAlign w:val="center"/>
          </w:tcPr>
          <w:p w14:paraId="2DB3B9CB"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b</w:t>
            </w:r>
          </w:p>
        </w:tc>
        <w:tc>
          <w:tcPr>
            <w:tcW w:w="1531" w:type="dxa"/>
            <w:vAlign w:val="center"/>
          </w:tcPr>
          <w:p w14:paraId="62EB77D0" w14:textId="77777777" w:rsidR="00345B43" w:rsidRPr="00FB22BD" w:rsidRDefault="00345B43" w:rsidP="00FB22BD">
            <w:pPr>
              <w:pStyle w:val="TableText"/>
            </w:pPr>
            <w:r w:rsidRPr="00FB22BD">
              <w:t>Yes</w:t>
            </w:r>
          </w:p>
        </w:tc>
        <w:tc>
          <w:tcPr>
            <w:tcW w:w="1531" w:type="dxa"/>
            <w:vAlign w:val="center"/>
          </w:tcPr>
          <w:p w14:paraId="7E6042F2" w14:textId="77777777" w:rsidR="00345B43" w:rsidRPr="00FB22BD" w:rsidRDefault="00345B43" w:rsidP="00FB22BD">
            <w:pPr>
              <w:pStyle w:val="TableText"/>
            </w:pPr>
            <w:r w:rsidRPr="00FB22BD">
              <w:t>Yes</w:t>
            </w:r>
          </w:p>
        </w:tc>
      </w:tr>
      <w:tr w:rsidR="00345B43" w:rsidRPr="00FB22BD" w14:paraId="165A1B2F" w14:textId="77777777" w:rsidTr="00FB22BD">
        <w:tc>
          <w:tcPr>
            <w:tcW w:w="1531" w:type="dxa"/>
            <w:vAlign w:val="center"/>
          </w:tcPr>
          <w:p w14:paraId="54263907"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59669C81" w14:textId="77777777" w:rsidR="00345B43" w:rsidRPr="00FB22BD" w:rsidRDefault="00345B43" w:rsidP="00FB22BD">
            <w:pPr>
              <w:pStyle w:val="TableText"/>
            </w:pPr>
            <w:r w:rsidRPr="00FB22BD">
              <w:t>Yes</w:t>
            </w:r>
          </w:p>
        </w:tc>
        <w:tc>
          <w:tcPr>
            <w:tcW w:w="1531" w:type="dxa"/>
            <w:vAlign w:val="center"/>
          </w:tcPr>
          <w:p w14:paraId="508EEE55" w14:textId="77777777" w:rsidR="00345B43" w:rsidRPr="00FB22BD" w:rsidRDefault="00345B43" w:rsidP="00FB22BD">
            <w:pPr>
              <w:pStyle w:val="TableText"/>
            </w:pPr>
            <w:r w:rsidRPr="00FB22BD">
              <w:t>Yes</w:t>
            </w:r>
          </w:p>
        </w:tc>
      </w:tr>
    </w:tbl>
    <w:p w14:paraId="19D1878F" w14:textId="77777777" w:rsidR="00345B43" w:rsidRDefault="00345B43" w:rsidP="00FB22BD">
      <w:pPr>
        <w:pStyle w:val="Note"/>
      </w:pPr>
      <w:r>
        <w:t>Note:</w:t>
      </w:r>
      <w:r>
        <w:tab/>
        <w:t xml:space="preserve">The test points </w:t>
      </w:r>
      <w:r w:rsidRPr="00FB22BD">
        <w:t>apply</w:t>
      </w:r>
      <w:r>
        <w:t xml:space="preserve"> to each phase.</w:t>
      </w:r>
    </w:p>
    <w:p w14:paraId="164A363E" w14:textId="1A7FC4F5" w:rsidR="00345B43" w:rsidRDefault="00345B43" w:rsidP="00FB22BD">
      <w:pPr>
        <w:pStyle w:val="Caption"/>
      </w:pPr>
      <w:r>
        <w:t xml:space="preserve">Table </w:t>
      </w:r>
      <w:r w:rsidR="00DF1D1F">
        <w:t>B</w:t>
      </w:r>
      <w:r>
        <w:t>.4. Mandatory test points for Table 3 for transformer-operated meters</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tblGrid>
      <w:tr w:rsidR="00345B43" w:rsidRPr="00FB22BD" w14:paraId="22394C4B" w14:textId="77777777" w:rsidTr="00B43AE5">
        <w:tc>
          <w:tcPr>
            <w:tcW w:w="1531" w:type="dxa"/>
            <w:vMerge w:val="restart"/>
            <w:shd w:val="clear" w:color="auto" w:fill="F0DCDC"/>
            <w:vAlign w:val="center"/>
          </w:tcPr>
          <w:p w14:paraId="380FB254" w14:textId="77777777" w:rsidR="00345B43" w:rsidRPr="00FB22BD" w:rsidRDefault="00345B43" w:rsidP="00FB22BD">
            <w:pPr>
              <w:pStyle w:val="TableText"/>
            </w:pPr>
            <w:r w:rsidRPr="00FB22BD">
              <w:t>Current (A)</w:t>
            </w:r>
          </w:p>
        </w:tc>
        <w:tc>
          <w:tcPr>
            <w:tcW w:w="1531" w:type="dxa"/>
            <w:gridSpan w:val="2"/>
            <w:shd w:val="clear" w:color="auto" w:fill="F0DCDC"/>
            <w:vAlign w:val="center"/>
          </w:tcPr>
          <w:p w14:paraId="4D391722" w14:textId="77777777" w:rsidR="00345B43" w:rsidRPr="00FB22BD" w:rsidRDefault="00345B43" w:rsidP="00FB22BD">
            <w:pPr>
              <w:pStyle w:val="TableText"/>
            </w:pPr>
            <w:r w:rsidRPr="00FB22BD">
              <w:t>Power factor</w:t>
            </w:r>
          </w:p>
        </w:tc>
      </w:tr>
      <w:tr w:rsidR="00345B43" w:rsidRPr="00FB22BD" w14:paraId="2640F247" w14:textId="77777777" w:rsidTr="00B43AE5">
        <w:tc>
          <w:tcPr>
            <w:tcW w:w="1531" w:type="dxa"/>
            <w:vMerge/>
            <w:shd w:val="clear" w:color="auto" w:fill="F0DCDC"/>
            <w:vAlign w:val="center"/>
          </w:tcPr>
          <w:p w14:paraId="0B30A407" w14:textId="77777777" w:rsidR="00345B43" w:rsidRPr="00FB22BD" w:rsidRDefault="00345B43" w:rsidP="00FB22BD">
            <w:pPr>
              <w:pStyle w:val="TableText"/>
            </w:pPr>
          </w:p>
        </w:tc>
        <w:tc>
          <w:tcPr>
            <w:tcW w:w="1531" w:type="dxa"/>
            <w:shd w:val="clear" w:color="auto" w:fill="F0DCDC"/>
            <w:vAlign w:val="center"/>
          </w:tcPr>
          <w:p w14:paraId="64115EA8" w14:textId="77777777" w:rsidR="00345B43" w:rsidRPr="00FB22BD" w:rsidRDefault="00345B43" w:rsidP="00FB22BD">
            <w:pPr>
              <w:pStyle w:val="TableText"/>
            </w:pPr>
            <w:r w:rsidRPr="00FB22BD">
              <w:t>1</w:t>
            </w:r>
          </w:p>
        </w:tc>
        <w:tc>
          <w:tcPr>
            <w:tcW w:w="1531" w:type="dxa"/>
            <w:shd w:val="clear" w:color="auto" w:fill="F0DCDC"/>
            <w:vAlign w:val="center"/>
          </w:tcPr>
          <w:p w14:paraId="09694321" w14:textId="77777777" w:rsidR="00345B43" w:rsidRPr="00FB22BD" w:rsidRDefault="00345B43" w:rsidP="00FB22BD">
            <w:pPr>
              <w:pStyle w:val="TableText"/>
            </w:pPr>
            <w:r w:rsidRPr="00FB22BD">
              <w:t>0.5 inductive</w:t>
            </w:r>
          </w:p>
        </w:tc>
      </w:tr>
      <w:tr w:rsidR="00345B43" w:rsidRPr="00FB22BD" w14:paraId="6DE3E2AA" w14:textId="77777777" w:rsidTr="00FB22BD">
        <w:tc>
          <w:tcPr>
            <w:tcW w:w="1531" w:type="dxa"/>
            <w:vAlign w:val="center"/>
          </w:tcPr>
          <w:p w14:paraId="249B447E" w14:textId="77777777" w:rsidR="00345B43" w:rsidRPr="00FB22BD" w:rsidRDefault="00345B43" w:rsidP="00FB22BD">
            <w:pPr>
              <w:pStyle w:val="TableText"/>
              <w:rPr>
                <w:rFonts w:ascii="Cambria Math" w:hAnsi="Cambria Math"/>
              </w:rPr>
            </w:pPr>
            <w:r w:rsidRPr="00FB22BD">
              <w:rPr>
                <w:rFonts w:ascii="Cambria Math" w:hAnsi="Cambria Math"/>
              </w:rPr>
              <w:t xml:space="preserve">0.05 </w:t>
            </w:r>
            <w:r w:rsidR="00FB22BD" w:rsidRPr="00345B43">
              <w:rPr>
                <w:rFonts w:ascii="Cambria Math" w:hAnsi="Cambria Math"/>
                <w:i/>
              </w:rPr>
              <w:t>I</w:t>
            </w:r>
            <w:r w:rsidR="00FB22BD" w:rsidRPr="00345B43">
              <w:rPr>
                <w:rFonts w:ascii="Cambria Math" w:hAnsi="Cambria Math"/>
                <w:vertAlign w:val="subscript"/>
              </w:rPr>
              <w:t>n</w:t>
            </w:r>
          </w:p>
        </w:tc>
        <w:tc>
          <w:tcPr>
            <w:tcW w:w="1531" w:type="dxa"/>
            <w:vAlign w:val="center"/>
          </w:tcPr>
          <w:p w14:paraId="739F602D" w14:textId="77777777" w:rsidR="00345B43" w:rsidRPr="00FB22BD" w:rsidRDefault="00345B43" w:rsidP="00FB22BD">
            <w:pPr>
              <w:pStyle w:val="TableText"/>
            </w:pPr>
            <w:r w:rsidRPr="00FB22BD">
              <w:t>Yes</w:t>
            </w:r>
          </w:p>
        </w:tc>
        <w:tc>
          <w:tcPr>
            <w:tcW w:w="1531" w:type="dxa"/>
            <w:vAlign w:val="center"/>
          </w:tcPr>
          <w:p w14:paraId="44398659" w14:textId="77777777" w:rsidR="00345B43" w:rsidRPr="00FB22BD" w:rsidRDefault="00345B43" w:rsidP="00FB22BD">
            <w:pPr>
              <w:pStyle w:val="TableText"/>
            </w:pPr>
            <w:r w:rsidRPr="00FB22BD">
              <w:t>No</w:t>
            </w:r>
          </w:p>
        </w:tc>
      </w:tr>
      <w:tr w:rsidR="00345B43" w:rsidRPr="00FB22BD" w14:paraId="6B7FB28A" w14:textId="77777777" w:rsidTr="00FB22BD">
        <w:tc>
          <w:tcPr>
            <w:tcW w:w="1531" w:type="dxa"/>
            <w:vAlign w:val="center"/>
          </w:tcPr>
          <w:p w14:paraId="5A7B87E5" w14:textId="77777777" w:rsidR="00345B43" w:rsidRPr="00FB22BD" w:rsidRDefault="00345B43" w:rsidP="00FB22BD">
            <w:pPr>
              <w:pStyle w:val="TableText"/>
              <w:rPr>
                <w:rFonts w:ascii="Cambria Math" w:hAnsi="Cambria Math"/>
              </w:rPr>
            </w:pPr>
            <w:r w:rsidRPr="00FB22BD">
              <w:rPr>
                <w:rFonts w:ascii="Cambria Math" w:hAnsi="Cambria Math"/>
              </w:rPr>
              <w:t xml:space="preserve">0.1 </w:t>
            </w:r>
            <w:r w:rsidR="00FB22BD" w:rsidRPr="00345B43">
              <w:rPr>
                <w:rFonts w:ascii="Cambria Math" w:hAnsi="Cambria Math"/>
                <w:i/>
              </w:rPr>
              <w:t>I</w:t>
            </w:r>
            <w:r w:rsidR="00FB22BD" w:rsidRPr="00345B43">
              <w:rPr>
                <w:rFonts w:ascii="Cambria Math" w:hAnsi="Cambria Math"/>
                <w:vertAlign w:val="subscript"/>
              </w:rPr>
              <w:t>n</w:t>
            </w:r>
          </w:p>
        </w:tc>
        <w:tc>
          <w:tcPr>
            <w:tcW w:w="1531" w:type="dxa"/>
            <w:vAlign w:val="center"/>
          </w:tcPr>
          <w:p w14:paraId="50194B02" w14:textId="77777777" w:rsidR="00345B43" w:rsidRPr="00FB22BD" w:rsidRDefault="00345B43" w:rsidP="00FB22BD">
            <w:pPr>
              <w:pStyle w:val="TableText"/>
            </w:pPr>
            <w:r w:rsidRPr="00FB22BD">
              <w:t>Yes</w:t>
            </w:r>
          </w:p>
        </w:tc>
        <w:tc>
          <w:tcPr>
            <w:tcW w:w="1531" w:type="dxa"/>
            <w:vAlign w:val="center"/>
          </w:tcPr>
          <w:p w14:paraId="755F7E5D" w14:textId="77777777" w:rsidR="00345B43" w:rsidRPr="00FB22BD" w:rsidRDefault="00345B43" w:rsidP="00FB22BD">
            <w:pPr>
              <w:pStyle w:val="TableText"/>
            </w:pPr>
            <w:r w:rsidRPr="00FB22BD">
              <w:t>Yes</w:t>
            </w:r>
          </w:p>
        </w:tc>
      </w:tr>
      <w:tr w:rsidR="00345B43" w:rsidRPr="00FB22BD" w14:paraId="7C9CB45D" w14:textId="77777777" w:rsidTr="00FB22BD">
        <w:tc>
          <w:tcPr>
            <w:tcW w:w="1531" w:type="dxa"/>
            <w:vAlign w:val="center"/>
          </w:tcPr>
          <w:p w14:paraId="1CF1429C"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n</w:t>
            </w:r>
          </w:p>
        </w:tc>
        <w:tc>
          <w:tcPr>
            <w:tcW w:w="1531" w:type="dxa"/>
            <w:vAlign w:val="center"/>
          </w:tcPr>
          <w:p w14:paraId="6E95127E" w14:textId="77777777" w:rsidR="00345B43" w:rsidRPr="00FB22BD" w:rsidRDefault="00345B43" w:rsidP="00FB22BD">
            <w:pPr>
              <w:pStyle w:val="TableText"/>
            </w:pPr>
            <w:r w:rsidRPr="00FB22BD">
              <w:t>Yes</w:t>
            </w:r>
          </w:p>
        </w:tc>
        <w:tc>
          <w:tcPr>
            <w:tcW w:w="1531" w:type="dxa"/>
            <w:vAlign w:val="center"/>
          </w:tcPr>
          <w:p w14:paraId="67F351F9" w14:textId="77777777" w:rsidR="00345B43" w:rsidRPr="00FB22BD" w:rsidRDefault="00345B43" w:rsidP="00FB22BD">
            <w:pPr>
              <w:pStyle w:val="TableText"/>
            </w:pPr>
            <w:r w:rsidRPr="00FB22BD">
              <w:t>Yes</w:t>
            </w:r>
          </w:p>
        </w:tc>
      </w:tr>
      <w:tr w:rsidR="00345B43" w:rsidRPr="00FB22BD" w14:paraId="74DEA6B2" w14:textId="77777777" w:rsidTr="00FB22BD">
        <w:tc>
          <w:tcPr>
            <w:tcW w:w="1531" w:type="dxa"/>
            <w:vAlign w:val="center"/>
          </w:tcPr>
          <w:p w14:paraId="22C05E1B"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48E6F146" w14:textId="77777777" w:rsidR="00345B43" w:rsidRPr="00FB22BD" w:rsidRDefault="00345B43" w:rsidP="00FB22BD">
            <w:pPr>
              <w:pStyle w:val="TableText"/>
            </w:pPr>
            <w:r w:rsidRPr="00FB22BD">
              <w:t>Yes</w:t>
            </w:r>
          </w:p>
        </w:tc>
        <w:tc>
          <w:tcPr>
            <w:tcW w:w="1531" w:type="dxa"/>
            <w:vAlign w:val="center"/>
          </w:tcPr>
          <w:p w14:paraId="5EC2DE7F" w14:textId="77777777" w:rsidR="00345B43" w:rsidRPr="00FB22BD" w:rsidRDefault="00345B43" w:rsidP="00FB22BD">
            <w:pPr>
              <w:pStyle w:val="TableText"/>
            </w:pPr>
            <w:r w:rsidRPr="00FB22BD">
              <w:t>Yes</w:t>
            </w:r>
          </w:p>
        </w:tc>
      </w:tr>
    </w:tbl>
    <w:p w14:paraId="1CADDE79" w14:textId="77777777" w:rsidR="00345B43" w:rsidRDefault="00345B43" w:rsidP="00345B43">
      <w:pPr>
        <w:pStyle w:val="Note"/>
        <w:spacing w:before="120"/>
        <w:ind w:left="567" w:right="-272" w:hanging="567"/>
      </w:pPr>
      <w:r>
        <w:t>Note:</w:t>
      </w:r>
      <w:r>
        <w:tab/>
        <w:t>The test points apply to each phase.</w:t>
      </w:r>
    </w:p>
    <w:bookmarkEnd w:id="122"/>
    <w:bookmarkEnd w:id="123"/>
    <w:p w14:paraId="553C7955" w14:textId="77777777" w:rsidR="00345B43" w:rsidRDefault="00345B43" w:rsidP="00FB22BD">
      <w:pPr>
        <w:pStyle w:val="HeadingAnnexB"/>
        <w:rPr>
          <w:lang w:val="en-US"/>
        </w:rPr>
      </w:pPr>
      <w:r>
        <w:rPr>
          <w:lang w:val="en-US"/>
        </w:rPr>
        <w:t>Mandatory Test Points for Verification</w:t>
      </w:r>
    </w:p>
    <w:p w14:paraId="0C07A69F" w14:textId="7A15D9EE" w:rsidR="00997A11" w:rsidRDefault="00345B43" w:rsidP="00345B43">
      <w:r>
        <w:t xml:space="preserve">The mandatory test points for verification are specified in </w:t>
      </w:r>
      <w:r w:rsidRPr="00FB22BD">
        <w:rPr>
          <w:i/>
        </w:rPr>
        <w:t>NITP 14 National Instrument Test Procedures for Utility Meters</w:t>
      </w:r>
      <w:r>
        <w:t>.</w:t>
      </w:r>
    </w:p>
    <w:p w14:paraId="33566896" w14:textId="77777777" w:rsidR="00997A11" w:rsidRDefault="00997A11">
      <w:pPr>
        <w:spacing w:after="200"/>
      </w:pPr>
      <w:r>
        <w:br w:type="page"/>
      </w:r>
    </w:p>
    <w:p w14:paraId="54EE9717" w14:textId="77777777" w:rsidR="00345B43" w:rsidRDefault="003B2752" w:rsidP="003B2752">
      <w:pPr>
        <w:pStyle w:val="Heading1-NoNumber"/>
      </w:pPr>
      <w:bookmarkStart w:id="124" w:name="_Toc85486026"/>
      <w:r>
        <w:t>Bibliography</w:t>
      </w:r>
      <w:bookmarkEnd w:id="124"/>
    </w:p>
    <w:p w14:paraId="60272EFC" w14:textId="77777777" w:rsidR="003B2752" w:rsidRPr="003B2752" w:rsidRDefault="003B2752" w:rsidP="00A639B4">
      <w:pPr>
        <w:pStyle w:val="ListParagraph"/>
        <w:numPr>
          <w:ilvl w:val="0"/>
          <w:numId w:val="32"/>
        </w:numPr>
        <w:spacing w:after="80" w:line="240" w:lineRule="auto"/>
        <w:ind w:left="567" w:hanging="567"/>
        <w:contextualSpacing w:val="0"/>
      </w:pPr>
      <w:bookmarkStart w:id="125" w:name="_Ref291687561"/>
      <w:r w:rsidRPr="003B2752">
        <w:t>OIML D 11: General Requirements for Electronic Measuring Instruments. OIML, Paris, 2004</w:t>
      </w:r>
      <w:bookmarkEnd w:id="125"/>
    </w:p>
    <w:p w14:paraId="5A426D62" w14:textId="77777777" w:rsidR="003B2752" w:rsidRPr="003B2752" w:rsidRDefault="003B2752" w:rsidP="00A639B4">
      <w:pPr>
        <w:pStyle w:val="ListParagraph"/>
        <w:numPr>
          <w:ilvl w:val="0"/>
          <w:numId w:val="32"/>
        </w:numPr>
        <w:spacing w:after="80" w:line="240" w:lineRule="auto"/>
        <w:ind w:left="567" w:hanging="567"/>
        <w:contextualSpacing w:val="0"/>
      </w:pPr>
      <w:r w:rsidRPr="003B2752">
        <w:t xml:space="preserve">OIML V 2-200: </w:t>
      </w:r>
      <w:smartTag w:uri="urn:schemas-microsoft-com:office:smarttags" w:element="PersonName">
        <w:r w:rsidRPr="003B2752">
          <w:t>International</w:t>
        </w:r>
      </w:smartTag>
      <w:r w:rsidRPr="003B2752">
        <w:t xml:space="preserve"> Vocabulary of Metrology – Basic and General Concepts and Associated Terms (VIM). OIML, Paris, 2007</w:t>
      </w:r>
    </w:p>
    <w:p w14:paraId="416B41C3" w14:textId="77777777" w:rsidR="003B2752" w:rsidRPr="003B2752" w:rsidRDefault="003B2752" w:rsidP="00A639B4">
      <w:pPr>
        <w:pStyle w:val="ListParagraph"/>
        <w:numPr>
          <w:ilvl w:val="0"/>
          <w:numId w:val="32"/>
        </w:numPr>
        <w:spacing w:after="80" w:line="240" w:lineRule="auto"/>
        <w:ind w:left="567" w:hanging="567"/>
        <w:contextualSpacing w:val="0"/>
      </w:pPr>
      <w:bookmarkStart w:id="126" w:name="_Ref207441486"/>
      <w:smartTag w:uri="urn:schemas-microsoft-com:office:smarttags" w:element="PersonName">
        <w:r w:rsidRPr="003B2752">
          <w:t>International</w:t>
        </w:r>
      </w:smartTag>
      <w:r w:rsidRPr="003B2752">
        <w:t xml:space="preserve"> Vocabulary of Basic and General Terms in Metrology (ISO VIM). ISO, Geneva, 2004</w:t>
      </w:r>
    </w:p>
    <w:p w14:paraId="4AC6A4AA" w14:textId="77777777" w:rsidR="003B2752" w:rsidRPr="003B2752" w:rsidRDefault="003B2752" w:rsidP="00A639B4">
      <w:pPr>
        <w:pStyle w:val="ListParagraph"/>
        <w:numPr>
          <w:ilvl w:val="0"/>
          <w:numId w:val="32"/>
        </w:numPr>
        <w:spacing w:after="80" w:line="240" w:lineRule="auto"/>
        <w:ind w:left="567" w:hanging="567"/>
        <w:contextualSpacing w:val="0"/>
      </w:pPr>
      <w:bookmarkStart w:id="127" w:name="_Ref211427403"/>
      <w:r w:rsidRPr="003B2752">
        <w:t>AS 62052.11 (2005) Electricity Metering Equipment (AC) – General Requirements, Tests and Test Conditions – Metering Equipment (modified from IEC 62052-11 (2003))</w:t>
      </w:r>
      <w:bookmarkEnd w:id="126"/>
      <w:bookmarkEnd w:id="127"/>
    </w:p>
    <w:p w14:paraId="41A7EAE5" w14:textId="77777777" w:rsidR="003B2752" w:rsidRPr="003B2752" w:rsidRDefault="003B2752" w:rsidP="00A639B4">
      <w:pPr>
        <w:pStyle w:val="ListParagraph"/>
        <w:numPr>
          <w:ilvl w:val="0"/>
          <w:numId w:val="32"/>
        </w:numPr>
        <w:spacing w:after="80" w:line="240" w:lineRule="auto"/>
        <w:ind w:left="567" w:hanging="567"/>
        <w:contextualSpacing w:val="0"/>
      </w:pPr>
      <w:bookmarkStart w:id="128" w:name="_Ref211414388"/>
      <w:r w:rsidRPr="003B2752">
        <w:t>AS 1284.1 (2004) Electricity Metering – Part 1: General Purpose Induction Watt Hour Meters</w:t>
      </w:r>
      <w:bookmarkEnd w:id="128"/>
    </w:p>
    <w:p w14:paraId="61EB2490" w14:textId="77777777" w:rsidR="003B2752" w:rsidRPr="003B2752" w:rsidRDefault="003B2752" w:rsidP="00A639B4">
      <w:pPr>
        <w:pStyle w:val="ListParagraph"/>
        <w:numPr>
          <w:ilvl w:val="0"/>
          <w:numId w:val="32"/>
        </w:numPr>
        <w:spacing w:after="80" w:line="240" w:lineRule="auto"/>
        <w:ind w:left="567" w:hanging="567"/>
        <w:contextualSpacing w:val="0"/>
      </w:pPr>
      <w:bookmarkStart w:id="129" w:name="_Ref211423377"/>
      <w:r w:rsidRPr="003B2752">
        <w:t>ISO/IEC Guide 98-3:2008: Guide to the Expression of Uncertainty in Measurement (GUM)</w:t>
      </w:r>
      <w:bookmarkEnd w:id="129"/>
      <w:r w:rsidRPr="003B2752">
        <w:t>. ISO, Geneva, 2008</w:t>
      </w:r>
    </w:p>
    <w:p w14:paraId="14E68C32" w14:textId="77777777" w:rsidR="003B2752" w:rsidRPr="003B2752" w:rsidRDefault="003B2752" w:rsidP="00A639B4">
      <w:pPr>
        <w:pStyle w:val="ListParagraph"/>
        <w:numPr>
          <w:ilvl w:val="0"/>
          <w:numId w:val="32"/>
        </w:numPr>
        <w:spacing w:after="80" w:line="240" w:lineRule="auto"/>
        <w:ind w:left="567" w:hanging="567"/>
        <w:contextualSpacing w:val="0"/>
      </w:pPr>
      <w:bookmarkStart w:id="130" w:name="_Ref194990295"/>
      <w:bookmarkStart w:id="131" w:name="_Ref195499080"/>
      <w:r w:rsidRPr="003B2752">
        <w:t>AS 62053.21 (2005) Electricity Metering Equipment (AC) – Particular Requirements – Static Meters for Active Energy (Classes 1 and 2)</w:t>
      </w:r>
      <w:bookmarkEnd w:id="130"/>
      <w:r w:rsidRPr="003B2752">
        <w:t xml:space="preserve"> (modified from IEC 62053-21 (2003))</w:t>
      </w:r>
      <w:bookmarkEnd w:id="131"/>
    </w:p>
    <w:p w14:paraId="6B9D1282" w14:textId="77777777" w:rsidR="003B2752" w:rsidRPr="003B2752" w:rsidRDefault="003B2752" w:rsidP="00A639B4">
      <w:pPr>
        <w:pStyle w:val="ListParagraph"/>
        <w:numPr>
          <w:ilvl w:val="0"/>
          <w:numId w:val="32"/>
        </w:numPr>
        <w:spacing w:after="80" w:line="240" w:lineRule="auto"/>
        <w:ind w:left="567" w:hanging="567"/>
        <w:contextualSpacing w:val="0"/>
      </w:pPr>
      <w:bookmarkStart w:id="132" w:name="_Ref194990297"/>
      <w:bookmarkStart w:id="133" w:name="_Ref195499093"/>
      <w:r w:rsidRPr="003B2752">
        <w:t>AS 62053.22 (2005) Electricity Metering Equipment (AC) – Particular Requirements – Static Meters for Active Energy (Classes 0.2 S and 0.5 S)</w:t>
      </w:r>
      <w:bookmarkEnd w:id="132"/>
      <w:r w:rsidRPr="003B2752">
        <w:t xml:space="preserve"> (identical with IEC 62053-22 (2003))</w:t>
      </w:r>
      <w:bookmarkEnd w:id="133"/>
    </w:p>
    <w:p w14:paraId="03DBF5D9" w14:textId="77777777" w:rsidR="003B2752" w:rsidRPr="003B2752" w:rsidRDefault="003B2752" w:rsidP="00A639B4">
      <w:pPr>
        <w:pStyle w:val="ListParagraph"/>
        <w:numPr>
          <w:ilvl w:val="0"/>
          <w:numId w:val="32"/>
        </w:numPr>
        <w:spacing w:after="80" w:line="240" w:lineRule="auto"/>
        <w:ind w:left="567" w:hanging="567"/>
        <w:contextualSpacing w:val="0"/>
      </w:pPr>
      <w:bookmarkStart w:id="134" w:name="_Ref196040994"/>
      <w:bookmarkStart w:id="135" w:name="_Ref194992028"/>
      <w:r w:rsidRPr="003B2752">
        <w:t>IEC 62052-11 (2003) Electricity Metering Equipment (AC) – General Requirements, Tests and Test Conditions – Metering Equipment</w:t>
      </w:r>
      <w:bookmarkEnd w:id="134"/>
    </w:p>
    <w:p w14:paraId="2873399C" w14:textId="77777777" w:rsidR="003B2752" w:rsidRPr="003B2752" w:rsidRDefault="003B2752" w:rsidP="00A639B4">
      <w:pPr>
        <w:pStyle w:val="ListParagraph"/>
        <w:numPr>
          <w:ilvl w:val="0"/>
          <w:numId w:val="32"/>
        </w:numPr>
        <w:spacing w:after="80" w:line="240" w:lineRule="auto"/>
        <w:ind w:left="567" w:hanging="567"/>
        <w:contextualSpacing w:val="0"/>
      </w:pPr>
      <w:bookmarkStart w:id="136" w:name="_Ref194992073"/>
      <w:bookmarkStart w:id="137" w:name="_Ref195499414"/>
      <w:bookmarkEnd w:id="135"/>
      <w:r w:rsidRPr="003B2752">
        <w:t>AS 62054.21 (2006) Electricity Metering (AC) – Tariff and Load Control – Particular Requirements for Time Switches (identical with IEC 62054.21 (2004)</w:t>
      </w:r>
      <w:bookmarkEnd w:id="136"/>
      <w:r w:rsidRPr="003B2752">
        <w:t>)</w:t>
      </w:r>
      <w:bookmarkEnd w:id="137"/>
    </w:p>
    <w:p w14:paraId="6775DCDA" w14:textId="77777777" w:rsidR="003B2752" w:rsidRPr="003B2752" w:rsidRDefault="003B2752" w:rsidP="00A639B4">
      <w:pPr>
        <w:pStyle w:val="ListParagraph"/>
        <w:numPr>
          <w:ilvl w:val="0"/>
          <w:numId w:val="32"/>
        </w:numPr>
        <w:spacing w:after="80" w:line="240" w:lineRule="auto"/>
        <w:ind w:left="567" w:hanging="567"/>
        <w:contextualSpacing w:val="0"/>
      </w:pPr>
      <w:bookmarkStart w:id="138" w:name="_Ref194992145"/>
      <w:r w:rsidRPr="003B2752">
        <w:t>IEC 62053-52 (2005) Electricity Metering Equipment (AC) – Particular Requirements – Part 52: Symbols</w:t>
      </w:r>
      <w:bookmarkEnd w:id="138"/>
    </w:p>
    <w:p w14:paraId="2FA68677" w14:textId="7CC4817F" w:rsidR="003B2752" w:rsidRPr="003B2752" w:rsidRDefault="003B2752" w:rsidP="00A639B4">
      <w:pPr>
        <w:pStyle w:val="ListParagraph"/>
        <w:numPr>
          <w:ilvl w:val="0"/>
          <w:numId w:val="32"/>
        </w:numPr>
        <w:spacing w:after="80" w:line="240" w:lineRule="auto"/>
        <w:ind w:left="567" w:hanging="567"/>
        <w:contextualSpacing w:val="0"/>
      </w:pPr>
      <w:bookmarkStart w:id="139" w:name="_Ref216873841"/>
      <w:r w:rsidRPr="003B2752">
        <w:t>NMI P 106</w:t>
      </w:r>
      <w:r w:rsidRPr="00B456F7">
        <w:t xml:space="preserve"> </w:t>
      </w:r>
      <w:r w:rsidR="00B456F7" w:rsidRPr="003C70FC">
        <w:t>Procedures for the Approval and Certification of Patterns of Measuring Instruments</w:t>
      </w:r>
      <w:r w:rsidR="00B456F7">
        <w:t xml:space="preserve"> </w:t>
      </w:r>
      <w:bookmarkEnd w:id="139"/>
    </w:p>
    <w:p w14:paraId="228152F5" w14:textId="77777777" w:rsidR="003B2752" w:rsidRPr="003B2752" w:rsidRDefault="003B2752" w:rsidP="00A639B4">
      <w:pPr>
        <w:pStyle w:val="ListParagraph"/>
        <w:numPr>
          <w:ilvl w:val="0"/>
          <w:numId w:val="32"/>
        </w:numPr>
        <w:spacing w:after="80" w:line="240" w:lineRule="auto"/>
        <w:ind w:left="567" w:hanging="567"/>
        <w:contextualSpacing w:val="0"/>
      </w:pPr>
      <w:bookmarkStart w:id="140" w:name="_Ref247711545"/>
      <w:r w:rsidRPr="003B2752">
        <w:t>AS 62056.21 (2006) Electricity Metering – Data Exchange for Meter Reading, Tariff and Load Control – Direct Local Data Exchange (identical with IEC 62056-21 (2002))</w:t>
      </w:r>
      <w:bookmarkEnd w:id="140"/>
    </w:p>
    <w:p w14:paraId="56583EAB" w14:textId="77777777" w:rsidR="003B2752" w:rsidRPr="003B2752" w:rsidRDefault="003B2752" w:rsidP="00A639B4">
      <w:pPr>
        <w:pStyle w:val="ListParagraph"/>
        <w:numPr>
          <w:ilvl w:val="0"/>
          <w:numId w:val="32"/>
        </w:numPr>
        <w:spacing w:after="80" w:line="240" w:lineRule="auto"/>
        <w:ind w:left="567" w:hanging="567"/>
        <w:contextualSpacing w:val="0"/>
      </w:pPr>
      <w:bookmarkStart w:id="141" w:name="_Ref194992190"/>
      <w:r w:rsidRPr="003B2752">
        <w:t>AS 60068.2.2 (2003) Environmental Testing Part 2.2: Tests – Test B: Dry Heat (identical with IEC 60068-2-2 (1974) incorporating Amendment 1:1993 and Amendment 2:1994)</w:t>
      </w:r>
      <w:bookmarkEnd w:id="141"/>
    </w:p>
    <w:p w14:paraId="126912C5" w14:textId="77777777" w:rsidR="003B2752" w:rsidRPr="003B2752" w:rsidRDefault="003B2752" w:rsidP="00A639B4">
      <w:pPr>
        <w:pStyle w:val="ListParagraph"/>
        <w:numPr>
          <w:ilvl w:val="0"/>
          <w:numId w:val="32"/>
        </w:numPr>
        <w:spacing w:after="80" w:line="240" w:lineRule="auto"/>
        <w:ind w:left="567" w:hanging="567"/>
        <w:contextualSpacing w:val="0"/>
      </w:pPr>
      <w:bookmarkStart w:id="142" w:name="_Ref194992227"/>
      <w:bookmarkStart w:id="143" w:name="_Ref195513692"/>
      <w:r w:rsidRPr="003B2752">
        <w:t>AS 60068.2.1 (2003) Environmental Testing Part 2.1: Tests – Test A: Cold (identical with IEC 60068-2-1 (1990) incorporating Amendment 1:1993 and Amendment 2:1994)</w:t>
      </w:r>
      <w:bookmarkEnd w:id="142"/>
      <w:bookmarkEnd w:id="143"/>
    </w:p>
    <w:p w14:paraId="6401D194" w14:textId="77777777" w:rsidR="003B2752" w:rsidRPr="003B2752" w:rsidRDefault="003B2752" w:rsidP="00A639B4">
      <w:pPr>
        <w:pStyle w:val="ListParagraph"/>
        <w:numPr>
          <w:ilvl w:val="0"/>
          <w:numId w:val="32"/>
        </w:numPr>
        <w:spacing w:after="80" w:line="240" w:lineRule="auto"/>
        <w:ind w:left="567" w:hanging="567"/>
        <w:contextualSpacing w:val="0"/>
      </w:pPr>
      <w:bookmarkStart w:id="144" w:name="_Ref196041136"/>
      <w:bookmarkStart w:id="145" w:name="_Ref194992559"/>
      <w:bookmarkStart w:id="146" w:name="_Ref195586560"/>
      <w:r w:rsidRPr="003B2752">
        <w:t>AS 60068.2.30 (2003) Environmental Testing Part 2.30: Tests – Test Db and Guidance: Damp Heat, Cyclic (12 + 12-hour Cycle) (identical with IEC 60068-2-30 (1980) incorporating amendment 1:1985)</w:t>
      </w:r>
      <w:bookmarkEnd w:id="144"/>
    </w:p>
    <w:p w14:paraId="34D1F594" w14:textId="77777777" w:rsidR="003B2752" w:rsidRPr="003B2752" w:rsidRDefault="003B2752" w:rsidP="00A639B4">
      <w:pPr>
        <w:pStyle w:val="ListParagraph"/>
        <w:numPr>
          <w:ilvl w:val="0"/>
          <w:numId w:val="32"/>
        </w:numPr>
        <w:spacing w:after="80" w:line="240" w:lineRule="auto"/>
        <w:ind w:left="567" w:hanging="567"/>
        <w:contextualSpacing w:val="0"/>
      </w:pPr>
      <w:bookmarkStart w:id="147" w:name="_Ref194992458"/>
      <w:bookmarkStart w:id="148" w:name="_Ref195699850"/>
      <w:r w:rsidRPr="003B2752">
        <w:t>AS 60529 (2004) Degrees of Protection Provided by Enclosures (IP Code)</w:t>
      </w:r>
      <w:bookmarkEnd w:id="147"/>
      <w:r w:rsidRPr="003B2752">
        <w:t xml:space="preserve"> (modified from IEC 60529 (2001))</w:t>
      </w:r>
      <w:bookmarkEnd w:id="148"/>
    </w:p>
    <w:p w14:paraId="75C70E4C" w14:textId="77777777" w:rsidR="003B2752" w:rsidRPr="003B2752" w:rsidRDefault="003B2752" w:rsidP="00A639B4">
      <w:pPr>
        <w:pStyle w:val="ListParagraph"/>
        <w:numPr>
          <w:ilvl w:val="0"/>
          <w:numId w:val="32"/>
        </w:numPr>
        <w:spacing w:after="80" w:line="240" w:lineRule="auto"/>
        <w:ind w:left="567" w:hanging="567"/>
        <w:contextualSpacing w:val="0"/>
      </w:pPr>
      <w:bookmarkStart w:id="149" w:name="_Ref196041161"/>
      <w:r w:rsidRPr="003B2752">
        <w:t>AS 60068.2.6 (2003) Environmental Testing – Tests - Test Fc: Vibration (Sinusoidal)</w:t>
      </w:r>
      <w:bookmarkEnd w:id="145"/>
      <w:r w:rsidRPr="003B2752">
        <w:t xml:space="preserve"> (identical with IEC 60068-2-6 (1995) including Corrigendum 1:1995)</w:t>
      </w:r>
      <w:bookmarkEnd w:id="146"/>
      <w:bookmarkEnd w:id="149"/>
    </w:p>
    <w:p w14:paraId="707C6A26" w14:textId="77777777" w:rsidR="003B2752" w:rsidRPr="003B2752" w:rsidRDefault="003B2752" w:rsidP="00A639B4">
      <w:pPr>
        <w:pStyle w:val="ListParagraph"/>
        <w:numPr>
          <w:ilvl w:val="0"/>
          <w:numId w:val="32"/>
        </w:numPr>
        <w:spacing w:after="80" w:line="240" w:lineRule="auto"/>
        <w:ind w:left="567" w:hanging="567"/>
        <w:contextualSpacing w:val="0"/>
      </w:pPr>
      <w:bookmarkStart w:id="150" w:name="_Ref194992546"/>
      <w:bookmarkStart w:id="151" w:name="_Ref195699670"/>
      <w:bookmarkStart w:id="152" w:name="_Ref194992241"/>
      <w:bookmarkStart w:id="153" w:name="_Ref195514335"/>
      <w:r w:rsidRPr="003B2752">
        <w:t>AS 60068.2.27 (2003) Environmental Testing – Tests – Test Ea and Guidance: Shock</w:t>
      </w:r>
      <w:bookmarkEnd w:id="150"/>
      <w:r w:rsidRPr="003B2752">
        <w:t xml:space="preserve"> (identical with IEC 60068-2-27 (1987))</w:t>
      </w:r>
      <w:bookmarkEnd w:id="151"/>
    </w:p>
    <w:p w14:paraId="70012D69" w14:textId="77777777" w:rsidR="003B2752" w:rsidRPr="003B2752" w:rsidRDefault="003B2752" w:rsidP="00A639B4">
      <w:pPr>
        <w:pStyle w:val="ListParagraph"/>
        <w:numPr>
          <w:ilvl w:val="0"/>
          <w:numId w:val="32"/>
        </w:numPr>
        <w:spacing w:after="80" w:line="240" w:lineRule="auto"/>
        <w:ind w:left="567" w:hanging="567"/>
        <w:contextualSpacing w:val="0"/>
      </w:pPr>
      <w:bookmarkStart w:id="154" w:name="_Ref194992534"/>
      <w:bookmarkStart w:id="155" w:name="_Ref195603352"/>
      <w:bookmarkStart w:id="156" w:name="_Ref291764222"/>
      <w:bookmarkStart w:id="157" w:name="_Ref194992412"/>
      <w:bookmarkEnd w:id="152"/>
      <w:bookmarkEnd w:id="153"/>
      <w:r w:rsidRPr="003B2752">
        <w:t>AS/NZS 61000.4.3 (2006) Electromagnetic Compatibility (EMC). Part 4.3: Testing and Measurement Techniques. Section 3 – Radiated, Radio-frequency, Electromagnetic Field Immunity Test</w:t>
      </w:r>
      <w:bookmarkEnd w:id="154"/>
      <w:r w:rsidRPr="003B2752">
        <w:t xml:space="preserve"> (identical with IEC 61000-4-3 (2006))</w:t>
      </w:r>
      <w:bookmarkEnd w:id="155"/>
      <w:bookmarkEnd w:id="156"/>
    </w:p>
    <w:p w14:paraId="78380DDA" w14:textId="77777777" w:rsidR="003B2752" w:rsidRPr="003B2752" w:rsidRDefault="003B2752" w:rsidP="00A639B4">
      <w:pPr>
        <w:pStyle w:val="ListParagraph"/>
        <w:numPr>
          <w:ilvl w:val="0"/>
          <w:numId w:val="32"/>
        </w:numPr>
        <w:spacing w:after="80" w:line="240" w:lineRule="auto"/>
        <w:ind w:left="567" w:hanging="567"/>
        <w:contextualSpacing w:val="0"/>
      </w:pPr>
      <w:bookmarkStart w:id="158" w:name="_Ref195699685"/>
      <w:r w:rsidRPr="003B2752">
        <w:t>AS/NZS 61000.4.6 (2006) Electromagnetic Compatibility (EMC). Part 4.6: Testing and Measurement Techniques. Immunity to Conducted Disturbances, Induced by Radiofrequency Fields (identical withIEC 61000-4-6 (2004))</w:t>
      </w:r>
      <w:bookmarkEnd w:id="158"/>
    </w:p>
    <w:p w14:paraId="19785604" w14:textId="77777777" w:rsidR="003B2752" w:rsidRPr="003B2752" w:rsidRDefault="003B2752" w:rsidP="00A639B4">
      <w:pPr>
        <w:pStyle w:val="ListParagraph"/>
        <w:numPr>
          <w:ilvl w:val="0"/>
          <w:numId w:val="32"/>
        </w:numPr>
        <w:spacing w:after="80" w:line="240" w:lineRule="auto"/>
        <w:ind w:left="567" w:hanging="567"/>
        <w:contextualSpacing w:val="0"/>
      </w:pPr>
      <w:bookmarkStart w:id="159" w:name="_Ref194992509"/>
      <w:bookmarkStart w:id="160" w:name="_Ref195611830"/>
      <w:r w:rsidRPr="003B2752">
        <w:t>AS/NZS 61000.4.2 (2002) Electromagnetic Compatibility (EMC). Part 4.2: Testing and Measurement Techniques - Electrostatic Discharge Immunity Test</w:t>
      </w:r>
      <w:bookmarkEnd w:id="159"/>
      <w:r w:rsidRPr="003B2752">
        <w:t xml:space="preserve"> (identical with IEC 61000-4-2 (2001))</w:t>
      </w:r>
      <w:bookmarkEnd w:id="160"/>
    </w:p>
    <w:p w14:paraId="388887A2" w14:textId="77777777" w:rsidR="003B2752" w:rsidRPr="003B2752" w:rsidRDefault="003B2752" w:rsidP="00A639B4">
      <w:pPr>
        <w:pStyle w:val="ListParagraph"/>
        <w:numPr>
          <w:ilvl w:val="0"/>
          <w:numId w:val="32"/>
        </w:numPr>
        <w:spacing w:after="80" w:line="240" w:lineRule="auto"/>
        <w:ind w:left="567" w:hanging="567"/>
        <w:contextualSpacing w:val="0"/>
      </w:pPr>
      <w:bookmarkStart w:id="161" w:name="_Ref194992485"/>
      <w:bookmarkStart w:id="162" w:name="_Ref195699812"/>
      <w:bookmarkStart w:id="163" w:name="_Ref195498360"/>
      <w:bookmarkEnd w:id="157"/>
      <w:r w:rsidRPr="003B2752">
        <w:t>AS/NZS 61000.4.4 (2006) Electromagnetic Compatibility (EMC). Part 4.4: Testing and Measurement Techniques - Electrical Fast Transient/Burst Immunity Test (identical with IEC 61000-4-4 (2004)</w:t>
      </w:r>
      <w:bookmarkEnd w:id="161"/>
      <w:r w:rsidRPr="003B2752">
        <w:t>)</w:t>
      </w:r>
      <w:bookmarkEnd w:id="162"/>
    </w:p>
    <w:p w14:paraId="68C823D2" w14:textId="77777777" w:rsidR="003B2752" w:rsidRPr="003B2752" w:rsidRDefault="003B2752" w:rsidP="00A639B4">
      <w:pPr>
        <w:pStyle w:val="ListParagraph"/>
        <w:numPr>
          <w:ilvl w:val="0"/>
          <w:numId w:val="32"/>
        </w:numPr>
        <w:spacing w:after="80" w:line="240" w:lineRule="auto"/>
        <w:ind w:left="567" w:hanging="567"/>
        <w:contextualSpacing w:val="0"/>
      </w:pPr>
      <w:bookmarkStart w:id="164" w:name="_Ref254077850"/>
      <w:bookmarkStart w:id="165" w:name="_Ref196041255"/>
      <w:r w:rsidRPr="003B2752">
        <w:t>SP-Method 1618 (2006) Impulse Voltage Test, 12 kV</w:t>
      </w:r>
      <w:bookmarkEnd w:id="164"/>
    </w:p>
    <w:p w14:paraId="7FD24E43" w14:textId="77777777" w:rsidR="00B456F7" w:rsidRDefault="00B456F7" w:rsidP="00B456F7">
      <w:pPr>
        <w:pStyle w:val="ListParagraph"/>
        <w:numPr>
          <w:ilvl w:val="0"/>
          <w:numId w:val="32"/>
        </w:numPr>
        <w:spacing w:after="80" w:line="240" w:lineRule="auto"/>
        <w:ind w:left="567" w:hanging="567"/>
        <w:contextualSpacing w:val="0"/>
      </w:pPr>
      <w:bookmarkStart w:id="166" w:name="_Ref304208381"/>
      <w:r>
        <w:t>OIML R 46 (2012), Active Electrical Energy Meters</w:t>
      </w:r>
    </w:p>
    <w:p w14:paraId="6113248D" w14:textId="77777777" w:rsidR="003B2752" w:rsidRDefault="003B2752" w:rsidP="00A639B4">
      <w:pPr>
        <w:pStyle w:val="ListParagraph"/>
        <w:numPr>
          <w:ilvl w:val="0"/>
          <w:numId w:val="32"/>
        </w:numPr>
        <w:spacing w:after="80" w:line="240" w:lineRule="auto"/>
        <w:ind w:left="567" w:hanging="567"/>
        <w:contextualSpacing w:val="0"/>
      </w:pPr>
      <w:r w:rsidRPr="003B2752">
        <w:t>IEC 60060-1 (1989) High-voltage Test Techniques–. Part 1: General Definitions and Test Requirements</w:t>
      </w:r>
      <w:bookmarkEnd w:id="163"/>
      <w:bookmarkEnd w:id="165"/>
      <w:bookmarkEnd w:id="166"/>
    </w:p>
    <w:p w14:paraId="0ED3F860" w14:textId="7E8C3B7D" w:rsidR="00C15CB4" w:rsidRPr="003B2752" w:rsidRDefault="00C15CB4" w:rsidP="007D5271"/>
    <w:sectPr w:rsidR="00C15CB4" w:rsidRPr="003B2752" w:rsidSect="008C6F57">
      <w:headerReference w:type="default" r:id="rId20"/>
      <w:footerReference w:type="default" r:id="rId21"/>
      <w:pgSz w:w="11906" w:h="16838"/>
      <w:pgMar w:top="1361" w:right="1077" w:bottom="136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F1D6" w14:textId="77777777" w:rsidR="001973A6" w:rsidRDefault="001973A6" w:rsidP="00B526AB">
      <w:pPr>
        <w:spacing w:after="0" w:line="240" w:lineRule="auto"/>
      </w:pPr>
      <w:r>
        <w:separator/>
      </w:r>
    </w:p>
  </w:endnote>
  <w:endnote w:type="continuationSeparator" w:id="0">
    <w:p w14:paraId="2FE17C91" w14:textId="77777777" w:rsidR="001973A6" w:rsidRDefault="001973A6"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F7B93" w14:textId="77777777" w:rsidR="00192601" w:rsidRDefault="00192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60C2" w14:textId="77777777" w:rsidR="00192601" w:rsidRDefault="00192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7847" w14:textId="77777777" w:rsidR="00192601" w:rsidRDefault="001926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800C" w14:textId="1ED9D2E5" w:rsidR="001973A6" w:rsidRDefault="001973A6" w:rsidP="00FF3BD1">
    <w:pPr>
      <w:pStyle w:val="Footer"/>
      <w:tabs>
        <w:tab w:val="clear" w:pos="4320"/>
        <w:tab w:val="clear" w:pos="8640"/>
        <w:tab w:val="center" w:pos="5245"/>
        <w:tab w:val="right" w:pos="9746"/>
      </w:tabs>
    </w:pPr>
    <w:r w:rsidRPr="00015A21">
      <w:rPr>
        <w:noProof/>
        <w:lang w:eastAsia="en-AU"/>
      </w:rPr>
      <w:drawing>
        <wp:anchor distT="0" distB="0" distL="114300" distR="114300" simplePos="0" relativeHeight="251658240" behindDoc="1" locked="0" layoutInCell="1" allowOverlap="1" wp14:anchorId="2808880F" wp14:editId="6A586EEE">
          <wp:simplePos x="0" y="0"/>
          <wp:positionH relativeFrom="page">
            <wp:align>right</wp:align>
          </wp:positionH>
          <wp:positionV relativeFrom="paragraph">
            <wp:posOffset>222885</wp:posOffset>
          </wp:positionV>
          <wp:extent cx="7560000" cy="521064"/>
          <wp:effectExtent l="0" t="0" r="3175" b="0"/>
          <wp:wrapNone/>
          <wp:docPr id="5" name="Picture 5"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M 6-1</w:t>
    </w:r>
    <w:r w:rsidRPr="00736FF1">
      <w:t xml:space="preserve">, v4.0, </w:t>
    </w:r>
    <w:r w:rsidR="00736FF1">
      <w:t>June</w:t>
    </w:r>
    <w:r w:rsidRPr="00736FF1">
      <w:t xml:space="preserve"> 202</w:t>
    </w:r>
    <w:r w:rsidR="00736FF1">
      <w:t>2</w:t>
    </w:r>
    <w:r>
      <w:tab/>
    </w:r>
    <w:r>
      <w:tab/>
    </w:r>
    <w:r>
      <w:fldChar w:fldCharType="begin"/>
    </w:r>
    <w:r>
      <w:instrText xml:space="preserve"> PAGE   \* MERGEFORMAT </w:instrText>
    </w:r>
    <w:r>
      <w:fldChar w:fldCharType="separate"/>
    </w:r>
    <w:r w:rsidR="00320D75">
      <w:rPr>
        <w:noProof/>
      </w:rPr>
      <w:t>i</w:t>
    </w:r>
    <w:r>
      <w:fldChar w:fldCharType="end"/>
    </w:r>
  </w:p>
  <w:p w14:paraId="589A4212" w14:textId="77777777" w:rsidR="001973A6" w:rsidRDefault="001973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F89A" w14:textId="77777777" w:rsidR="001973A6" w:rsidRDefault="001973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1BBE" w14:textId="3550E076" w:rsidR="001973A6" w:rsidRDefault="001973A6" w:rsidP="00FF3BD1">
    <w:pPr>
      <w:pStyle w:val="Footer"/>
      <w:tabs>
        <w:tab w:val="clear" w:pos="4320"/>
        <w:tab w:val="clear" w:pos="8640"/>
        <w:tab w:val="left" w:pos="4395"/>
        <w:tab w:val="right" w:pos="9639"/>
      </w:tabs>
    </w:pPr>
    <w:r w:rsidRPr="00201A80">
      <w:rPr>
        <w:noProof/>
        <w:lang w:eastAsia="en-AU"/>
      </w:rPr>
      <w:drawing>
        <wp:anchor distT="0" distB="0" distL="114300" distR="114300" simplePos="0" relativeHeight="251660288" behindDoc="1" locked="0" layoutInCell="1" allowOverlap="1" wp14:anchorId="5DA4853D" wp14:editId="0B985AC4">
          <wp:simplePos x="0" y="0"/>
          <wp:positionH relativeFrom="column">
            <wp:posOffset>-711835</wp:posOffset>
          </wp:positionH>
          <wp:positionV relativeFrom="paragraph">
            <wp:posOffset>194310</wp:posOffset>
          </wp:positionV>
          <wp:extent cx="7560000" cy="521064"/>
          <wp:effectExtent l="0" t="0" r="0" b="1270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M 6-1</w:t>
    </w:r>
    <w:r w:rsidRPr="00736FF1">
      <w:t xml:space="preserve">, v4.0, </w:t>
    </w:r>
    <w:r w:rsidR="00736FF1">
      <w:t>June</w:t>
    </w:r>
    <w:r w:rsidRPr="00736FF1">
      <w:t xml:space="preserve"> 202</w:t>
    </w:r>
    <w:r w:rsidR="00736FF1">
      <w:t>2</w:t>
    </w:r>
    <w:r>
      <w:tab/>
    </w:r>
    <w:r>
      <w:tab/>
      <w:t xml:space="preserve">Page </w:t>
    </w:r>
    <w:r>
      <w:fldChar w:fldCharType="begin"/>
    </w:r>
    <w:r>
      <w:instrText xml:space="preserve"> PAGE   \* MERGEFORMAT </w:instrText>
    </w:r>
    <w:r>
      <w:fldChar w:fldCharType="separate"/>
    </w:r>
    <w:r w:rsidR="00320D75">
      <w:rPr>
        <w:noProof/>
      </w:rPr>
      <w:t>4</w:t>
    </w:r>
    <w:r>
      <w:fldChar w:fldCharType="end"/>
    </w:r>
    <w:r>
      <w:t xml:space="preserve"> of </w:t>
    </w:r>
    <w:r>
      <w:rPr>
        <w:noProof/>
      </w:rPr>
      <w:fldChar w:fldCharType="begin"/>
    </w:r>
    <w:r>
      <w:rPr>
        <w:noProof/>
      </w:rPr>
      <w:instrText xml:space="preserve"> SECTIONPAGES   \* MERGEFORMAT </w:instrText>
    </w:r>
    <w:r>
      <w:rPr>
        <w:noProof/>
      </w:rPr>
      <w:fldChar w:fldCharType="separate"/>
    </w:r>
    <w:r w:rsidR="00320D75">
      <w:rPr>
        <w:noProof/>
      </w:rPr>
      <w:t>4</w:t>
    </w:r>
    <w:r>
      <w:rPr>
        <w:noProof/>
      </w:rPr>
      <w:fldChar w:fldCharType="end"/>
    </w:r>
  </w:p>
  <w:p w14:paraId="390F436E" w14:textId="77777777" w:rsidR="001973A6" w:rsidRDefault="00197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7B72" w14:textId="77777777" w:rsidR="001973A6" w:rsidRDefault="001973A6" w:rsidP="00B526AB">
      <w:pPr>
        <w:spacing w:after="0" w:line="240" w:lineRule="auto"/>
      </w:pPr>
      <w:r>
        <w:separator/>
      </w:r>
    </w:p>
  </w:footnote>
  <w:footnote w:type="continuationSeparator" w:id="0">
    <w:p w14:paraId="77B6399F" w14:textId="77777777" w:rsidR="001973A6" w:rsidRDefault="001973A6" w:rsidP="00B526AB">
      <w:pPr>
        <w:spacing w:after="0" w:line="240" w:lineRule="auto"/>
      </w:pPr>
      <w:r>
        <w:continuationSeparator/>
      </w:r>
    </w:p>
  </w:footnote>
  <w:footnote w:id="1">
    <w:p w14:paraId="3A4CDF71" w14:textId="77777777" w:rsidR="001973A6" w:rsidRPr="004F6178" w:rsidRDefault="001973A6" w:rsidP="00986DB5">
      <w:pPr>
        <w:pStyle w:val="FootnoteText"/>
      </w:pPr>
      <w:r w:rsidRPr="004F6178">
        <w:rPr>
          <w:rStyle w:val="FootnoteReference"/>
        </w:rPr>
        <w:footnoteRef/>
      </w:r>
      <w:r w:rsidRPr="004F6178">
        <w:t xml:space="preserve"> See the preface for information on other pathways.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A0C3" w14:textId="77777777" w:rsidR="00192601" w:rsidRDefault="00192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6771" w14:textId="12BE0B39" w:rsidR="001973A6" w:rsidRDefault="001973A6">
    <w:pPr>
      <w:pStyle w:val="Header"/>
    </w:pPr>
    <w:r>
      <w:rPr>
        <w:noProof/>
        <w:lang w:eastAsia="en-AU"/>
      </w:rPr>
      <w:drawing>
        <wp:inline distT="0" distB="0" distL="0" distR="0" wp14:anchorId="1FC135EB" wp14:editId="523E324A">
          <wp:extent cx="4402800" cy="680400"/>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ILogoTripleLin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02800" cy="6804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AC92" w14:textId="77777777" w:rsidR="00192601" w:rsidRDefault="001926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159A" w14:textId="77777777" w:rsidR="001973A6" w:rsidRDefault="001973A6">
    <w:pPr>
      <w:pStyle w:val="Header"/>
      <w:jc w:val="right"/>
    </w:pPr>
  </w:p>
  <w:p w14:paraId="2ED3B633" w14:textId="77777777" w:rsidR="001973A6" w:rsidRDefault="001973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113E" w14:textId="77777777" w:rsidR="001973A6" w:rsidRDefault="001973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06CAF" w14:textId="77777777" w:rsidR="001973A6" w:rsidRDefault="001973A6">
    <w:pPr>
      <w:pStyle w:val="Header"/>
      <w:jc w:val="right"/>
    </w:pPr>
  </w:p>
  <w:p w14:paraId="07A653FD" w14:textId="77777777" w:rsidR="001973A6" w:rsidRDefault="001973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646E" w14:textId="77777777" w:rsidR="001973A6" w:rsidRDefault="00197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0CE0907"/>
    <w:multiLevelType w:val="hybridMultilevel"/>
    <w:tmpl w:val="EEDC3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486203"/>
    <w:multiLevelType w:val="hybridMultilevel"/>
    <w:tmpl w:val="90385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84130"/>
    <w:multiLevelType w:val="hybridMultilevel"/>
    <w:tmpl w:val="9B4678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C23743"/>
    <w:multiLevelType w:val="multilevel"/>
    <w:tmpl w:val="0108127E"/>
    <w:lvl w:ilvl="0">
      <w:start w:val="1"/>
      <w:numFmt w:val="upperLetter"/>
      <w:pStyle w:val="AnnexHeading1"/>
      <w:suff w:val="space"/>
      <w:lvlText w:val="Annex %1."/>
      <w:lvlJc w:val="left"/>
      <w:pPr>
        <w:ind w:left="227" w:hanging="227"/>
      </w:pPr>
      <w:rPr>
        <w:rFonts w:hint="default"/>
      </w:rPr>
    </w:lvl>
    <w:lvl w:ilvl="1">
      <w:start w:val="1"/>
      <w:numFmt w:val="decimal"/>
      <w:pStyle w:val="AnnexHeading2"/>
      <w:lvlText w:val="%1.%2"/>
      <w:lvlJc w:val="left"/>
      <w:pPr>
        <w:tabs>
          <w:tab w:val="num" w:pos="576"/>
        </w:tabs>
        <w:ind w:left="576" w:hanging="576"/>
      </w:pPr>
      <w:rPr>
        <w:rFonts w:hint="default"/>
      </w:rPr>
    </w:lvl>
    <w:lvl w:ilvl="2">
      <w:start w:val="1"/>
      <w:numFmt w:val="decimal"/>
      <w:pStyle w:val="Annex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A43A42"/>
    <w:multiLevelType w:val="hybridMultilevel"/>
    <w:tmpl w:val="57B061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52CD7"/>
    <w:multiLevelType w:val="hybridMultilevel"/>
    <w:tmpl w:val="B330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B3A19"/>
    <w:multiLevelType w:val="hybridMultilevel"/>
    <w:tmpl w:val="3090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A59ED"/>
    <w:multiLevelType w:val="hybridMultilevel"/>
    <w:tmpl w:val="696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B0800"/>
    <w:multiLevelType w:val="hybridMultilevel"/>
    <w:tmpl w:val="3C24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4A73CE"/>
    <w:multiLevelType w:val="hybridMultilevel"/>
    <w:tmpl w:val="0C56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30C6E"/>
    <w:multiLevelType w:val="hybridMultilevel"/>
    <w:tmpl w:val="F8F09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C122A2"/>
    <w:multiLevelType w:val="multilevel"/>
    <w:tmpl w:val="2730A7CC"/>
    <w:lvl w:ilvl="0">
      <w:start w:val="1"/>
      <w:numFmt w:val="upperLetter"/>
      <w:pStyle w:val="HeadingAnnexA"/>
      <w:suff w:val="space"/>
      <w:lvlText w:val="Annex %1."/>
      <w:lvlJc w:val="left"/>
      <w:pPr>
        <w:ind w:left="432" w:hanging="432"/>
      </w:pPr>
      <w:rPr>
        <w:rFonts w:hint="default"/>
      </w:rPr>
    </w:lvl>
    <w:lvl w:ilvl="1">
      <w:start w:val="1"/>
      <w:numFmt w:val="decimal"/>
      <w:pStyle w:val="HeadingAnnexB"/>
      <w:lvlText w:val="%1.%2"/>
      <w:lvlJc w:val="left"/>
      <w:pPr>
        <w:ind w:left="576" w:hanging="576"/>
      </w:pPr>
      <w:rPr>
        <w:rFonts w:hint="default"/>
      </w:rPr>
    </w:lvl>
    <w:lvl w:ilvl="2">
      <w:start w:val="1"/>
      <w:numFmt w:val="decimal"/>
      <w:pStyle w:val="HeadingAnnexC"/>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1E45DE8"/>
    <w:multiLevelType w:val="hybridMultilevel"/>
    <w:tmpl w:val="0D586F68"/>
    <w:lvl w:ilvl="0" w:tplc="876EE62C">
      <w:start w:val="1"/>
      <w:numFmt w:val="lowerLetter"/>
      <w:pStyle w:val="List-abc"/>
      <w:lvlText w:val="(%1)"/>
      <w:lvlJc w:val="left"/>
      <w:pPr>
        <w:tabs>
          <w:tab w:val="num" w:pos="567"/>
        </w:tabs>
        <w:ind w:left="567" w:hanging="397"/>
      </w:pPr>
      <w:rPr>
        <w:rFonts w:hint="default"/>
      </w:rPr>
    </w:lvl>
    <w:lvl w:ilvl="1" w:tplc="74263B30">
      <w:start w:val="1"/>
      <w:numFmt w:val="lowerLetter"/>
      <w:pStyle w:val="List-abc"/>
      <w:lvlText w:val="(%2)"/>
      <w:lvlJc w:val="left"/>
      <w:pPr>
        <w:tabs>
          <w:tab w:val="num" w:pos="360"/>
        </w:tabs>
        <w:ind w:left="340" w:hanging="340"/>
      </w:pPr>
      <w:rPr>
        <w:rFonts w:hint="default"/>
      </w:rPr>
    </w:lvl>
    <w:lvl w:ilvl="2" w:tplc="40D0F65E">
      <w:start w:val="1"/>
      <w:numFmt w:val="bullet"/>
      <w:lvlText w:val=""/>
      <w:lvlJc w:val="left"/>
      <w:pPr>
        <w:tabs>
          <w:tab w:val="num" w:pos="360"/>
        </w:tabs>
        <w:ind w:left="340" w:hanging="340"/>
      </w:pPr>
      <w:rPr>
        <w:rFonts w:ascii="Symbol" w:hAnsi="Symbol" w:hint="default"/>
      </w:rPr>
    </w:lvl>
    <w:lvl w:ilvl="3" w:tplc="5692A2CC">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ED4984"/>
    <w:multiLevelType w:val="hybridMultilevel"/>
    <w:tmpl w:val="29C4C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0E160A"/>
    <w:multiLevelType w:val="hybridMultilevel"/>
    <w:tmpl w:val="5750F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F6730"/>
    <w:multiLevelType w:val="hybridMultilevel"/>
    <w:tmpl w:val="C6A665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4C7B5B"/>
    <w:multiLevelType w:val="hybridMultilevel"/>
    <w:tmpl w:val="5F1AE8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BD5A2B"/>
    <w:multiLevelType w:val="hybridMultilevel"/>
    <w:tmpl w:val="FA681A10"/>
    <w:lvl w:ilvl="0" w:tplc="1AE4161A">
      <w:start w:val="1"/>
      <w:numFmt w:val="bullet"/>
      <w:pStyle w:val="BulletedBasic"/>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FE1EE1"/>
    <w:multiLevelType w:val="hybridMultilevel"/>
    <w:tmpl w:val="F00241B8"/>
    <w:lvl w:ilvl="0" w:tplc="AE3CAF80">
      <w:start w:val="1"/>
      <w:numFmt w:val="decimal"/>
      <w:lvlText w:val="%1."/>
      <w:lvlJc w:val="left"/>
      <w:pPr>
        <w:ind w:left="420" w:hanging="360"/>
      </w:pPr>
      <w:rPr>
        <w:rFonts w:ascii="Arial" w:eastAsiaTheme="minorHAnsi" w:hAnsi="Arial" w:cstheme="minorBidi"/>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2E5124DF"/>
    <w:multiLevelType w:val="hybridMultilevel"/>
    <w:tmpl w:val="59AA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A35AB3"/>
    <w:multiLevelType w:val="hybridMultilevel"/>
    <w:tmpl w:val="A1F0E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B349F"/>
    <w:multiLevelType w:val="hybridMultilevel"/>
    <w:tmpl w:val="B8EC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6D59C5"/>
    <w:multiLevelType w:val="hybridMultilevel"/>
    <w:tmpl w:val="262E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304E9"/>
    <w:multiLevelType w:val="hybridMultilevel"/>
    <w:tmpl w:val="98D22224"/>
    <w:lvl w:ilvl="0" w:tplc="75D29C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3D11BF"/>
    <w:multiLevelType w:val="hybridMultilevel"/>
    <w:tmpl w:val="1A32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B15528"/>
    <w:multiLevelType w:val="hybridMultilevel"/>
    <w:tmpl w:val="678619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5A68F6"/>
    <w:multiLevelType w:val="hybridMultilevel"/>
    <w:tmpl w:val="80AA57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50D45C0"/>
    <w:multiLevelType w:val="hybridMultilevel"/>
    <w:tmpl w:val="1F7AEA6E"/>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6A6E0A"/>
    <w:multiLevelType w:val="hybridMultilevel"/>
    <w:tmpl w:val="9AC2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F1CD9"/>
    <w:multiLevelType w:val="hybridMultilevel"/>
    <w:tmpl w:val="EFA4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280852"/>
    <w:multiLevelType w:val="hybridMultilevel"/>
    <w:tmpl w:val="B67E8A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DE21F3"/>
    <w:multiLevelType w:val="multilevel"/>
    <w:tmpl w:val="F41EC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851B41"/>
    <w:multiLevelType w:val="hybridMultilevel"/>
    <w:tmpl w:val="753AA7F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15:restartNumberingAfterBreak="0">
    <w:nsid w:val="5F9B7E82"/>
    <w:multiLevelType w:val="hybridMultilevel"/>
    <w:tmpl w:val="2C3E9E62"/>
    <w:lvl w:ilvl="0" w:tplc="81BEE9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3E502EB"/>
    <w:multiLevelType w:val="hybridMultilevel"/>
    <w:tmpl w:val="1F3A59FA"/>
    <w:lvl w:ilvl="0" w:tplc="0C090017">
      <w:start w:val="1"/>
      <w:numFmt w:val="lowerLetter"/>
      <w:lvlText w:val="%1)"/>
      <w:lvlJc w:val="lef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37" w15:restartNumberingAfterBreak="0">
    <w:nsid w:val="63E936E0"/>
    <w:multiLevelType w:val="hybridMultilevel"/>
    <w:tmpl w:val="D6AE5C9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8" w15:restartNumberingAfterBreak="0">
    <w:nsid w:val="65A00032"/>
    <w:multiLevelType w:val="hybridMultilevel"/>
    <w:tmpl w:val="348E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0055C"/>
    <w:multiLevelType w:val="hybridMultilevel"/>
    <w:tmpl w:val="C5305CAE"/>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6318C1"/>
    <w:multiLevelType w:val="hybridMultilevel"/>
    <w:tmpl w:val="B86237C4"/>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D530CA"/>
    <w:multiLevelType w:val="hybridMultilevel"/>
    <w:tmpl w:val="BE6842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8D581E"/>
    <w:multiLevelType w:val="hybridMultilevel"/>
    <w:tmpl w:val="A1E41B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117554D"/>
    <w:multiLevelType w:val="hybridMultilevel"/>
    <w:tmpl w:val="736A2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36231"/>
    <w:multiLevelType w:val="hybridMultilevel"/>
    <w:tmpl w:val="7FEE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953A9"/>
    <w:multiLevelType w:val="hybridMultilevel"/>
    <w:tmpl w:val="7DA0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C41996"/>
    <w:multiLevelType w:val="hybridMultilevel"/>
    <w:tmpl w:val="A462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3"/>
  </w:num>
  <w:num w:numId="4">
    <w:abstractNumId w:val="46"/>
  </w:num>
  <w:num w:numId="5">
    <w:abstractNumId w:val="10"/>
  </w:num>
  <w:num w:numId="6">
    <w:abstractNumId w:val="17"/>
  </w:num>
  <w:num w:numId="7">
    <w:abstractNumId w:val="7"/>
  </w:num>
  <w:num w:numId="8">
    <w:abstractNumId w:val="27"/>
  </w:num>
  <w:num w:numId="9">
    <w:abstractNumId w:val="26"/>
  </w:num>
  <w:num w:numId="10">
    <w:abstractNumId w:val="45"/>
  </w:num>
  <w:num w:numId="11">
    <w:abstractNumId w:val="13"/>
  </w:num>
  <w:num w:numId="12">
    <w:abstractNumId w:val="21"/>
  </w:num>
  <w:num w:numId="13">
    <w:abstractNumId w:val="22"/>
  </w:num>
  <w:num w:numId="14">
    <w:abstractNumId w:val="36"/>
  </w:num>
  <w:num w:numId="15">
    <w:abstractNumId w:val="14"/>
  </w:num>
  <w:num w:numId="16">
    <w:abstractNumId w:val="6"/>
  </w:num>
  <w:num w:numId="17">
    <w:abstractNumId w:val="5"/>
  </w:num>
  <w:num w:numId="18">
    <w:abstractNumId w:val="41"/>
  </w:num>
  <w:num w:numId="19">
    <w:abstractNumId w:val="30"/>
  </w:num>
  <w:num w:numId="20">
    <w:abstractNumId w:val="16"/>
  </w:num>
  <w:num w:numId="21">
    <w:abstractNumId w:val="4"/>
  </w:num>
  <w:num w:numId="22">
    <w:abstractNumId w:val="29"/>
  </w:num>
  <w:num w:numId="23">
    <w:abstractNumId w:val="40"/>
  </w:num>
  <w:num w:numId="24">
    <w:abstractNumId w:val="19"/>
  </w:num>
  <w:num w:numId="25">
    <w:abstractNumId w:val="8"/>
  </w:num>
  <w:num w:numId="26">
    <w:abstractNumId w:val="44"/>
  </w:num>
  <w:num w:numId="27">
    <w:abstractNumId w:val="23"/>
  </w:num>
  <w:num w:numId="28">
    <w:abstractNumId w:val="39"/>
  </w:num>
  <w:num w:numId="29">
    <w:abstractNumId w:val="28"/>
  </w:num>
  <w:num w:numId="30">
    <w:abstractNumId w:val="42"/>
  </w:num>
  <w:num w:numId="31">
    <w:abstractNumId w:val="32"/>
  </w:num>
  <w:num w:numId="32">
    <w:abstractNumId w:val="35"/>
  </w:num>
  <w:num w:numId="33">
    <w:abstractNumId w:val="11"/>
  </w:num>
  <w:num w:numId="34">
    <w:abstractNumId w:val="2"/>
  </w:num>
  <w:num w:numId="35">
    <w:abstractNumId w:val="25"/>
  </w:num>
  <w:num w:numId="36">
    <w:abstractNumId w:val="38"/>
  </w:num>
  <w:num w:numId="37">
    <w:abstractNumId w:val="24"/>
  </w:num>
  <w:num w:numId="38">
    <w:abstractNumId w:val="9"/>
  </w:num>
  <w:num w:numId="39">
    <w:abstractNumId w:val="3"/>
  </w:num>
  <w:num w:numId="40">
    <w:abstractNumId w:val="18"/>
  </w:num>
  <w:num w:numId="41">
    <w:abstractNumId w:val="20"/>
  </w:num>
  <w:num w:numId="42">
    <w:abstractNumId w:val="31"/>
  </w:num>
  <w:num w:numId="43">
    <w:abstractNumId w:val="15"/>
  </w:num>
  <w:num w:numId="44">
    <w:abstractNumId w:val="37"/>
  </w:num>
  <w:num w:numId="45">
    <w:abstractNumId w:val="34"/>
  </w:num>
  <w:num w:numId="46">
    <w:abstractNumId w:val="12"/>
  </w:num>
  <w:num w:numId="47">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3ECC"/>
    <w:rsid w:val="00015A21"/>
    <w:rsid w:val="0003316F"/>
    <w:rsid w:val="00037EBB"/>
    <w:rsid w:val="00045FB0"/>
    <w:rsid w:val="000507AF"/>
    <w:rsid w:val="00060611"/>
    <w:rsid w:val="000618E0"/>
    <w:rsid w:val="000630E7"/>
    <w:rsid w:val="00066CF5"/>
    <w:rsid w:val="00080B8B"/>
    <w:rsid w:val="0009219B"/>
    <w:rsid w:val="00092808"/>
    <w:rsid w:val="000A1794"/>
    <w:rsid w:val="000B4D39"/>
    <w:rsid w:val="000C6B69"/>
    <w:rsid w:val="000D14D7"/>
    <w:rsid w:val="000D2B10"/>
    <w:rsid w:val="000D6822"/>
    <w:rsid w:val="000F3142"/>
    <w:rsid w:val="000F7194"/>
    <w:rsid w:val="0010041D"/>
    <w:rsid w:val="00115251"/>
    <w:rsid w:val="00133643"/>
    <w:rsid w:val="00135276"/>
    <w:rsid w:val="0014168D"/>
    <w:rsid w:val="00157679"/>
    <w:rsid w:val="00157B03"/>
    <w:rsid w:val="00162639"/>
    <w:rsid w:val="00163B54"/>
    <w:rsid w:val="00174670"/>
    <w:rsid w:val="00180315"/>
    <w:rsid w:val="00192601"/>
    <w:rsid w:val="001971D4"/>
    <w:rsid w:val="001973A6"/>
    <w:rsid w:val="00197929"/>
    <w:rsid w:val="001A25AE"/>
    <w:rsid w:val="001A2DC6"/>
    <w:rsid w:val="001A7C82"/>
    <w:rsid w:val="001A7F48"/>
    <w:rsid w:val="001B27A0"/>
    <w:rsid w:val="001C35CE"/>
    <w:rsid w:val="001D2986"/>
    <w:rsid w:val="001E2BB0"/>
    <w:rsid w:val="001F307D"/>
    <w:rsid w:val="001F37AD"/>
    <w:rsid w:val="001F76EA"/>
    <w:rsid w:val="00201A80"/>
    <w:rsid w:val="0022001F"/>
    <w:rsid w:val="00223049"/>
    <w:rsid w:val="002300AC"/>
    <w:rsid w:val="002337B7"/>
    <w:rsid w:val="002441D4"/>
    <w:rsid w:val="00244596"/>
    <w:rsid w:val="002554D2"/>
    <w:rsid w:val="0026206A"/>
    <w:rsid w:val="00263E00"/>
    <w:rsid w:val="00274838"/>
    <w:rsid w:val="00290FAC"/>
    <w:rsid w:val="00291414"/>
    <w:rsid w:val="002940E2"/>
    <w:rsid w:val="0029562D"/>
    <w:rsid w:val="002A36E8"/>
    <w:rsid w:val="002A4998"/>
    <w:rsid w:val="002B0DC9"/>
    <w:rsid w:val="002B1712"/>
    <w:rsid w:val="002B57BF"/>
    <w:rsid w:val="002D0549"/>
    <w:rsid w:val="002D1FCF"/>
    <w:rsid w:val="002D3954"/>
    <w:rsid w:val="002D4200"/>
    <w:rsid w:val="002D7C81"/>
    <w:rsid w:val="002E14EA"/>
    <w:rsid w:val="002E201E"/>
    <w:rsid w:val="002F65AF"/>
    <w:rsid w:val="003008C6"/>
    <w:rsid w:val="003029AE"/>
    <w:rsid w:val="00304674"/>
    <w:rsid w:val="00304F04"/>
    <w:rsid w:val="00306686"/>
    <w:rsid w:val="00306FC9"/>
    <w:rsid w:val="003142C0"/>
    <w:rsid w:val="00315D60"/>
    <w:rsid w:val="00320D75"/>
    <w:rsid w:val="00325CFD"/>
    <w:rsid w:val="00327AD8"/>
    <w:rsid w:val="00332865"/>
    <w:rsid w:val="00335A12"/>
    <w:rsid w:val="00342045"/>
    <w:rsid w:val="00345B43"/>
    <w:rsid w:val="003537DA"/>
    <w:rsid w:val="0036131E"/>
    <w:rsid w:val="00362175"/>
    <w:rsid w:val="003623DA"/>
    <w:rsid w:val="003627E7"/>
    <w:rsid w:val="00375E18"/>
    <w:rsid w:val="0038442D"/>
    <w:rsid w:val="003851C5"/>
    <w:rsid w:val="003B2752"/>
    <w:rsid w:val="003B7C24"/>
    <w:rsid w:val="003C70FC"/>
    <w:rsid w:val="003D1219"/>
    <w:rsid w:val="003D2172"/>
    <w:rsid w:val="003D5B04"/>
    <w:rsid w:val="003D7AFB"/>
    <w:rsid w:val="003E3E2E"/>
    <w:rsid w:val="003E446D"/>
    <w:rsid w:val="003F3DDD"/>
    <w:rsid w:val="00402E42"/>
    <w:rsid w:val="00407ECA"/>
    <w:rsid w:val="004111E9"/>
    <w:rsid w:val="004140CC"/>
    <w:rsid w:val="00414A92"/>
    <w:rsid w:val="00415433"/>
    <w:rsid w:val="0041789E"/>
    <w:rsid w:val="00431E5F"/>
    <w:rsid w:val="004361A9"/>
    <w:rsid w:val="00436B60"/>
    <w:rsid w:val="00436EDF"/>
    <w:rsid w:val="004417C6"/>
    <w:rsid w:val="00446BDF"/>
    <w:rsid w:val="00452BA6"/>
    <w:rsid w:val="00454276"/>
    <w:rsid w:val="00462D07"/>
    <w:rsid w:val="00463DCB"/>
    <w:rsid w:val="00463ED6"/>
    <w:rsid w:val="00474050"/>
    <w:rsid w:val="0048132B"/>
    <w:rsid w:val="00481FE8"/>
    <w:rsid w:val="00496887"/>
    <w:rsid w:val="00496F76"/>
    <w:rsid w:val="004A3232"/>
    <w:rsid w:val="004B149C"/>
    <w:rsid w:val="004B5199"/>
    <w:rsid w:val="004C0E21"/>
    <w:rsid w:val="004C790F"/>
    <w:rsid w:val="004D4434"/>
    <w:rsid w:val="00500B0E"/>
    <w:rsid w:val="00534281"/>
    <w:rsid w:val="0054201D"/>
    <w:rsid w:val="00546E9A"/>
    <w:rsid w:val="00552605"/>
    <w:rsid w:val="00554522"/>
    <w:rsid w:val="005642F2"/>
    <w:rsid w:val="00572BB0"/>
    <w:rsid w:val="00582B2E"/>
    <w:rsid w:val="00585806"/>
    <w:rsid w:val="00593A97"/>
    <w:rsid w:val="005A5030"/>
    <w:rsid w:val="005B6110"/>
    <w:rsid w:val="005C7B36"/>
    <w:rsid w:val="005C7D1B"/>
    <w:rsid w:val="005D0228"/>
    <w:rsid w:val="005D5605"/>
    <w:rsid w:val="005D76D0"/>
    <w:rsid w:val="005E4FC8"/>
    <w:rsid w:val="005E6FB9"/>
    <w:rsid w:val="005F1934"/>
    <w:rsid w:val="005F66DA"/>
    <w:rsid w:val="00602C92"/>
    <w:rsid w:val="00604BD7"/>
    <w:rsid w:val="0061772C"/>
    <w:rsid w:val="006247C9"/>
    <w:rsid w:val="00631390"/>
    <w:rsid w:val="006353EC"/>
    <w:rsid w:val="0064275F"/>
    <w:rsid w:val="006447AA"/>
    <w:rsid w:val="00644D92"/>
    <w:rsid w:val="0065571B"/>
    <w:rsid w:val="00664D9C"/>
    <w:rsid w:val="0067103F"/>
    <w:rsid w:val="006711C3"/>
    <w:rsid w:val="00674A3D"/>
    <w:rsid w:val="00684AAF"/>
    <w:rsid w:val="0068754D"/>
    <w:rsid w:val="00691FFC"/>
    <w:rsid w:val="006959A7"/>
    <w:rsid w:val="006A13B9"/>
    <w:rsid w:val="006C1AF3"/>
    <w:rsid w:val="006C2852"/>
    <w:rsid w:val="006D6890"/>
    <w:rsid w:val="0070071E"/>
    <w:rsid w:val="00713A68"/>
    <w:rsid w:val="00714652"/>
    <w:rsid w:val="00723B30"/>
    <w:rsid w:val="007359BD"/>
    <w:rsid w:val="00736469"/>
    <w:rsid w:val="00736FF1"/>
    <w:rsid w:val="00741084"/>
    <w:rsid w:val="00746356"/>
    <w:rsid w:val="00746DD7"/>
    <w:rsid w:val="00752606"/>
    <w:rsid w:val="00754739"/>
    <w:rsid w:val="0077285E"/>
    <w:rsid w:val="007731AE"/>
    <w:rsid w:val="0077739A"/>
    <w:rsid w:val="0079225E"/>
    <w:rsid w:val="00793927"/>
    <w:rsid w:val="007A7B0A"/>
    <w:rsid w:val="007B7052"/>
    <w:rsid w:val="007B78B3"/>
    <w:rsid w:val="007C031E"/>
    <w:rsid w:val="007C176B"/>
    <w:rsid w:val="007C1886"/>
    <w:rsid w:val="007D5271"/>
    <w:rsid w:val="007D7B17"/>
    <w:rsid w:val="007D7CFA"/>
    <w:rsid w:val="007E6DD6"/>
    <w:rsid w:val="007F182C"/>
    <w:rsid w:val="00804239"/>
    <w:rsid w:val="00810B9F"/>
    <w:rsid w:val="008217DE"/>
    <w:rsid w:val="00821F44"/>
    <w:rsid w:val="00822068"/>
    <w:rsid w:val="00827272"/>
    <w:rsid w:val="00850038"/>
    <w:rsid w:val="008558AB"/>
    <w:rsid w:val="00861D18"/>
    <w:rsid w:val="00873E90"/>
    <w:rsid w:val="008774B5"/>
    <w:rsid w:val="008776BE"/>
    <w:rsid w:val="0088639D"/>
    <w:rsid w:val="00887C58"/>
    <w:rsid w:val="008A52F7"/>
    <w:rsid w:val="008C221E"/>
    <w:rsid w:val="008C3184"/>
    <w:rsid w:val="008C6F57"/>
    <w:rsid w:val="008D0FC1"/>
    <w:rsid w:val="008D6BD8"/>
    <w:rsid w:val="008E373F"/>
    <w:rsid w:val="008E74EB"/>
    <w:rsid w:val="008F0501"/>
    <w:rsid w:val="008F7A13"/>
    <w:rsid w:val="00900E8E"/>
    <w:rsid w:val="009105FC"/>
    <w:rsid w:val="0091217A"/>
    <w:rsid w:val="00931290"/>
    <w:rsid w:val="00931CD7"/>
    <w:rsid w:val="00933301"/>
    <w:rsid w:val="00933B9B"/>
    <w:rsid w:val="00941CEE"/>
    <w:rsid w:val="00943603"/>
    <w:rsid w:val="00952B67"/>
    <w:rsid w:val="00956813"/>
    <w:rsid w:val="00965A82"/>
    <w:rsid w:val="00975726"/>
    <w:rsid w:val="00986DB5"/>
    <w:rsid w:val="00991FDD"/>
    <w:rsid w:val="009929D2"/>
    <w:rsid w:val="00997A11"/>
    <w:rsid w:val="009A0EF0"/>
    <w:rsid w:val="009A2ACD"/>
    <w:rsid w:val="009A45D0"/>
    <w:rsid w:val="009B2342"/>
    <w:rsid w:val="009B35E0"/>
    <w:rsid w:val="009C26B9"/>
    <w:rsid w:val="009C5E0D"/>
    <w:rsid w:val="009D0773"/>
    <w:rsid w:val="009D2FA6"/>
    <w:rsid w:val="009D5DEB"/>
    <w:rsid w:val="009D7BB6"/>
    <w:rsid w:val="009F42F0"/>
    <w:rsid w:val="00A15E8B"/>
    <w:rsid w:val="00A1654B"/>
    <w:rsid w:val="00A25D11"/>
    <w:rsid w:val="00A30BF8"/>
    <w:rsid w:val="00A3548D"/>
    <w:rsid w:val="00A35CF0"/>
    <w:rsid w:val="00A36E5E"/>
    <w:rsid w:val="00A4168B"/>
    <w:rsid w:val="00A43756"/>
    <w:rsid w:val="00A470E8"/>
    <w:rsid w:val="00A505D2"/>
    <w:rsid w:val="00A51E16"/>
    <w:rsid w:val="00A52444"/>
    <w:rsid w:val="00A53C62"/>
    <w:rsid w:val="00A54F54"/>
    <w:rsid w:val="00A57EE3"/>
    <w:rsid w:val="00A639B4"/>
    <w:rsid w:val="00A7097B"/>
    <w:rsid w:val="00A72837"/>
    <w:rsid w:val="00A74695"/>
    <w:rsid w:val="00A84081"/>
    <w:rsid w:val="00A847B6"/>
    <w:rsid w:val="00A84E4B"/>
    <w:rsid w:val="00A8596C"/>
    <w:rsid w:val="00A85BA1"/>
    <w:rsid w:val="00A935D0"/>
    <w:rsid w:val="00A93E3E"/>
    <w:rsid w:val="00A9462A"/>
    <w:rsid w:val="00A94867"/>
    <w:rsid w:val="00AA1FEC"/>
    <w:rsid w:val="00AA28A8"/>
    <w:rsid w:val="00AB0D3D"/>
    <w:rsid w:val="00AE1ABC"/>
    <w:rsid w:val="00AF16DC"/>
    <w:rsid w:val="00AF350C"/>
    <w:rsid w:val="00B04A7D"/>
    <w:rsid w:val="00B07038"/>
    <w:rsid w:val="00B158B7"/>
    <w:rsid w:val="00B17511"/>
    <w:rsid w:val="00B21092"/>
    <w:rsid w:val="00B25152"/>
    <w:rsid w:val="00B32EF1"/>
    <w:rsid w:val="00B34B49"/>
    <w:rsid w:val="00B35AFA"/>
    <w:rsid w:val="00B405A5"/>
    <w:rsid w:val="00B43AE5"/>
    <w:rsid w:val="00B456F7"/>
    <w:rsid w:val="00B526AB"/>
    <w:rsid w:val="00B52932"/>
    <w:rsid w:val="00B536C3"/>
    <w:rsid w:val="00B83001"/>
    <w:rsid w:val="00B840BE"/>
    <w:rsid w:val="00B84379"/>
    <w:rsid w:val="00B867CC"/>
    <w:rsid w:val="00B95BD2"/>
    <w:rsid w:val="00B979BC"/>
    <w:rsid w:val="00BA700A"/>
    <w:rsid w:val="00BB34ED"/>
    <w:rsid w:val="00BB4ADA"/>
    <w:rsid w:val="00BC26DA"/>
    <w:rsid w:val="00BC2B88"/>
    <w:rsid w:val="00BC7090"/>
    <w:rsid w:val="00BD2A87"/>
    <w:rsid w:val="00BD4853"/>
    <w:rsid w:val="00BD7D92"/>
    <w:rsid w:val="00C15CB4"/>
    <w:rsid w:val="00C405C1"/>
    <w:rsid w:val="00C41A1B"/>
    <w:rsid w:val="00C55555"/>
    <w:rsid w:val="00C7121A"/>
    <w:rsid w:val="00C74A08"/>
    <w:rsid w:val="00C76356"/>
    <w:rsid w:val="00C7775C"/>
    <w:rsid w:val="00C87E2B"/>
    <w:rsid w:val="00C953E4"/>
    <w:rsid w:val="00CA26A7"/>
    <w:rsid w:val="00CA558B"/>
    <w:rsid w:val="00CB2680"/>
    <w:rsid w:val="00CB4A2D"/>
    <w:rsid w:val="00CB6D46"/>
    <w:rsid w:val="00CC24B1"/>
    <w:rsid w:val="00CC2DCE"/>
    <w:rsid w:val="00CC545B"/>
    <w:rsid w:val="00CC7875"/>
    <w:rsid w:val="00CD1FD8"/>
    <w:rsid w:val="00CD2638"/>
    <w:rsid w:val="00CD2916"/>
    <w:rsid w:val="00CD5D8F"/>
    <w:rsid w:val="00D00664"/>
    <w:rsid w:val="00D00CB2"/>
    <w:rsid w:val="00D0105E"/>
    <w:rsid w:val="00D0156B"/>
    <w:rsid w:val="00D076D5"/>
    <w:rsid w:val="00D11AC2"/>
    <w:rsid w:val="00D164ED"/>
    <w:rsid w:val="00D35B33"/>
    <w:rsid w:val="00D4522B"/>
    <w:rsid w:val="00D466AD"/>
    <w:rsid w:val="00D53BED"/>
    <w:rsid w:val="00D54442"/>
    <w:rsid w:val="00D56100"/>
    <w:rsid w:val="00D56B5B"/>
    <w:rsid w:val="00D57C05"/>
    <w:rsid w:val="00D603BA"/>
    <w:rsid w:val="00D67261"/>
    <w:rsid w:val="00D70572"/>
    <w:rsid w:val="00D77E5A"/>
    <w:rsid w:val="00D8285C"/>
    <w:rsid w:val="00D86844"/>
    <w:rsid w:val="00D87BC8"/>
    <w:rsid w:val="00D97978"/>
    <w:rsid w:val="00DA0FCE"/>
    <w:rsid w:val="00DA684B"/>
    <w:rsid w:val="00DC1F3E"/>
    <w:rsid w:val="00DC774F"/>
    <w:rsid w:val="00DD0576"/>
    <w:rsid w:val="00DF1D1F"/>
    <w:rsid w:val="00DF25D9"/>
    <w:rsid w:val="00E218B6"/>
    <w:rsid w:val="00E26417"/>
    <w:rsid w:val="00E470C5"/>
    <w:rsid w:val="00E47FB1"/>
    <w:rsid w:val="00E54B90"/>
    <w:rsid w:val="00E5525A"/>
    <w:rsid w:val="00E56A90"/>
    <w:rsid w:val="00E704F2"/>
    <w:rsid w:val="00E72774"/>
    <w:rsid w:val="00E81FB7"/>
    <w:rsid w:val="00E9295C"/>
    <w:rsid w:val="00E92C3B"/>
    <w:rsid w:val="00EA5C22"/>
    <w:rsid w:val="00EB0248"/>
    <w:rsid w:val="00EB26FA"/>
    <w:rsid w:val="00EB4C00"/>
    <w:rsid w:val="00EB636B"/>
    <w:rsid w:val="00EB6B77"/>
    <w:rsid w:val="00ED17D8"/>
    <w:rsid w:val="00ED406D"/>
    <w:rsid w:val="00ED7C92"/>
    <w:rsid w:val="00EE276A"/>
    <w:rsid w:val="00EF6BC7"/>
    <w:rsid w:val="00F0381C"/>
    <w:rsid w:val="00F11C75"/>
    <w:rsid w:val="00F2393F"/>
    <w:rsid w:val="00F23ADF"/>
    <w:rsid w:val="00F25F29"/>
    <w:rsid w:val="00F31149"/>
    <w:rsid w:val="00F31C05"/>
    <w:rsid w:val="00F6773F"/>
    <w:rsid w:val="00F74CE3"/>
    <w:rsid w:val="00F813C2"/>
    <w:rsid w:val="00F84800"/>
    <w:rsid w:val="00F94218"/>
    <w:rsid w:val="00F96D1E"/>
    <w:rsid w:val="00FA2BAF"/>
    <w:rsid w:val="00FA46D9"/>
    <w:rsid w:val="00FA70E8"/>
    <w:rsid w:val="00FB0809"/>
    <w:rsid w:val="00FB22BD"/>
    <w:rsid w:val="00FB7E86"/>
    <w:rsid w:val="00FC70DE"/>
    <w:rsid w:val="00FC7615"/>
    <w:rsid w:val="00FD3717"/>
    <w:rsid w:val="00FD5DE8"/>
    <w:rsid w:val="00FD741D"/>
    <w:rsid w:val="00FE24C4"/>
    <w:rsid w:val="00FE6AF0"/>
    <w:rsid w:val="00FE7FBB"/>
    <w:rsid w:val="00FF3BD1"/>
    <w:rsid w:val="00FF5510"/>
    <w:rsid w:val="00FF63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1441"/>
    <o:shapelayout v:ext="edit">
      <o:idmap v:ext="edit" data="1"/>
    </o:shapelayout>
  </w:shapeDefaults>
  <w:decimalSymbol w:val="."/>
  <w:listSeparator w:val=","/>
  <w14:docId w14:val="74E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E8"/>
    <w:pPr>
      <w:spacing w:after="120"/>
    </w:pPr>
    <w:rPr>
      <w:rFonts w:ascii="Arial" w:hAnsi="Arial"/>
      <w:sz w:val="20"/>
    </w:rPr>
  </w:style>
  <w:style w:type="paragraph" w:styleId="Heading1">
    <w:name w:val="heading 1"/>
    <w:basedOn w:val="Normal"/>
    <w:next w:val="Normal"/>
    <w:link w:val="Heading1Char"/>
    <w:uiPriority w:val="9"/>
    <w:qFormat/>
    <w:rsid w:val="008776BE"/>
    <w:pPr>
      <w:keepNext/>
      <w:keepLines/>
      <w:numPr>
        <w:numId w:val="3"/>
      </w:numPr>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numPr>
        <w:ilvl w:val="1"/>
        <w:numId w:val="3"/>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numPr>
        <w:ilvl w:val="2"/>
        <w:numId w:val="3"/>
      </w:numPr>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numPr>
        <w:ilvl w:val="3"/>
        <w:numId w:val="3"/>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numPr>
        <w:ilvl w:val="4"/>
        <w:numId w:val="3"/>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57B03"/>
    <w:pPr>
      <w:keepNext/>
      <w:keepLines/>
      <w:numPr>
        <w:ilvl w:val="5"/>
        <w:numId w:val="3"/>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57B03"/>
    <w:pPr>
      <w:keepNext/>
      <w:keepLines/>
      <w:numPr>
        <w:ilvl w:val="6"/>
        <w:numId w:val="3"/>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57B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B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5726"/>
    <w:pPr>
      <w:spacing w:after="0" w:line="240" w:lineRule="auto"/>
    </w:p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9105FC"/>
    <w:pPr>
      <w:tabs>
        <w:tab w:val="left" w:pos="400"/>
        <w:tab w:val="right" w:leader="dot" w:pos="9736"/>
      </w:tabs>
      <w:spacing w:after="100"/>
    </w:pPr>
    <w:rPr>
      <w:noProof/>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1B27A0"/>
    <w:pPr>
      <w:spacing w:before="120" w:line="240" w:lineRule="auto"/>
    </w:pPr>
    <w:rPr>
      <w:bCs/>
      <w:color w:val="A6192E" w:themeColor="accent1"/>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092808"/>
    <w:pPr>
      <w:numPr>
        <w:numId w:val="0"/>
      </w:num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1B27A0"/>
    <w:pPr>
      <w:spacing w:after="0" w:line="240" w:lineRule="auto"/>
      <w:jc w:val="center"/>
    </w:pPr>
    <w:rPr>
      <w:rFonts w:eastAsia="Times New Roman" w:cs="Times New Roman"/>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paragraph" w:customStyle="1" w:styleId="BodyText1">
    <w:name w:val="Body Text1"/>
    <w:basedOn w:val="Normal"/>
    <w:rsid w:val="00D54442"/>
    <w:pPr>
      <w:overflowPunct w:val="0"/>
      <w:autoSpaceDE w:val="0"/>
      <w:autoSpaceDN w:val="0"/>
      <w:adjustRightInd w:val="0"/>
      <w:spacing w:line="240" w:lineRule="auto"/>
      <w:textAlignment w:val="baseline"/>
    </w:pPr>
    <w:rPr>
      <w:rFonts w:eastAsia="Times New Roman" w:cs="Times New Roman"/>
      <w:szCs w:val="20"/>
    </w:rPr>
  </w:style>
  <w:style w:type="paragraph" w:customStyle="1" w:styleId="Note">
    <w:name w:val="Note"/>
    <w:basedOn w:val="Normal"/>
    <w:link w:val="NoteChar"/>
    <w:qFormat/>
    <w:rsid w:val="007B78B3"/>
    <w:pPr>
      <w:keepLines/>
      <w:spacing w:before="40"/>
      <w:ind w:left="794" w:hanging="794"/>
    </w:pPr>
    <w:rPr>
      <w:color w:val="663830"/>
    </w:rPr>
  </w:style>
  <w:style w:type="character" w:customStyle="1" w:styleId="NoteChar">
    <w:name w:val="Note Char"/>
    <w:basedOn w:val="Heading2Char"/>
    <w:link w:val="Note"/>
    <w:rsid w:val="007B78B3"/>
    <w:rPr>
      <w:rFonts w:asciiTheme="majorHAnsi" w:eastAsiaTheme="majorEastAsia" w:hAnsiTheme="majorHAnsi" w:cstheme="majorBidi"/>
      <w:b w:val="0"/>
      <w:bCs w:val="0"/>
      <w:color w:val="663830"/>
      <w:sz w:val="20"/>
      <w:szCs w:val="26"/>
    </w:rPr>
  </w:style>
  <w:style w:type="character" w:styleId="PlaceholderText">
    <w:name w:val="Placeholder Text"/>
    <w:basedOn w:val="DefaultParagraphFont"/>
    <w:uiPriority w:val="99"/>
    <w:semiHidden/>
    <w:rsid w:val="00290FAC"/>
    <w:rPr>
      <w:color w:val="808080"/>
    </w:rPr>
  </w:style>
  <w:style w:type="paragraph" w:customStyle="1" w:styleId="HeadingAnnexA">
    <w:name w:val="Heading Annex A"/>
    <w:basedOn w:val="Heading1"/>
    <w:next w:val="Normal"/>
    <w:qFormat/>
    <w:rsid w:val="002D0549"/>
    <w:pPr>
      <w:numPr>
        <w:numId w:val="11"/>
      </w:numPr>
      <w:jc w:val="center"/>
    </w:pPr>
  </w:style>
  <w:style w:type="paragraph" w:customStyle="1" w:styleId="HeadingAnnexB">
    <w:name w:val="Heading Annex B"/>
    <w:basedOn w:val="Heading2"/>
    <w:next w:val="Normal"/>
    <w:qFormat/>
    <w:rsid w:val="002D0549"/>
    <w:pPr>
      <w:numPr>
        <w:numId w:val="11"/>
      </w:numPr>
    </w:pPr>
  </w:style>
  <w:style w:type="paragraph" w:customStyle="1" w:styleId="HeadingAnnexC">
    <w:name w:val="Heading Annex C"/>
    <w:basedOn w:val="Heading3"/>
    <w:next w:val="Normal"/>
    <w:qFormat/>
    <w:rsid w:val="002D0549"/>
    <w:pPr>
      <w:numPr>
        <w:numId w:val="11"/>
      </w:numPr>
    </w:pPr>
  </w:style>
  <w:style w:type="paragraph" w:customStyle="1" w:styleId="List-abc">
    <w:name w:val="List-abc"/>
    <w:basedOn w:val="BodyText"/>
    <w:rsid w:val="006959A7"/>
    <w:pPr>
      <w:numPr>
        <w:ilvl w:val="1"/>
        <w:numId w:val="15"/>
      </w:numPr>
      <w:spacing w:line="240" w:lineRule="auto"/>
      <w:ind w:left="425" w:hanging="425"/>
      <w:contextualSpacing/>
    </w:pPr>
    <w:rPr>
      <w:rFonts w:ascii="Times New Roman" w:eastAsia="Times New Roman" w:hAnsi="Times New Roman" w:cs="Times New Roman"/>
      <w:sz w:val="22"/>
      <w:szCs w:val="20"/>
    </w:rPr>
  </w:style>
  <w:style w:type="paragraph" w:customStyle="1" w:styleId="TestTableText">
    <w:name w:val="TestTableText"/>
    <w:basedOn w:val="TableText"/>
    <w:qFormat/>
    <w:rsid w:val="006A13B9"/>
    <w:pPr>
      <w:keepNext/>
      <w:spacing w:before="60" w:after="60"/>
      <w:jc w:val="left"/>
    </w:pPr>
  </w:style>
  <w:style w:type="paragraph" w:customStyle="1" w:styleId="AnnexHeading1">
    <w:name w:val="AnnexHeading1"/>
    <w:basedOn w:val="Normal"/>
    <w:rsid w:val="0077285E"/>
    <w:pPr>
      <w:keepNext/>
      <w:widowControl w:val="0"/>
      <w:numPr>
        <w:numId w:val="17"/>
      </w:numPr>
      <w:tabs>
        <w:tab w:val="left" w:pos="567"/>
      </w:tabs>
      <w:spacing w:line="240" w:lineRule="auto"/>
      <w:ind w:left="0" w:firstLine="0"/>
      <w:jc w:val="center"/>
      <w:outlineLvl w:val="0"/>
    </w:pPr>
    <w:rPr>
      <w:rFonts w:eastAsia="Times New Roman" w:cs="Times New Roman"/>
      <w:b/>
      <w:caps/>
      <w:kern w:val="28"/>
      <w:szCs w:val="20"/>
    </w:rPr>
  </w:style>
  <w:style w:type="paragraph" w:customStyle="1" w:styleId="AnnexHeading2">
    <w:name w:val="AnnexHeading2"/>
    <w:basedOn w:val="Heading2"/>
    <w:rsid w:val="0077285E"/>
    <w:pPr>
      <w:keepLines w:val="0"/>
      <w:numPr>
        <w:numId w:val="17"/>
      </w:numPr>
      <w:tabs>
        <w:tab w:val="clear" w:pos="576"/>
        <w:tab w:val="left" w:pos="567"/>
      </w:tabs>
      <w:spacing w:before="120" w:after="120" w:line="240" w:lineRule="auto"/>
      <w:ind w:left="567" w:hanging="567"/>
    </w:pPr>
    <w:rPr>
      <w:rFonts w:ascii="Arial Bold" w:eastAsia="Times New Roman" w:hAnsi="Arial Bold" w:cs="Times New Roman"/>
      <w:bCs w:val="0"/>
      <w:snapToGrid w:val="0"/>
      <w:color w:val="000000"/>
      <w:sz w:val="20"/>
      <w:szCs w:val="20"/>
    </w:rPr>
  </w:style>
  <w:style w:type="paragraph" w:customStyle="1" w:styleId="AnnexHeading3">
    <w:name w:val="AnnexHeading3"/>
    <w:basedOn w:val="Heading3"/>
    <w:rsid w:val="0077285E"/>
    <w:pPr>
      <w:keepLines w:val="0"/>
      <w:numPr>
        <w:numId w:val="17"/>
      </w:numPr>
      <w:tabs>
        <w:tab w:val="clear" w:pos="720"/>
        <w:tab w:val="left" w:pos="567"/>
      </w:tabs>
      <w:spacing w:before="120" w:after="60" w:line="240" w:lineRule="auto"/>
      <w:ind w:left="567" w:hanging="567"/>
    </w:pPr>
    <w:rPr>
      <w:rFonts w:ascii="Arial" w:eastAsia="Times New Roman" w:hAnsi="Arial" w:cs="Times New Roman"/>
      <w:bCs w:val="0"/>
      <w:color w:val="auto"/>
      <w:sz w:val="18"/>
      <w:szCs w:val="20"/>
    </w:rPr>
  </w:style>
  <w:style w:type="paragraph" w:customStyle="1" w:styleId="TableTextBody">
    <w:name w:val="TableTextBody"/>
    <w:basedOn w:val="BodyText"/>
    <w:rsid w:val="0077285E"/>
    <w:pPr>
      <w:overflowPunct w:val="0"/>
      <w:autoSpaceDE w:val="0"/>
      <w:autoSpaceDN w:val="0"/>
      <w:adjustRightInd w:val="0"/>
      <w:spacing w:before="40" w:after="40" w:line="240" w:lineRule="auto"/>
      <w:textAlignment w:val="baseline"/>
    </w:pPr>
    <w:rPr>
      <w:rFonts w:ascii="Times New Roman" w:eastAsia="Times New Roman" w:hAnsi="Times New Roman" w:cs="Times New Roman"/>
      <w:sz w:val="22"/>
      <w:szCs w:val="20"/>
    </w:rPr>
  </w:style>
  <w:style w:type="paragraph" w:customStyle="1" w:styleId="List-123-abc">
    <w:name w:val="List-123-abc"/>
    <w:basedOn w:val="Normal"/>
    <w:rsid w:val="00F96D1E"/>
    <w:pPr>
      <w:tabs>
        <w:tab w:val="left" w:pos="425"/>
      </w:tabs>
      <w:spacing w:line="240" w:lineRule="auto"/>
    </w:pPr>
    <w:rPr>
      <w:rFonts w:ascii="Times New Roman" w:eastAsia="Times New Roman" w:hAnsi="Times New Roman" w:cs="Times New Roman"/>
      <w:sz w:val="22"/>
      <w:lang w:val="en-US"/>
    </w:rPr>
  </w:style>
  <w:style w:type="paragraph" w:customStyle="1" w:styleId="BulletedBasic">
    <w:name w:val="BulletedBasic"/>
    <w:basedOn w:val="BodyText"/>
    <w:rsid w:val="001D2986"/>
    <w:pPr>
      <w:numPr>
        <w:numId w:val="24"/>
      </w:numPr>
      <w:tabs>
        <w:tab w:val="clear" w:pos="720"/>
      </w:tabs>
      <w:spacing w:line="240" w:lineRule="auto"/>
      <w:ind w:left="284" w:hanging="284"/>
      <w:contextualSpacing/>
    </w:pPr>
    <w:rPr>
      <w:rFonts w:ascii="Times New Roman" w:eastAsia="Times New Roman" w:hAnsi="Times New Roman" w:cs="Times New Roman"/>
      <w:sz w:val="22"/>
      <w:szCs w:val="20"/>
    </w:rPr>
  </w:style>
  <w:style w:type="paragraph" w:customStyle="1" w:styleId="BodyText2">
    <w:name w:val="Body Text2"/>
    <w:basedOn w:val="Normal"/>
    <w:link w:val="BodytextChar0"/>
    <w:rsid w:val="00345B43"/>
    <w:pPr>
      <w:overflowPunct w:val="0"/>
      <w:autoSpaceDE w:val="0"/>
      <w:autoSpaceDN w:val="0"/>
      <w:adjustRightInd w:val="0"/>
      <w:spacing w:line="240" w:lineRule="auto"/>
      <w:textAlignment w:val="baseline"/>
    </w:pPr>
    <w:rPr>
      <w:rFonts w:ascii="Times New Roman" w:eastAsia="Times New Roman" w:hAnsi="Times New Roman" w:cs="Times New Roman"/>
      <w:sz w:val="22"/>
      <w:szCs w:val="20"/>
    </w:rPr>
  </w:style>
  <w:style w:type="character" w:customStyle="1" w:styleId="BodytextChar0">
    <w:name w:val="Body text Char"/>
    <w:basedOn w:val="DefaultParagraphFont"/>
    <w:link w:val="BodyText2"/>
    <w:rsid w:val="00345B4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B22BD"/>
    <w:rPr>
      <w:sz w:val="16"/>
      <w:szCs w:val="16"/>
    </w:rPr>
  </w:style>
  <w:style w:type="paragraph" w:styleId="CommentText">
    <w:name w:val="annotation text"/>
    <w:basedOn w:val="Normal"/>
    <w:link w:val="CommentTextChar"/>
    <w:uiPriority w:val="99"/>
    <w:unhideWhenUsed/>
    <w:rsid w:val="00FB22BD"/>
    <w:pPr>
      <w:spacing w:line="240" w:lineRule="auto"/>
    </w:pPr>
    <w:rPr>
      <w:szCs w:val="20"/>
    </w:rPr>
  </w:style>
  <w:style w:type="character" w:customStyle="1" w:styleId="CommentTextChar">
    <w:name w:val="Comment Text Char"/>
    <w:basedOn w:val="DefaultParagraphFont"/>
    <w:link w:val="CommentText"/>
    <w:uiPriority w:val="99"/>
    <w:rsid w:val="00FB22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2BD"/>
    <w:rPr>
      <w:b/>
      <w:bCs/>
    </w:rPr>
  </w:style>
  <w:style w:type="character" w:customStyle="1" w:styleId="CommentSubjectChar">
    <w:name w:val="Comment Subject Char"/>
    <w:basedOn w:val="CommentTextChar"/>
    <w:link w:val="CommentSubject"/>
    <w:uiPriority w:val="99"/>
    <w:semiHidden/>
    <w:rsid w:val="00FB22BD"/>
    <w:rPr>
      <w:rFonts w:ascii="Arial" w:hAnsi="Arial"/>
      <w:b/>
      <w:bCs/>
      <w:sz w:val="20"/>
      <w:szCs w:val="20"/>
    </w:rPr>
  </w:style>
  <w:style w:type="paragraph" w:styleId="TOC4">
    <w:name w:val="toc 4"/>
    <w:basedOn w:val="Normal"/>
    <w:next w:val="Normal"/>
    <w:autoRedefine/>
    <w:uiPriority w:val="39"/>
    <w:unhideWhenUsed/>
    <w:rsid w:val="00B158B7"/>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B158B7"/>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158B7"/>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158B7"/>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158B7"/>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158B7"/>
    <w:pPr>
      <w:spacing w:after="100" w:line="259" w:lineRule="auto"/>
      <w:ind w:left="1760"/>
    </w:pPr>
    <w:rPr>
      <w:rFonts w:asciiTheme="minorHAnsi" w:eastAsiaTheme="minorEastAsia" w:hAnsiTheme="minorHAnsi"/>
      <w:sz w:val="22"/>
      <w:lang w:eastAsia="en-AU"/>
    </w:rPr>
  </w:style>
  <w:style w:type="paragraph" w:styleId="Revision">
    <w:name w:val="Revision"/>
    <w:hidden/>
    <w:uiPriority w:val="99"/>
    <w:semiHidden/>
    <w:rsid w:val="00900E8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5FD0-5249-4B5B-B30D-B094B0C5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11921</Words>
  <Characters>67954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2022-08-16T06:24:00Z</dcterms:created>
  <dcterms:modified xsi:type="dcterms:W3CDTF">2022-08-16T06:24:00Z</dcterms:modified>
</cp:coreProperties>
</file>