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B99ED" w14:textId="09762CE0" w:rsidR="00D076D5" w:rsidRDefault="00D076D5" w:rsidP="00CC2DCE">
      <w:pPr>
        <w:pStyle w:val="Title"/>
        <w:spacing w:before="4480"/>
        <w:ind w:left="907" w:right="663"/>
      </w:pPr>
      <w:bookmarkStart w:id="0" w:name="_GoBack"/>
      <w:bookmarkEnd w:id="0"/>
      <w:r>
        <w:t>N</w:t>
      </w:r>
      <w:r w:rsidR="00133643">
        <w:t>M</w:t>
      </w:r>
      <w:r>
        <w:t>I</w:t>
      </w:r>
      <w:r w:rsidR="00133643">
        <w:t xml:space="preserve"> M </w:t>
      </w:r>
      <w:r w:rsidR="00D60C0B">
        <w:t>13</w:t>
      </w:r>
      <w:r w:rsidR="00B2040F">
        <w:t>-1</w:t>
      </w:r>
    </w:p>
    <w:p w14:paraId="37CCCCA6" w14:textId="36411182" w:rsidR="00975726" w:rsidRDefault="00045FB0" w:rsidP="00CC2DCE">
      <w:pPr>
        <w:pStyle w:val="Title"/>
        <w:spacing w:before="4480"/>
        <w:ind w:left="907" w:right="663"/>
      </w:pPr>
      <w:r>
        <w:t>Active-</w:t>
      </w:r>
      <w:r w:rsidR="00FF7005">
        <w:t>e</w:t>
      </w:r>
      <w:r>
        <w:t xml:space="preserve">nergy </w:t>
      </w:r>
      <w:r w:rsidR="00FF7005">
        <w:t>e</w:t>
      </w:r>
      <w:r w:rsidR="00C953E4">
        <w:t xml:space="preserve">lectricity </w:t>
      </w:r>
      <w:r w:rsidR="00FF7005">
        <w:t>m</w:t>
      </w:r>
      <w:r w:rsidR="00C953E4">
        <w:t>eters</w:t>
      </w:r>
      <w:r w:rsidR="00A548E5">
        <w:t xml:space="preserve"> (a.c.)</w:t>
      </w:r>
    </w:p>
    <w:p w14:paraId="4EFAD542" w14:textId="26332C24" w:rsidR="00E75543" w:rsidRPr="00573A8D" w:rsidRDefault="00957363" w:rsidP="00573A8D">
      <w:pPr>
        <w:ind w:left="896"/>
        <w:rPr>
          <w:color w:val="939598"/>
          <w:sz w:val="52"/>
          <w:szCs w:val="52"/>
        </w:rPr>
      </w:pPr>
      <w:r w:rsidRPr="00573A8D">
        <w:rPr>
          <w:color w:val="939598"/>
          <w:sz w:val="52"/>
          <w:szCs w:val="52"/>
        </w:rPr>
        <w:t xml:space="preserve">Part 1: </w:t>
      </w:r>
      <w:r w:rsidR="00E75543" w:rsidRPr="00573A8D">
        <w:rPr>
          <w:color w:val="939598"/>
          <w:sz w:val="52"/>
          <w:szCs w:val="52"/>
        </w:rPr>
        <w:t>Metrological and technical requirements</w:t>
      </w:r>
    </w:p>
    <w:p w14:paraId="128F069E" w14:textId="77777777" w:rsidR="003D47EF" w:rsidRDefault="003D47EF" w:rsidP="00E75543">
      <w:pPr>
        <w:ind w:left="896" w:firstLine="11"/>
        <w:rPr>
          <w:b/>
          <w:sz w:val="24"/>
        </w:rPr>
      </w:pPr>
    </w:p>
    <w:p w14:paraId="02220F89" w14:textId="08F4EC73" w:rsidR="00573A8D" w:rsidRPr="00573A8D" w:rsidRDefault="00DA6B6E" w:rsidP="00573A8D">
      <w:pPr>
        <w:ind w:left="896"/>
        <w:rPr>
          <w:color w:val="939598"/>
          <w:sz w:val="28"/>
        </w:rPr>
      </w:pPr>
      <w:r>
        <w:rPr>
          <w:color w:val="939598"/>
          <w:sz w:val="28"/>
        </w:rPr>
        <w:t>Based on</w:t>
      </w:r>
      <w:r w:rsidR="00573A8D" w:rsidRPr="00573A8D">
        <w:rPr>
          <w:color w:val="939598"/>
          <w:sz w:val="28"/>
        </w:rPr>
        <w:t>:</w:t>
      </w:r>
    </w:p>
    <w:p w14:paraId="479EACD3" w14:textId="77777777" w:rsidR="00573A8D" w:rsidRDefault="003D47EF" w:rsidP="00573A8D">
      <w:pPr>
        <w:ind w:left="896"/>
        <w:rPr>
          <w:color w:val="939598"/>
          <w:sz w:val="28"/>
        </w:rPr>
      </w:pPr>
      <w:r w:rsidRPr="00573A8D">
        <w:rPr>
          <w:color w:val="939598"/>
          <w:sz w:val="28"/>
        </w:rPr>
        <w:t>AS 6205</w:t>
      </w:r>
      <w:r w:rsidR="00573A8D">
        <w:rPr>
          <w:color w:val="939598"/>
          <w:sz w:val="28"/>
        </w:rPr>
        <w:t>2.11 (2018)</w:t>
      </w:r>
    </w:p>
    <w:p w14:paraId="0915569E" w14:textId="77777777" w:rsidR="00573A8D" w:rsidRDefault="00573A8D" w:rsidP="00573A8D">
      <w:pPr>
        <w:ind w:left="896"/>
        <w:rPr>
          <w:color w:val="939598"/>
          <w:sz w:val="28"/>
        </w:rPr>
      </w:pPr>
      <w:r>
        <w:rPr>
          <w:color w:val="939598"/>
          <w:sz w:val="28"/>
        </w:rPr>
        <w:t>AS 62053.21 (2018)</w:t>
      </w:r>
    </w:p>
    <w:p w14:paraId="42D5EF3C" w14:textId="12A8A924" w:rsidR="003D47EF" w:rsidRPr="00573A8D" w:rsidRDefault="003D47EF" w:rsidP="00573A8D">
      <w:pPr>
        <w:ind w:left="896"/>
        <w:rPr>
          <w:color w:val="939598"/>
          <w:sz w:val="28"/>
        </w:rPr>
      </w:pPr>
      <w:r w:rsidRPr="00573A8D">
        <w:rPr>
          <w:color w:val="939598"/>
          <w:sz w:val="28"/>
        </w:rPr>
        <w:t>AS 62053.22 (2018)</w:t>
      </w:r>
    </w:p>
    <w:p w14:paraId="479D1D2F" w14:textId="77777777" w:rsidR="008F0501" w:rsidRDefault="008F0501" w:rsidP="008F0501"/>
    <w:p w14:paraId="216E2D52" w14:textId="77777777" w:rsidR="003D47EF" w:rsidRDefault="003D47EF" w:rsidP="008F0501"/>
    <w:p w14:paraId="1ACD6DB8" w14:textId="77777777" w:rsidR="003D47EF" w:rsidRPr="008F0501" w:rsidRDefault="003D47EF" w:rsidP="008F0501"/>
    <w:p w14:paraId="717562AC" w14:textId="38AA4C7C" w:rsidR="00163B54" w:rsidRDefault="00D371B8" w:rsidP="001A25AE">
      <w:pPr>
        <w:pStyle w:val="Subtitle"/>
        <w:ind w:left="910" w:right="662"/>
      </w:pPr>
      <w:r>
        <w:t>June 2022</w:t>
      </w:r>
    </w:p>
    <w:p w14:paraId="3F574F14" w14:textId="77777777" w:rsidR="00602C92" w:rsidRDefault="000250E6" w:rsidP="001A25AE">
      <w:pPr>
        <w:ind w:left="910" w:right="662"/>
        <w:rPr>
          <w:rStyle w:val="Hyperlink"/>
        </w:rPr>
      </w:pPr>
      <w:hyperlink r:id="rId8" w:history="1">
        <w:r w:rsidR="00D076D5" w:rsidRPr="00F36997">
          <w:rPr>
            <w:rStyle w:val="Hyperlink"/>
          </w:rPr>
          <w:t>www.measurement.gov.au</w:t>
        </w:r>
      </w:hyperlink>
      <w:r w:rsidR="00D076D5">
        <w:t xml:space="preserve"> </w:t>
      </w:r>
    </w:p>
    <w:p w14:paraId="13819001" w14:textId="77777777" w:rsidR="001A2DC6" w:rsidRDefault="001A2DC6" w:rsidP="001A25AE">
      <w:pPr>
        <w:ind w:left="993" w:right="804"/>
        <w:rPr>
          <w:rStyle w:val="Hyperlink"/>
        </w:rPr>
      </w:pPr>
    </w:p>
    <w:p w14:paraId="6C7E32C1" w14:textId="77777777" w:rsidR="001A2DC6" w:rsidRDefault="001A2DC6" w:rsidP="00163B54">
      <w:pPr>
        <w:rPr>
          <w:rStyle w:val="Hyperlink"/>
        </w:rPr>
        <w:sectPr w:rsidR="001A2DC6" w:rsidSect="0041789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406DFF63" w14:textId="3BAA762D" w:rsidR="00D076D5" w:rsidRPr="002554D2" w:rsidRDefault="00D076D5" w:rsidP="00D076D5">
      <w:pPr>
        <w:spacing w:after="240"/>
        <w:rPr>
          <w:rFonts w:cs="Arial"/>
        </w:rPr>
      </w:pPr>
      <w:bookmarkStart w:id="1" w:name="_Toc419991345"/>
      <w:r w:rsidRPr="002554D2">
        <w:rPr>
          <w:rFonts w:cs="Arial"/>
        </w:rPr>
        <w:lastRenderedPageBreak/>
        <w:t xml:space="preserve">© Commonwealth of Australia </w:t>
      </w:r>
      <w:r w:rsidR="00E75543">
        <w:rPr>
          <w:rFonts w:cs="Arial"/>
        </w:rPr>
        <w:t>2021</w:t>
      </w:r>
    </w:p>
    <w:p w14:paraId="01EC2D5A" w14:textId="77777777" w:rsidR="002554D2" w:rsidRPr="002554D2" w:rsidRDefault="002554D2" w:rsidP="002554D2">
      <w:pPr>
        <w:tabs>
          <w:tab w:val="left" w:pos="2340"/>
          <w:tab w:val="left" w:pos="2700"/>
        </w:tabs>
        <w:spacing w:after="0"/>
        <w:rPr>
          <w:rFonts w:eastAsia="Times" w:cs="Arial"/>
          <w:b/>
        </w:rPr>
      </w:pPr>
      <w:r w:rsidRPr="002554D2">
        <w:rPr>
          <w:rFonts w:eastAsia="Times" w:cs="Arial"/>
          <w:b/>
        </w:rPr>
        <w:t xml:space="preserve">NMI M </w:t>
      </w:r>
      <w:r>
        <w:rPr>
          <w:rFonts w:eastAsia="Times" w:cs="Arial"/>
          <w:b/>
        </w:rPr>
        <w:t>6-1</w:t>
      </w:r>
    </w:p>
    <w:p w14:paraId="7F9BB66D" w14:textId="158473F1" w:rsidR="00115251" w:rsidRDefault="00115251" w:rsidP="00115251">
      <w:pPr>
        <w:tabs>
          <w:tab w:val="left" w:pos="3119"/>
          <w:tab w:val="left" w:pos="3544"/>
        </w:tabs>
        <w:spacing w:after="0"/>
        <w:rPr>
          <w:rFonts w:eastAsia="Times" w:cs="Arial"/>
          <w:color w:val="000000" w:themeColor="text1"/>
          <w:szCs w:val="20"/>
        </w:rPr>
      </w:pPr>
      <w:r>
        <w:rPr>
          <w:rFonts w:eastAsia="Times" w:cs="Arial"/>
          <w:color w:val="000000" w:themeColor="text1"/>
          <w:szCs w:val="20"/>
        </w:rPr>
        <w:t>Third edition</w:t>
      </w:r>
      <w:r w:rsidR="00E75543">
        <w:rPr>
          <w:rFonts w:eastAsia="Times" w:cs="Arial"/>
          <w:color w:val="000000" w:themeColor="text1"/>
          <w:szCs w:val="20"/>
        </w:rPr>
        <w:t xml:space="preserve"> (Pathway 2)</w:t>
      </w:r>
      <w:r>
        <w:rPr>
          <w:rFonts w:eastAsia="Times" w:cs="Arial"/>
          <w:color w:val="000000" w:themeColor="text1"/>
          <w:szCs w:val="20"/>
        </w:rPr>
        <w:tab/>
        <w:t>—</w:t>
      </w:r>
      <w:r>
        <w:rPr>
          <w:rFonts w:eastAsia="Times" w:cs="Arial"/>
          <w:color w:val="000000" w:themeColor="text1"/>
          <w:szCs w:val="20"/>
        </w:rPr>
        <w:tab/>
      </w:r>
      <w:r w:rsidR="002D1FCF">
        <w:rPr>
          <w:rFonts w:eastAsia="Times" w:cs="Arial"/>
          <w:color w:val="000000" w:themeColor="text1"/>
          <w:szCs w:val="20"/>
        </w:rPr>
        <w:t>July</w:t>
      </w:r>
      <w:r>
        <w:rPr>
          <w:rFonts w:eastAsia="Times" w:cs="Arial"/>
          <w:color w:val="000000" w:themeColor="text1"/>
          <w:szCs w:val="20"/>
        </w:rPr>
        <w:t xml:space="preserve"> 20</w:t>
      </w:r>
      <w:r w:rsidR="002D1FCF">
        <w:rPr>
          <w:rFonts w:eastAsia="Times" w:cs="Arial"/>
          <w:color w:val="000000" w:themeColor="text1"/>
          <w:szCs w:val="20"/>
        </w:rPr>
        <w:t>20</w:t>
      </w:r>
    </w:p>
    <w:p w14:paraId="1560A4FE" w14:textId="15A448DF" w:rsidR="00E75543" w:rsidRPr="00E75543" w:rsidRDefault="00D60C0B" w:rsidP="00115251">
      <w:pPr>
        <w:tabs>
          <w:tab w:val="left" w:pos="3119"/>
          <w:tab w:val="left" w:pos="3544"/>
        </w:tabs>
        <w:spacing w:after="0"/>
        <w:rPr>
          <w:rFonts w:eastAsia="Times" w:cs="Arial"/>
          <w:b/>
          <w:color w:val="000000" w:themeColor="text1"/>
          <w:szCs w:val="20"/>
        </w:rPr>
      </w:pPr>
      <w:r>
        <w:rPr>
          <w:rFonts w:eastAsia="Times" w:cs="Arial"/>
          <w:b/>
          <w:color w:val="000000" w:themeColor="text1"/>
          <w:szCs w:val="20"/>
        </w:rPr>
        <w:t>NMI M 13</w:t>
      </w:r>
      <w:r w:rsidR="00B2040F">
        <w:rPr>
          <w:rFonts w:eastAsia="Times" w:cs="Arial"/>
          <w:b/>
          <w:color w:val="000000" w:themeColor="text1"/>
          <w:szCs w:val="20"/>
        </w:rPr>
        <w:t>-1</w:t>
      </w:r>
    </w:p>
    <w:p w14:paraId="37A65FD8" w14:textId="08BD2D33" w:rsidR="00E75543" w:rsidRDefault="00E75543" w:rsidP="00115251">
      <w:pPr>
        <w:tabs>
          <w:tab w:val="left" w:pos="3119"/>
          <w:tab w:val="left" w:pos="3544"/>
        </w:tabs>
        <w:spacing w:after="0"/>
        <w:rPr>
          <w:rFonts w:eastAsia="Times" w:cs="Arial"/>
          <w:color w:val="000000" w:themeColor="text1"/>
          <w:szCs w:val="20"/>
        </w:rPr>
      </w:pPr>
      <w:r w:rsidRPr="00D371B8">
        <w:rPr>
          <w:rFonts w:eastAsia="Times" w:cs="Arial"/>
          <w:color w:val="000000" w:themeColor="text1"/>
          <w:szCs w:val="20"/>
        </w:rPr>
        <w:t>First edition</w:t>
      </w:r>
      <w:r w:rsidRPr="00D371B8">
        <w:rPr>
          <w:rFonts w:eastAsia="Times" w:cs="Arial"/>
          <w:color w:val="000000" w:themeColor="text1"/>
          <w:szCs w:val="20"/>
        </w:rPr>
        <w:tab/>
        <w:t>—</w:t>
      </w:r>
      <w:r w:rsidRPr="00D371B8">
        <w:rPr>
          <w:rFonts w:eastAsia="Times" w:cs="Arial"/>
          <w:color w:val="000000" w:themeColor="text1"/>
          <w:szCs w:val="20"/>
        </w:rPr>
        <w:tab/>
      </w:r>
      <w:r w:rsidR="00D371B8" w:rsidRPr="00D371B8">
        <w:rPr>
          <w:rFonts w:eastAsia="Times" w:cs="Arial"/>
          <w:color w:val="000000" w:themeColor="text1"/>
          <w:szCs w:val="20"/>
        </w:rPr>
        <w:t>June 2022</w:t>
      </w:r>
    </w:p>
    <w:p w14:paraId="2B302DE3" w14:textId="77777777" w:rsidR="002554D2" w:rsidRPr="002554D2" w:rsidRDefault="002554D2" w:rsidP="002554D2">
      <w:pPr>
        <w:tabs>
          <w:tab w:val="left" w:pos="2700"/>
          <w:tab w:val="left" w:pos="3119"/>
        </w:tabs>
        <w:spacing w:after="0"/>
        <w:rPr>
          <w:rFonts w:eastAsia="Times" w:cs="Arial"/>
          <w:color w:val="000000" w:themeColor="text1"/>
          <w:szCs w:val="20"/>
        </w:rPr>
      </w:pPr>
    </w:p>
    <w:p w14:paraId="26D9FF1E" w14:textId="77777777" w:rsidR="00D076D5" w:rsidRPr="002554D2" w:rsidRDefault="00D076D5" w:rsidP="00D076D5">
      <w:pPr>
        <w:spacing w:after="0"/>
        <w:rPr>
          <w:rFonts w:cs="Arial"/>
        </w:rPr>
      </w:pPr>
      <w:r w:rsidRPr="002554D2">
        <w:rPr>
          <w:rFonts w:cs="Arial"/>
        </w:rPr>
        <w:t>National Measurement Institute</w:t>
      </w:r>
    </w:p>
    <w:p w14:paraId="141CF7FE" w14:textId="77777777" w:rsidR="00D076D5" w:rsidRPr="002554D2" w:rsidRDefault="00D076D5" w:rsidP="00D076D5">
      <w:pPr>
        <w:spacing w:after="0"/>
        <w:rPr>
          <w:rFonts w:cs="Arial"/>
        </w:rPr>
      </w:pPr>
      <w:r w:rsidRPr="002554D2">
        <w:rPr>
          <w:rFonts w:cs="Arial"/>
        </w:rPr>
        <w:t>Bradfield Road, Lindfield, NSW 2070</w:t>
      </w:r>
    </w:p>
    <w:p w14:paraId="366299CD" w14:textId="77777777" w:rsidR="00D076D5" w:rsidRPr="002554D2" w:rsidRDefault="00D076D5" w:rsidP="00D076D5">
      <w:pPr>
        <w:spacing w:before="240" w:after="0"/>
        <w:rPr>
          <w:rFonts w:cs="Arial"/>
        </w:rPr>
      </w:pPr>
      <w:r w:rsidRPr="002554D2">
        <w:rPr>
          <w:rFonts w:cs="Arial"/>
        </w:rPr>
        <w:t>T:</w:t>
      </w:r>
      <w:r w:rsidRPr="002554D2">
        <w:rPr>
          <w:rFonts w:cs="Arial"/>
        </w:rPr>
        <w:tab/>
      </w:r>
      <w:r w:rsidR="001C35CE" w:rsidRPr="002554D2">
        <w:rPr>
          <w:rFonts w:cs="Arial"/>
        </w:rPr>
        <w:t>+</w:t>
      </w:r>
      <w:r w:rsidRPr="002554D2">
        <w:rPr>
          <w:rFonts w:cs="Arial"/>
        </w:rPr>
        <w:t>61 2 8467 3600</w:t>
      </w:r>
    </w:p>
    <w:p w14:paraId="7FB30EBB" w14:textId="77777777" w:rsidR="00D076D5" w:rsidRPr="002554D2" w:rsidRDefault="00D076D5" w:rsidP="00D076D5">
      <w:pPr>
        <w:spacing w:after="0"/>
        <w:rPr>
          <w:rFonts w:cs="Arial"/>
        </w:rPr>
      </w:pPr>
      <w:r w:rsidRPr="002554D2">
        <w:rPr>
          <w:rFonts w:cs="Arial"/>
        </w:rPr>
        <w:t>F:</w:t>
      </w:r>
      <w:r w:rsidRPr="002554D2">
        <w:rPr>
          <w:rFonts w:cs="Arial"/>
        </w:rPr>
        <w:tab/>
      </w:r>
      <w:r w:rsidR="001C35CE" w:rsidRPr="002554D2">
        <w:rPr>
          <w:rFonts w:cs="Arial"/>
        </w:rPr>
        <w:t>+</w:t>
      </w:r>
      <w:r w:rsidRPr="002554D2">
        <w:rPr>
          <w:rFonts w:cs="Arial"/>
        </w:rPr>
        <w:t>61 2 8467 3610</w:t>
      </w:r>
    </w:p>
    <w:p w14:paraId="13492428" w14:textId="7D65EB83" w:rsidR="00D076D5" w:rsidRDefault="00D076D5" w:rsidP="00D076D5">
      <w:pPr>
        <w:spacing w:after="360"/>
        <w:rPr>
          <w:rFonts w:cs="Arial"/>
        </w:rPr>
      </w:pPr>
      <w:r w:rsidRPr="002554D2">
        <w:rPr>
          <w:rFonts w:cs="Arial"/>
        </w:rPr>
        <w:t>W:</w:t>
      </w:r>
      <w:r w:rsidRPr="002554D2">
        <w:rPr>
          <w:rFonts w:cs="Arial"/>
        </w:rPr>
        <w:tab/>
      </w:r>
      <w:hyperlink r:id="rId15" w:history="1">
        <w:r w:rsidR="00501F9E" w:rsidRPr="00AD6F2B">
          <w:rPr>
            <w:rStyle w:val="Hyperlink"/>
            <w:rFonts w:cs="Arial"/>
          </w:rPr>
          <w:t>www.measurement.gov.au</w:t>
        </w:r>
      </w:hyperlink>
    </w:p>
    <w:p w14:paraId="5901EB57" w14:textId="578FB08F" w:rsidR="00501F9E" w:rsidRPr="002554D2" w:rsidRDefault="00501F9E" w:rsidP="00501F9E">
      <w:pPr>
        <w:pStyle w:val="Heading1-NoNumber"/>
        <w:spacing w:before="360"/>
        <w:rPr>
          <w:rFonts w:cs="Arial"/>
        </w:rPr>
      </w:pPr>
      <w:bookmarkStart w:id="2" w:name="_Toc379896808"/>
      <w:bookmarkStart w:id="3" w:name="_Toc501004031"/>
      <w:bookmarkStart w:id="4" w:name="_Toc85486011"/>
      <w:r w:rsidRPr="00060611">
        <w:t>Amendments</w:t>
      </w:r>
      <w:bookmarkEnd w:id="2"/>
      <w:bookmarkEnd w:id="3"/>
      <w:bookmarkEnd w:id="4"/>
    </w:p>
    <w:tbl>
      <w:tblPr>
        <w:tblStyle w:val="LightList-Accent1"/>
        <w:tblpPr w:leftFromText="181" w:rightFromText="181" w:bottomFromText="425" w:vertAnchor="text" w:tblpY="1"/>
        <w:tblOverlap w:val="never"/>
        <w:tblW w:w="0" w:type="auto"/>
        <w:tblCellMar>
          <w:top w:w="28" w:type="dxa"/>
          <w:bottom w:w="28" w:type="dxa"/>
        </w:tblCellMar>
        <w:tblLook w:val="04A0" w:firstRow="1" w:lastRow="0" w:firstColumn="1" w:lastColumn="0" w:noHBand="0" w:noVBand="1"/>
      </w:tblPr>
      <w:tblGrid>
        <w:gridCol w:w="539"/>
        <w:gridCol w:w="695"/>
        <w:gridCol w:w="1166"/>
        <w:gridCol w:w="7326"/>
      </w:tblGrid>
      <w:tr w:rsidR="00501F9E" w:rsidRPr="00060611" w14:paraId="436F13A1" w14:textId="77777777" w:rsidTr="00467B89">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7810EB1" w14:textId="77777777" w:rsidR="00501F9E" w:rsidRPr="00060611" w:rsidRDefault="00501F9E" w:rsidP="00501F9E">
            <w:pPr>
              <w:spacing w:after="0"/>
            </w:pPr>
            <w:r w:rsidRPr="00060611">
              <w:t>No.</w:t>
            </w:r>
          </w:p>
        </w:tc>
        <w:tc>
          <w:tcPr>
            <w:tcW w:w="0" w:type="auto"/>
            <w:vAlign w:val="center"/>
          </w:tcPr>
          <w:p w14:paraId="0D1D7997" w14:textId="77777777" w:rsidR="00501F9E" w:rsidRPr="00060611" w:rsidRDefault="00501F9E" w:rsidP="00501F9E">
            <w:pPr>
              <w:spacing w:after="0"/>
              <w:cnfStyle w:val="100000000000" w:firstRow="1" w:lastRow="0" w:firstColumn="0" w:lastColumn="0" w:oddVBand="0" w:evenVBand="0" w:oddHBand="0" w:evenHBand="0" w:firstRowFirstColumn="0" w:firstRowLastColumn="0" w:lastRowFirstColumn="0" w:lastRowLastColumn="0"/>
            </w:pPr>
            <w:r w:rsidRPr="00060611">
              <w:t>Page</w:t>
            </w:r>
          </w:p>
        </w:tc>
        <w:tc>
          <w:tcPr>
            <w:tcW w:w="1166" w:type="dxa"/>
            <w:vAlign w:val="center"/>
          </w:tcPr>
          <w:p w14:paraId="3ECE4ECD" w14:textId="77777777" w:rsidR="00501F9E" w:rsidRPr="00060611" w:rsidRDefault="00501F9E" w:rsidP="00501F9E">
            <w:pPr>
              <w:spacing w:after="0"/>
              <w:cnfStyle w:val="100000000000" w:firstRow="1" w:lastRow="0" w:firstColumn="0" w:lastColumn="0" w:oddVBand="0" w:evenVBand="0" w:oddHBand="0" w:evenHBand="0" w:firstRowFirstColumn="0" w:firstRowLastColumn="0" w:lastRowFirstColumn="0" w:lastRowLastColumn="0"/>
            </w:pPr>
            <w:r w:rsidRPr="00060611">
              <w:t>Location</w:t>
            </w:r>
          </w:p>
        </w:tc>
        <w:tc>
          <w:tcPr>
            <w:tcW w:w="7326" w:type="dxa"/>
            <w:vAlign w:val="center"/>
          </w:tcPr>
          <w:p w14:paraId="0BB1EA1D" w14:textId="77777777" w:rsidR="00501F9E" w:rsidRPr="00060611" w:rsidRDefault="00501F9E" w:rsidP="00501F9E">
            <w:pPr>
              <w:spacing w:after="0"/>
              <w:cnfStyle w:val="100000000000" w:firstRow="1" w:lastRow="0" w:firstColumn="0" w:lastColumn="0" w:oddVBand="0" w:evenVBand="0" w:oddHBand="0" w:evenHBand="0" w:firstRowFirstColumn="0" w:firstRowLastColumn="0" w:lastRowFirstColumn="0" w:lastRowLastColumn="0"/>
            </w:pPr>
            <w:r w:rsidRPr="00060611">
              <w:t>Details of change</w:t>
            </w:r>
          </w:p>
        </w:tc>
      </w:tr>
      <w:tr w:rsidR="00501F9E" w:rsidRPr="00060611" w14:paraId="5875BBC4" w14:textId="77777777" w:rsidTr="00467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750F111" w14:textId="77777777" w:rsidR="00501F9E" w:rsidRPr="00060611" w:rsidRDefault="00501F9E" w:rsidP="00501F9E">
            <w:pPr>
              <w:spacing w:after="0"/>
              <w:rPr>
                <w:b w:val="0"/>
              </w:rPr>
            </w:pPr>
            <w:r w:rsidRPr="00060611">
              <w:rPr>
                <w:b w:val="0"/>
              </w:rPr>
              <w:t>1</w:t>
            </w:r>
          </w:p>
        </w:tc>
        <w:tc>
          <w:tcPr>
            <w:tcW w:w="0" w:type="auto"/>
          </w:tcPr>
          <w:p w14:paraId="173CCA08" w14:textId="77777777" w:rsidR="00501F9E" w:rsidRPr="00060611" w:rsidRDefault="00501F9E" w:rsidP="00501F9E">
            <w:pPr>
              <w:spacing w:after="0"/>
              <w:jc w:val="center"/>
              <w:cnfStyle w:val="000000100000" w:firstRow="0" w:lastRow="0" w:firstColumn="0" w:lastColumn="0" w:oddVBand="0" w:evenVBand="0" w:oddHBand="1" w:evenHBand="0" w:firstRowFirstColumn="0" w:firstRowLastColumn="0" w:lastRowFirstColumn="0" w:lastRowLastColumn="0"/>
            </w:pPr>
            <w:r>
              <w:t>N/A</w:t>
            </w:r>
          </w:p>
        </w:tc>
        <w:tc>
          <w:tcPr>
            <w:tcW w:w="1166" w:type="dxa"/>
          </w:tcPr>
          <w:p w14:paraId="121F58DF" w14:textId="77777777" w:rsidR="00501F9E" w:rsidRPr="00060611" w:rsidRDefault="00501F9E" w:rsidP="00501F9E">
            <w:pPr>
              <w:spacing w:after="0"/>
              <w:cnfStyle w:val="000000100000" w:firstRow="0" w:lastRow="0" w:firstColumn="0" w:lastColumn="0" w:oddVBand="0" w:evenVBand="0" w:oddHBand="1" w:evenHBand="0" w:firstRowFirstColumn="0" w:firstRowLastColumn="0" w:lastRowFirstColumn="0" w:lastRowLastColumn="0"/>
            </w:pPr>
            <w:r>
              <w:t>General</w:t>
            </w:r>
          </w:p>
        </w:tc>
        <w:tc>
          <w:tcPr>
            <w:tcW w:w="7326" w:type="dxa"/>
          </w:tcPr>
          <w:p w14:paraId="57A10CD2" w14:textId="438063CE" w:rsidR="00501F9E" w:rsidRPr="00060611" w:rsidRDefault="005F51FF" w:rsidP="005F51FF">
            <w:pPr>
              <w:spacing w:after="0"/>
              <w:cnfStyle w:val="000000100000" w:firstRow="0" w:lastRow="0" w:firstColumn="0" w:lastColumn="0" w:oddVBand="0" w:evenVBand="0" w:oddHBand="1" w:evenHBand="0" w:firstRowFirstColumn="0" w:firstRowLastColumn="0" w:lastRowFirstColumn="0" w:lastRowLastColumn="0"/>
            </w:pPr>
            <w:r>
              <w:t>This document specifies pathway 2, now separated from NMI M 6-1</w:t>
            </w:r>
            <w:r w:rsidR="00501F9E">
              <w:t>.</w:t>
            </w:r>
          </w:p>
        </w:tc>
      </w:tr>
      <w:tr w:rsidR="00501F9E" w:rsidRPr="00060611" w14:paraId="624FF687" w14:textId="77777777" w:rsidTr="00467B89">
        <w:tc>
          <w:tcPr>
            <w:cnfStyle w:val="001000000000" w:firstRow="0" w:lastRow="0" w:firstColumn="1" w:lastColumn="0" w:oddVBand="0" w:evenVBand="0" w:oddHBand="0" w:evenHBand="0" w:firstRowFirstColumn="0" w:firstRowLastColumn="0" w:lastRowFirstColumn="0" w:lastRowLastColumn="0"/>
            <w:tcW w:w="0" w:type="auto"/>
          </w:tcPr>
          <w:p w14:paraId="37B12220" w14:textId="02F6B8D1" w:rsidR="00501F9E" w:rsidRPr="005F51FF" w:rsidRDefault="005F51FF" w:rsidP="00501F9E">
            <w:pPr>
              <w:spacing w:after="0"/>
              <w:rPr>
                <w:b w:val="0"/>
              </w:rPr>
            </w:pPr>
            <w:r w:rsidRPr="005F51FF">
              <w:rPr>
                <w:b w:val="0"/>
              </w:rPr>
              <w:t>2</w:t>
            </w:r>
          </w:p>
        </w:tc>
        <w:tc>
          <w:tcPr>
            <w:tcW w:w="0" w:type="auto"/>
          </w:tcPr>
          <w:p w14:paraId="2176E9E3" w14:textId="4E1CD47C" w:rsidR="00501F9E" w:rsidRPr="005F51FF" w:rsidRDefault="005F51FF" w:rsidP="00501F9E">
            <w:pPr>
              <w:spacing w:after="0"/>
              <w:jc w:val="center"/>
              <w:cnfStyle w:val="000000000000" w:firstRow="0" w:lastRow="0" w:firstColumn="0" w:lastColumn="0" w:oddVBand="0" w:evenVBand="0" w:oddHBand="0" w:evenHBand="0" w:firstRowFirstColumn="0" w:firstRowLastColumn="0" w:lastRowFirstColumn="0" w:lastRowLastColumn="0"/>
            </w:pPr>
            <w:r>
              <w:t>1</w:t>
            </w:r>
          </w:p>
        </w:tc>
        <w:tc>
          <w:tcPr>
            <w:tcW w:w="1166" w:type="dxa"/>
          </w:tcPr>
          <w:p w14:paraId="69F76F25" w14:textId="349436C8" w:rsidR="00501F9E" w:rsidRPr="005F51FF" w:rsidRDefault="005F51FF" w:rsidP="00501F9E">
            <w:pPr>
              <w:spacing w:after="0"/>
              <w:cnfStyle w:val="000000000000" w:firstRow="0" w:lastRow="0" w:firstColumn="0" w:lastColumn="0" w:oddVBand="0" w:evenVBand="0" w:oddHBand="0" w:evenHBand="0" w:firstRowFirstColumn="0" w:firstRowLastColumn="0" w:lastRowFirstColumn="0" w:lastRowLastColumn="0"/>
            </w:pPr>
            <w:r>
              <w:t>1.1</w:t>
            </w:r>
          </w:p>
        </w:tc>
        <w:tc>
          <w:tcPr>
            <w:tcW w:w="7326" w:type="dxa"/>
          </w:tcPr>
          <w:p w14:paraId="546FDBCC" w14:textId="4B79FA48" w:rsidR="00501F9E" w:rsidRPr="005F51FF" w:rsidRDefault="005F51FF" w:rsidP="00501F9E">
            <w:pPr>
              <w:spacing w:after="0"/>
              <w:cnfStyle w:val="000000000000" w:firstRow="0" w:lastRow="0" w:firstColumn="0" w:lastColumn="0" w:oddVBand="0" w:evenVBand="0" w:oddHBand="0" w:evenHBand="0" w:firstRowFirstColumn="0" w:firstRowLastColumn="0" w:lastRowFirstColumn="0" w:lastRowLastColumn="0"/>
            </w:pPr>
            <w:r>
              <w:t>Updated ‘Scope’ to clarify this document only applies to alternating current (a.c.).</w:t>
            </w:r>
          </w:p>
        </w:tc>
      </w:tr>
      <w:tr w:rsidR="00501F9E" w:rsidRPr="00060611" w14:paraId="3A57DAEE" w14:textId="77777777" w:rsidTr="00467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22F727D" w14:textId="06E825D3" w:rsidR="00501F9E" w:rsidRPr="005F51FF" w:rsidRDefault="00477F43" w:rsidP="00501F9E">
            <w:pPr>
              <w:spacing w:after="0"/>
              <w:rPr>
                <w:b w:val="0"/>
              </w:rPr>
            </w:pPr>
            <w:r>
              <w:rPr>
                <w:b w:val="0"/>
              </w:rPr>
              <w:t>3</w:t>
            </w:r>
          </w:p>
        </w:tc>
        <w:tc>
          <w:tcPr>
            <w:tcW w:w="0" w:type="auto"/>
          </w:tcPr>
          <w:p w14:paraId="7147CE05" w14:textId="12FFC77A" w:rsidR="00501F9E" w:rsidRPr="005F51FF" w:rsidRDefault="00477F43" w:rsidP="00501F9E">
            <w:pPr>
              <w:spacing w:after="0"/>
              <w:jc w:val="center"/>
              <w:cnfStyle w:val="000000100000" w:firstRow="0" w:lastRow="0" w:firstColumn="0" w:lastColumn="0" w:oddVBand="0" w:evenVBand="0" w:oddHBand="1" w:evenHBand="0" w:firstRowFirstColumn="0" w:firstRowLastColumn="0" w:lastRowFirstColumn="0" w:lastRowLastColumn="0"/>
            </w:pPr>
            <w:r>
              <w:t>4</w:t>
            </w:r>
          </w:p>
        </w:tc>
        <w:tc>
          <w:tcPr>
            <w:tcW w:w="1166" w:type="dxa"/>
          </w:tcPr>
          <w:p w14:paraId="6AB780E4" w14:textId="79945328" w:rsidR="00501F9E" w:rsidRPr="005F51FF" w:rsidRDefault="00477F43" w:rsidP="00501F9E">
            <w:pPr>
              <w:spacing w:after="0"/>
              <w:cnfStyle w:val="000000100000" w:firstRow="0" w:lastRow="0" w:firstColumn="0" w:lastColumn="0" w:oddVBand="0" w:evenVBand="0" w:oddHBand="1" w:evenHBand="0" w:firstRowFirstColumn="0" w:firstRowLastColumn="0" w:lastRowFirstColumn="0" w:lastRowLastColumn="0"/>
            </w:pPr>
            <w:r>
              <w:t>3.4</w:t>
            </w:r>
          </w:p>
        </w:tc>
        <w:tc>
          <w:tcPr>
            <w:tcW w:w="7326" w:type="dxa"/>
          </w:tcPr>
          <w:p w14:paraId="1CD88AF7" w14:textId="497FC7B5" w:rsidR="00501F9E" w:rsidRPr="005F51FF" w:rsidRDefault="00CB3B94" w:rsidP="00B214C1">
            <w:pPr>
              <w:spacing w:after="0"/>
              <w:cnfStyle w:val="000000100000" w:firstRow="0" w:lastRow="0" w:firstColumn="0" w:lastColumn="0" w:oddVBand="0" w:evenVBand="0" w:oddHBand="1" w:evenHBand="0" w:firstRowFirstColumn="0" w:firstRowLastColumn="0" w:lastRowFirstColumn="0" w:lastRowLastColumn="0"/>
            </w:pPr>
            <w:r>
              <w:t xml:space="preserve">Amended ‘Information to be Displayed on Meter Exterior’ to </w:t>
            </w:r>
            <w:r w:rsidR="00B214C1">
              <w:t xml:space="preserve">refer to the Australian Standard, </w:t>
            </w:r>
            <w:r>
              <w:t>clarify that the marking</w:t>
            </w:r>
            <w:r w:rsidR="00B214C1">
              <w:t>s</w:t>
            </w:r>
            <w:r>
              <w:t xml:space="preserve"> shall be visi</w:t>
            </w:r>
            <w:r w:rsidR="00B214C1">
              <w:t xml:space="preserve">ble when the meter is installed, and </w:t>
            </w:r>
            <w:r>
              <w:t xml:space="preserve">added alternatives for some markings if there is limited space. </w:t>
            </w:r>
          </w:p>
        </w:tc>
      </w:tr>
      <w:tr w:rsidR="00501F9E" w:rsidRPr="00060611" w14:paraId="7C69078E" w14:textId="77777777" w:rsidTr="00467B89">
        <w:tblPrEx>
          <w:tblCellMar>
            <w:top w:w="0" w:type="dxa"/>
            <w:bottom w:w="0" w:type="dxa"/>
          </w:tblCellMar>
        </w:tblPrEx>
        <w:tc>
          <w:tcPr>
            <w:cnfStyle w:val="001000000000" w:firstRow="0" w:lastRow="0" w:firstColumn="1" w:lastColumn="0" w:oddVBand="0" w:evenVBand="0" w:oddHBand="0" w:evenHBand="0" w:firstRowFirstColumn="0" w:firstRowLastColumn="0" w:lastRowFirstColumn="0" w:lastRowLastColumn="0"/>
            <w:tcW w:w="0" w:type="auto"/>
          </w:tcPr>
          <w:p w14:paraId="5776B4F3" w14:textId="02327585" w:rsidR="00501F9E" w:rsidRPr="00060611" w:rsidRDefault="00DE69EE" w:rsidP="00501F9E">
            <w:pPr>
              <w:spacing w:after="0"/>
              <w:rPr>
                <w:b w:val="0"/>
              </w:rPr>
            </w:pPr>
            <w:r>
              <w:rPr>
                <w:b w:val="0"/>
              </w:rPr>
              <w:t>4</w:t>
            </w:r>
          </w:p>
        </w:tc>
        <w:tc>
          <w:tcPr>
            <w:tcW w:w="0" w:type="auto"/>
          </w:tcPr>
          <w:p w14:paraId="0008BBFA" w14:textId="05F7E120" w:rsidR="00501F9E" w:rsidRPr="00060611" w:rsidRDefault="00974284" w:rsidP="00501F9E">
            <w:pPr>
              <w:spacing w:after="0"/>
              <w:jc w:val="center"/>
              <w:cnfStyle w:val="000000000000" w:firstRow="0" w:lastRow="0" w:firstColumn="0" w:lastColumn="0" w:oddVBand="0" w:evenVBand="0" w:oddHBand="0" w:evenHBand="0" w:firstRowFirstColumn="0" w:firstRowLastColumn="0" w:lastRowFirstColumn="0" w:lastRowLastColumn="0"/>
            </w:pPr>
            <w:r>
              <w:t>5</w:t>
            </w:r>
          </w:p>
        </w:tc>
        <w:tc>
          <w:tcPr>
            <w:tcW w:w="1166" w:type="dxa"/>
          </w:tcPr>
          <w:p w14:paraId="6A20164C" w14:textId="11842EEB" w:rsidR="00501F9E" w:rsidRPr="00060611" w:rsidRDefault="00974284" w:rsidP="00501F9E">
            <w:pPr>
              <w:spacing w:after="0"/>
              <w:cnfStyle w:val="000000000000" w:firstRow="0" w:lastRow="0" w:firstColumn="0" w:lastColumn="0" w:oddVBand="0" w:evenVBand="0" w:oddHBand="0" w:evenHBand="0" w:firstRowFirstColumn="0" w:firstRowLastColumn="0" w:lastRowFirstColumn="0" w:lastRowLastColumn="0"/>
            </w:pPr>
            <w:r>
              <w:t>3.5</w:t>
            </w:r>
          </w:p>
        </w:tc>
        <w:tc>
          <w:tcPr>
            <w:tcW w:w="7326" w:type="dxa"/>
          </w:tcPr>
          <w:p w14:paraId="5CAD6A62" w14:textId="77777777" w:rsidR="00DE69EE" w:rsidRDefault="00DE69EE" w:rsidP="00DE69EE">
            <w:pPr>
              <w:spacing w:after="0"/>
              <w:cnfStyle w:val="000000000000" w:firstRow="0" w:lastRow="0" w:firstColumn="0" w:lastColumn="0" w:oddVBand="0" w:evenVBand="0" w:oddHBand="0" w:evenHBand="0" w:firstRowFirstColumn="0" w:firstRowLastColumn="0" w:lastRowFirstColumn="0" w:lastRowLastColumn="0"/>
            </w:pPr>
            <w:r>
              <w:t>Amended Verification Mark to:</w:t>
            </w:r>
          </w:p>
          <w:p w14:paraId="22D4A8F7" w14:textId="77777777" w:rsidR="00974284" w:rsidRDefault="00DE69EE" w:rsidP="00347BB7">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pPr>
            <w:r>
              <w:t>Correct Verifying Authority to Utility Meter Verifier</w:t>
            </w:r>
          </w:p>
          <w:p w14:paraId="6C044F74" w14:textId="5362D48F" w:rsidR="00501F9E" w:rsidRPr="00060611" w:rsidRDefault="00DE69EE" w:rsidP="00347BB7">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pPr>
            <w:r>
              <w:t>Add a note that it may be in the form of a Certificate of Verification.</w:t>
            </w:r>
          </w:p>
        </w:tc>
      </w:tr>
      <w:tr w:rsidR="00501F9E" w:rsidRPr="00060611" w14:paraId="10942801" w14:textId="77777777" w:rsidTr="00467B89">
        <w:tblPrEx>
          <w:tblCellMar>
            <w:top w:w="0" w:type="dxa"/>
            <w:bottom w:w="0"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453BA82" w14:textId="2B75B154" w:rsidR="00501F9E" w:rsidRPr="00C76356" w:rsidRDefault="00974284" w:rsidP="00501F9E">
            <w:pPr>
              <w:spacing w:after="0"/>
              <w:rPr>
                <w:b w:val="0"/>
              </w:rPr>
            </w:pPr>
            <w:r>
              <w:rPr>
                <w:b w:val="0"/>
              </w:rPr>
              <w:t>5</w:t>
            </w:r>
          </w:p>
        </w:tc>
        <w:tc>
          <w:tcPr>
            <w:tcW w:w="0" w:type="auto"/>
          </w:tcPr>
          <w:p w14:paraId="7B270B07" w14:textId="5D20A96C" w:rsidR="00501F9E" w:rsidRPr="00C76356" w:rsidRDefault="00974284" w:rsidP="00501F9E">
            <w:pPr>
              <w:spacing w:after="0"/>
              <w:jc w:val="center"/>
              <w:cnfStyle w:val="000000100000" w:firstRow="0" w:lastRow="0" w:firstColumn="0" w:lastColumn="0" w:oddVBand="0" w:evenVBand="0" w:oddHBand="1" w:evenHBand="0" w:firstRowFirstColumn="0" w:firstRowLastColumn="0" w:lastRowFirstColumn="0" w:lastRowLastColumn="0"/>
            </w:pPr>
            <w:r>
              <w:t>6</w:t>
            </w:r>
          </w:p>
        </w:tc>
        <w:tc>
          <w:tcPr>
            <w:tcW w:w="1166" w:type="dxa"/>
          </w:tcPr>
          <w:p w14:paraId="23DF0AC6" w14:textId="49108022" w:rsidR="00501F9E" w:rsidRPr="00C76356" w:rsidRDefault="00974284" w:rsidP="00501F9E">
            <w:pPr>
              <w:spacing w:after="0"/>
              <w:cnfStyle w:val="000000100000" w:firstRow="0" w:lastRow="0" w:firstColumn="0" w:lastColumn="0" w:oddVBand="0" w:evenVBand="0" w:oddHBand="1" w:evenHBand="0" w:firstRowFirstColumn="0" w:firstRowLastColumn="0" w:lastRowFirstColumn="0" w:lastRowLastColumn="0"/>
            </w:pPr>
            <w:r>
              <w:t>4</w:t>
            </w:r>
          </w:p>
        </w:tc>
        <w:tc>
          <w:tcPr>
            <w:tcW w:w="7326" w:type="dxa"/>
          </w:tcPr>
          <w:p w14:paraId="3EAD11E4" w14:textId="6C54C675" w:rsidR="00501F9E" w:rsidRPr="00C76356" w:rsidRDefault="00974284" w:rsidP="00974284">
            <w:pPr>
              <w:spacing w:after="0"/>
              <w:cnfStyle w:val="000000100000" w:firstRow="0" w:lastRow="0" w:firstColumn="0" w:lastColumn="0" w:oddVBand="0" w:evenVBand="0" w:oddHBand="1" w:evenHBand="0" w:firstRowFirstColumn="0" w:firstRowLastColumn="0" w:lastRowFirstColumn="0" w:lastRowLastColumn="0"/>
            </w:pPr>
            <w:r>
              <w:t>‘Accuracy classes and Maximum Permissible Errors’ have been moved from Annex C to this clause.</w:t>
            </w:r>
          </w:p>
        </w:tc>
      </w:tr>
      <w:tr w:rsidR="00501F9E" w:rsidRPr="00060611" w14:paraId="3CB9CD62" w14:textId="77777777" w:rsidTr="00467B89">
        <w:tblPrEx>
          <w:tblCellMar>
            <w:top w:w="0" w:type="dxa"/>
            <w:bottom w:w="0" w:type="dxa"/>
          </w:tblCellMar>
        </w:tblPrEx>
        <w:tc>
          <w:tcPr>
            <w:cnfStyle w:val="001000000000" w:firstRow="0" w:lastRow="0" w:firstColumn="1" w:lastColumn="0" w:oddVBand="0" w:evenVBand="0" w:oddHBand="0" w:evenHBand="0" w:firstRowFirstColumn="0" w:firstRowLastColumn="0" w:lastRowFirstColumn="0" w:lastRowLastColumn="0"/>
            <w:tcW w:w="0" w:type="auto"/>
          </w:tcPr>
          <w:p w14:paraId="1ECF6F7A" w14:textId="5E96CD0C" w:rsidR="00501F9E" w:rsidRDefault="00974284" w:rsidP="00501F9E">
            <w:pPr>
              <w:spacing w:after="0"/>
              <w:rPr>
                <w:b w:val="0"/>
              </w:rPr>
            </w:pPr>
            <w:r>
              <w:rPr>
                <w:b w:val="0"/>
              </w:rPr>
              <w:t>6</w:t>
            </w:r>
          </w:p>
        </w:tc>
        <w:tc>
          <w:tcPr>
            <w:tcW w:w="0" w:type="auto"/>
          </w:tcPr>
          <w:p w14:paraId="16F46F3E" w14:textId="5A451D53" w:rsidR="00501F9E" w:rsidRDefault="00974284" w:rsidP="00501F9E">
            <w:pPr>
              <w:spacing w:after="0"/>
              <w:jc w:val="center"/>
              <w:cnfStyle w:val="000000000000" w:firstRow="0" w:lastRow="0" w:firstColumn="0" w:lastColumn="0" w:oddVBand="0" w:evenVBand="0" w:oddHBand="0" w:evenHBand="0" w:firstRowFirstColumn="0" w:firstRowLastColumn="0" w:lastRowFirstColumn="0" w:lastRowLastColumn="0"/>
            </w:pPr>
            <w:r>
              <w:t>7</w:t>
            </w:r>
          </w:p>
        </w:tc>
        <w:tc>
          <w:tcPr>
            <w:tcW w:w="1166" w:type="dxa"/>
          </w:tcPr>
          <w:p w14:paraId="3A5C61C9" w14:textId="2882DC6F" w:rsidR="00501F9E" w:rsidRDefault="00974284" w:rsidP="00501F9E">
            <w:pPr>
              <w:spacing w:after="0"/>
              <w:cnfStyle w:val="000000000000" w:firstRow="0" w:lastRow="0" w:firstColumn="0" w:lastColumn="0" w:oddVBand="0" w:evenVBand="0" w:oddHBand="0" w:evenHBand="0" w:firstRowFirstColumn="0" w:firstRowLastColumn="0" w:lastRowFirstColumn="0" w:lastRowLastColumn="0"/>
            </w:pPr>
            <w:r>
              <w:t>5</w:t>
            </w:r>
          </w:p>
        </w:tc>
        <w:tc>
          <w:tcPr>
            <w:tcW w:w="7326" w:type="dxa"/>
          </w:tcPr>
          <w:p w14:paraId="052021B5" w14:textId="0C8F531C" w:rsidR="00501F9E" w:rsidRDefault="00974284" w:rsidP="00501F9E">
            <w:pPr>
              <w:spacing w:after="0"/>
              <w:cnfStyle w:val="000000000000" w:firstRow="0" w:lastRow="0" w:firstColumn="0" w:lastColumn="0" w:oddVBand="0" w:evenVBand="0" w:oddHBand="0" w:evenHBand="0" w:firstRowFirstColumn="0" w:firstRowLastColumn="0" w:lastRowFirstColumn="0" w:lastRowLastColumn="0"/>
            </w:pPr>
            <w:r>
              <w:t>‘Assessment of Requirements in the Australian Standards’ have been moved from Annex D to this clause.</w:t>
            </w:r>
          </w:p>
        </w:tc>
      </w:tr>
      <w:tr w:rsidR="00755292" w:rsidRPr="00060611" w14:paraId="2CD5F457" w14:textId="77777777" w:rsidTr="00467B89">
        <w:tblPrEx>
          <w:tblCellMar>
            <w:top w:w="0" w:type="dxa"/>
            <w:bottom w:w="0"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034B39" w14:textId="70665D9E" w:rsidR="00755292" w:rsidRPr="00755292" w:rsidRDefault="00755292" w:rsidP="00501F9E">
            <w:pPr>
              <w:spacing w:after="0"/>
              <w:rPr>
                <w:b w:val="0"/>
              </w:rPr>
            </w:pPr>
            <w:r w:rsidRPr="00755292">
              <w:rPr>
                <w:b w:val="0"/>
              </w:rPr>
              <w:t>7</w:t>
            </w:r>
          </w:p>
        </w:tc>
        <w:tc>
          <w:tcPr>
            <w:tcW w:w="0" w:type="auto"/>
          </w:tcPr>
          <w:p w14:paraId="6169C99C" w14:textId="270B8772" w:rsidR="00755292" w:rsidRDefault="00755292" w:rsidP="00501F9E">
            <w:pPr>
              <w:spacing w:after="0"/>
              <w:jc w:val="center"/>
              <w:cnfStyle w:val="000000100000" w:firstRow="0" w:lastRow="0" w:firstColumn="0" w:lastColumn="0" w:oddVBand="0" w:evenVBand="0" w:oddHBand="1" w:evenHBand="0" w:firstRowFirstColumn="0" w:firstRowLastColumn="0" w:lastRowFirstColumn="0" w:lastRowLastColumn="0"/>
            </w:pPr>
            <w:r>
              <w:t>7</w:t>
            </w:r>
          </w:p>
        </w:tc>
        <w:tc>
          <w:tcPr>
            <w:tcW w:w="1166" w:type="dxa"/>
          </w:tcPr>
          <w:p w14:paraId="326841D6" w14:textId="6864B221" w:rsidR="00755292" w:rsidRDefault="00467B89" w:rsidP="00501F9E">
            <w:pPr>
              <w:spacing w:after="0"/>
              <w:cnfStyle w:val="000000100000" w:firstRow="0" w:lastRow="0" w:firstColumn="0" w:lastColumn="0" w:oddVBand="0" w:evenVBand="0" w:oddHBand="1" w:evenHBand="0" w:firstRowFirstColumn="0" w:firstRowLastColumn="0" w:lastRowFirstColumn="0" w:lastRowLastColumn="0"/>
            </w:pPr>
            <w:r>
              <w:t>5, Table 4</w:t>
            </w:r>
          </w:p>
        </w:tc>
        <w:tc>
          <w:tcPr>
            <w:tcW w:w="7326" w:type="dxa"/>
          </w:tcPr>
          <w:p w14:paraId="64B27240" w14:textId="10F05E82" w:rsidR="00755292" w:rsidRDefault="00755292" w:rsidP="00755292">
            <w:pPr>
              <w:spacing w:after="0"/>
              <w:cnfStyle w:val="000000100000" w:firstRow="0" w:lastRow="0" w:firstColumn="0" w:lastColumn="0" w:oddVBand="0" w:evenVBand="0" w:oddHBand="1" w:evenHBand="0" w:firstRowFirstColumn="0" w:firstRowLastColumn="0" w:lastRowFirstColumn="0" w:lastRowLastColumn="0"/>
            </w:pPr>
            <w:r>
              <w:t xml:space="preserve">Clarified assessment of clause 5.12 of AS 62052.11. </w:t>
            </w:r>
          </w:p>
        </w:tc>
      </w:tr>
      <w:tr w:rsidR="00467B89" w:rsidRPr="00060611" w14:paraId="32A3FF1E" w14:textId="77777777" w:rsidTr="00467B89">
        <w:tblPrEx>
          <w:tblCellMar>
            <w:top w:w="0" w:type="dxa"/>
            <w:bottom w:w="0" w:type="dxa"/>
          </w:tblCellMar>
        </w:tblPrEx>
        <w:tc>
          <w:tcPr>
            <w:cnfStyle w:val="001000000000" w:firstRow="0" w:lastRow="0" w:firstColumn="1" w:lastColumn="0" w:oddVBand="0" w:evenVBand="0" w:oddHBand="0" w:evenHBand="0" w:firstRowFirstColumn="0" w:firstRowLastColumn="0" w:lastRowFirstColumn="0" w:lastRowLastColumn="0"/>
            <w:tcW w:w="0" w:type="auto"/>
          </w:tcPr>
          <w:p w14:paraId="639B8AFF" w14:textId="587EF884" w:rsidR="00467B89" w:rsidRPr="00755292" w:rsidRDefault="00467B89" w:rsidP="00501F9E">
            <w:pPr>
              <w:spacing w:after="0"/>
              <w:rPr>
                <w:b w:val="0"/>
              </w:rPr>
            </w:pPr>
            <w:r>
              <w:rPr>
                <w:b w:val="0"/>
              </w:rPr>
              <w:t>8</w:t>
            </w:r>
          </w:p>
        </w:tc>
        <w:tc>
          <w:tcPr>
            <w:tcW w:w="0" w:type="auto"/>
          </w:tcPr>
          <w:p w14:paraId="613040EF" w14:textId="1A10B8E5" w:rsidR="00467B89" w:rsidRDefault="00467B89" w:rsidP="00501F9E">
            <w:pPr>
              <w:spacing w:after="0"/>
              <w:jc w:val="center"/>
              <w:cnfStyle w:val="000000000000" w:firstRow="0" w:lastRow="0" w:firstColumn="0" w:lastColumn="0" w:oddVBand="0" w:evenVBand="0" w:oddHBand="0" w:evenHBand="0" w:firstRowFirstColumn="0" w:firstRowLastColumn="0" w:lastRowFirstColumn="0" w:lastRowLastColumn="0"/>
            </w:pPr>
            <w:r>
              <w:t>8</w:t>
            </w:r>
          </w:p>
        </w:tc>
        <w:tc>
          <w:tcPr>
            <w:tcW w:w="1166" w:type="dxa"/>
          </w:tcPr>
          <w:p w14:paraId="13380B09" w14:textId="7A1291FF" w:rsidR="00467B89" w:rsidRDefault="00467B89" w:rsidP="00501F9E">
            <w:pPr>
              <w:spacing w:after="0"/>
              <w:cnfStyle w:val="000000000000" w:firstRow="0" w:lastRow="0" w:firstColumn="0" w:lastColumn="0" w:oddVBand="0" w:evenVBand="0" w:oddHBand="0" w:evenHBand="0" w:firstRowFirstColumn="0" w:firstRowLastColumn="0" w:lastRowFirstColumn="0" w:lastRowLastColumn="0"/>
            </w:pPr>
            <w:r>
              <w:t>5, Table 8</w:t>
            </w:r>
          </w:p>
        </w:tc>
        <w:tc>
          <w:tcPr>
            <w:tcW w:w="7326" w:type="dxa"/>
          </w:tcPr>
          <w:p w14:paraId="680C158F" w14:textId="533A9927" w:rsidR="00467B89" w:rsidRDefault="00467B89" w:rsidP="00C75E28">
            <w:pPr>
              <w:spacing w:after="0"/>
              <w:cnfStyle w:val="000000000000" w:firstRow="0" w:lastRow="0" w:firstColumn="0" w:lastColumn="0" w:oddVBand="0" w:evenVBand="0" w:oddHBand="0" w:evenHBand="0" w:firstRowFirstColumn="0" w:firstRowLastColumn="0" w:lastRowFirstColumn="0" w:lastRowLastColumn="0"/>
            </w:pPr>
            <w:r>
              <w:t>Added Note 1 to clarif</w:t>
            </w:r>
            <w:r w:rsidR="00C75E28">
              <w:t>y</w:t>
            </w:r>
            <w:r>
              <w:t xml:space="preserve"> the required test points for ambient temperature, voltage and frequency </w:t>
            </w:r>
            <w:r w:rsidR="00C75E28">
              <w:t>variations.</w:t>
            </w:r>
          </w:p>
        </w:tc>
      </w:tr>
      <w:tr w:rsidR="00501F9E" w:rsidRPr="00060611" w14:paraId="4E39212E" w14:textId="77777777" w:rsidTr="00467B89">
        <w:tblPrEx>
          <w:tblCellMar>
            <w:top w:w="0" w:type="dxa"/>
            <w:bottom w:w="0"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F08FE05" w14:textId="29738A2E" w:rsidR="00501F9E" w:rsidRDefault="00D05F95" w:rsidP="00501F9E">
            <w:pPr>
              <w:spacing w:after="0"/>
              <w:rPr>
                <w:b w:val="0"/>
              </w:rPr>
            </w:pPr>
            <w:r>
              <w:rPr>
                <w:b w:val="0"/>
              </w:rPr>
              <w:t>9</w:t>
            </w:r>
          </w:p>
        </w:tc>
        <w:tc>
          <w:tcPr>
            <w:tcW w:w="0" w:type="auto"/>
          </w:tcPr>
          <w:p w14:paraId="5705E25A" w14:textId="0E8917E9" w:rsidR="00501F9E" w:rsidRDefault="009E2268" w:rsidP="00501F9E">
            <w:pPr>
              <w:spacing w:after="0"/>
              <w:jc w:val="center"/>
              <w:cnfStyle w:val="000000100000" w:firstRow="0" w:lastRow="0" w:firstColumn="0" w:lastColumn="0" w:oddVBand="0" w:evenVBand="0" w:oddHBand="1" w:evenHBand="0" w:firstRowFirstColumn="0" w:firstRowLastColumn="0" w:lastRowFirstColumn="0" w:lastRowLastColumn="0"/>
            </w:pPr>
            <w:r>
              <w:t>9</w:t>
            </w:r>
          </w:p>
        </w:tc>
        <w:tc>
          <w:tcPr>
            <w:tcW w:w="1166" w:type="dxa"/>
          </w:tcPr>
          <w:p w14:paraId="17C97D0D" w14:textId="5A807EB0" w:rsidR="00501F9E" w:rsidRDefault="009E2268" w:rsidP="00501F9E">
            <w:pPr>
              <w:spacing w:after="0"/>
              <w:cnfStyle w:val="000000100000" w:firstRow="0" w:lastRow="0" w:firstColumn="0" w:lastColumn="0" w:oddVBand="0" w:evenVBand="0" w:oddHBand="1" w:evenHBand="0" w:firstRowFirstColumn="0" w:firstRowLastColumn="0" w:lastRowFirstColumn="0" w:lastRowLastColumn="0"/>
            </w:pPr>
            <w:r>
              <w:t>6.1.1</w:t>
            </w:r>
          </w:p>
        </w:tc>
        <w:tc>
          <w:tcPr>
            <w:tcW w:w="7326" w:type="dxa"/>
          </w:tcPr>
          <w:p w14:paraId="3C66EBB5" w14:textId="77777777" w:rsidR="009E2268" w:rsidRDefault="009E2268" w:rsidP="009E2268">
            <w:pPr>
              <w:spacing w:after="0"/>
              <w:cnfStyle w:val="000000100000" w:firstRow="0" w:lastRow="0" w:firstColumn="0" w:lastColumn="0" w:oddVBand="0" w:evenVBand="0" w:oddHBand="1" w:evenHBand="0" w:firstRowFirstColumn="0" w:firstRowLastColumn="0" w:lastRowFirstColumn="0" w:lastRowLastColumn="0"/>
            </w:pPr>
            <w:r>
              <w:t>Amended ‘Documentation’ to remove:</w:t>
            </w:r>
          </w:p>
          <w:p w14:paraId="0CC23B80" w14:textId="77777777" w:rsidR="009E2268" w:rsidRDefault="009E2268" w:rsidP="00347BB7">
            <w:pPr>
              <w:pStyle w:val="ListParagraph"/>
              <w:numPr>
                <w:ilvl w:val="0"/>
                <w:numId w:val="20"/>
              </w:numPr>
              <w:spacing w:after="0"/>
              <w:ind w:left="419" w:hanging="357"/>
              <w:cnfStyle w:val="000000100000" w:firstRow="0" w:lastRow="0" w:firstColumn="0" w:lastColumn="0" w:oddVBand="0" w:evenVBand="0" w:oddHBand="1" w:evenHBand="0" w:firstRowFirstColumn="0" w:firstRowLastColumn="0" w:lastRowFirstColumn="0" w:lastRowLastColumn="0"/>
            </w:pPr>
            <w:r>
              <w:t>Reference to traceability for internal clocks – this is covered by clause 6</w:t>
            </w:r>
          </w:p>
          <w:p w14:paraId="27CF13D9" w14:textId="127149DC" w:rsidR="00501F9E" w:rsidRDefault="009E2268" w:rsidP="00347BB7">
            <w:pPr>
              <w:pStyle w:val="ListParagraph"/>
              <w:numPr>
                <w:ilvl w:val="0"/>
                <w:numId w:val="20"/>
              </w:numPr>
              <w:spacing w:after="0"/>
              <w:ind w:left="419" w:hanging="357"/>
              <w:cnfStyle w:val="000000100000" w:firstRow="0" w:lastRow="0" w:firstColumn="0" w:lastColumn="0" w:oddVBand="0" w:evenVBand="0" w:oddHBand="1" w:evenHBand="0" w:firstRowFirstColumn="0" w:firstRowLastColumn="0" w:lastRowFirstColumn="0" w:lastRowLastColumn="0"/>
            </w:pPr>
            <w:r>
              <w:t>Record-keeping requirements – this is covered by NMI P 106 and (future) software policies.</w:t>
            </w:r>
          </w:p>
        </w:tc>
      </w:tr>
      <w:tr w:rsidR="00501F9E" w:rsidRPr="00060611" w14:paraId="25A3B9EA" w14:textId="77777777" w:rsidTr="00467B89">
        <w:tblPrEx>
          <w:tblCellMar>
            <w:top w:w="0" w:type="dxa"/>
            <w:bottom w:w="0" w:type="dxa"/>
          </w:tblCellMar>
        </w:tblPrEx>
        <w:tc>
          <w:tcPr>
            <w:cnfStyle w:val="001000000000" w:firstRow="0" w:lastRow="0" w:firstColumn="1" w:lastColumn="0" w:oddVBand="0" w:evenVBand="0" w:oddHBand="0" w:evenHBand="0" w:firstRowFirstColumn="0" w:firstRowLastColumn="0" w:lastRowFirstColumn="0" w:lastRowLastColumn="0"/>
            <w:tcW w:w="0" w:type="auto"/>
          </w:tcPr>
          <w:p w14:paraId="00BAC824" w14:textId="29F0E2E0" w:rsidR="00501F9E" w:rsidRDefault="00D05F95" w:rsidP="00501F9E">
            <w:pPr>
              <w:spacing w:after="0"/>
              <w:rPr>
                <w:b w:val="0"/>
              </w:rPr>
            </w:pPr>
            <w:r>
              <w:rPr>
                <w:b w:val="0"/>
              </w:rPr>
              <w:t>10</w:t>
            </w:r>
          </w:p>
        </w:tc>
        <w:tc>
          <w:tcPr>
            <w:tcW w:w="0" w:type="auto"/>
          </w:tcPr>
          <w:p w14:paraId="189CCC2C" w14:textId="0167CC39" w:rsidR="00501F9E" w:rsidRDefault="009E2268" w:rsidP="00501F9E">
            <w:pPr>
              <w:spacing w:after="0"/>
              <w:jc w:val="center"/>
              <w:cnfStyle w:val="000000000000" w:firstRow="0" w:lastRow="0" w:firstColumn="0" w:lastColumn="0" w:oddVBand="0" w:evenVBand="0" w:oddHBand="0" w:evenHBand="0" w:firstRowFirstColumn="0" w:firstRowLastColumn="0" w:lastRowFirstColumn="0" w:lastRowLastColumn="0"/>
            </w:pPr>
            <w:r>
              <w:t>9</w:t>
            </w:r>
          </w:p>
        </w:tc>
        <w:tc>
          <w:tcPr>
            <w:tcW w:w="1166" w:type="dxa"/>
          </w:tcPr>
          <w:p w14:paraId="52516536" w14:textId="06125ADC" w:rsidR="00501F9E" w:rsidRDefault="009E2268" w:rsidP="00501F9E">
            <w:pPr>
              <w:spacing w:after="0"/>
              <w:cnfStyle w:val="000000000000" w:firstRow="0" w:lastRow="0" w:firstColumn="0" w:lastColumn="0" w:oddVBand="0" w:evenVBand="0" w:oddHBand="0" w:evenHBand="0" w:firstRowFirstColumn="0" w:firstRowLastColumn="0" w:lastRowFirstColumn="0" w:lastRowLastColumn="0"/>
            </w:pPr>
            <w:r>
              <w:t>6.1.2</w:t>
            </w:r>
          </w:p>
        </w:tc>
        <w:tc>
          <w:tcPr>
            <w:tcW w:w="7326" w:type="dxa"/>
          </w:tcPr>
          <w:p w14:paraId="17A4BAEC" w14:textId="4DB4B056" w:rsidR="00501F9E" w:rsidRDefault="009E2268" w:rsidP="00501F9E">
            <w:pPr>
              <w:spacing w:after="0"/>
              <w:cnfStyle w:val="000000000000" w:firstRow="0" w:lastRow="0" w:firstColumn="0" w:lastColumn="0" w:oddVBand="0" w:evenVBand="0" w:oddHBand="0" w:evenHBand="0" w:firstRowFirstColumn="0" w:firstRowLastColumn="0" w:lastRowFirstColumn="0" w:lastRowLastColumn="0"/>
            </w:pPr>
            <w:r>
              <w:t>Amended ‘Meters Submitted for Testing’ to make it clearer that sample meters are required by testing facility – not submitted to NMI with application</w:t>
            </w:r>
          </w:p>
        </w:tc>
      </w:tr>
      <w:tr w:rsidR="00501F9E" w14:paraId="3772E6A6" w14:textId="77777777" w:rsidTr="00467B89">
        <w:tblPrEx>
          <w:tblCellMar>
            <w:top w:w="0" w:type="dxa"/>
            <w:bottom w:w="0"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520191B" w14:textId="40E68B21" w:rsidR="00501F9E" w:rsidRPr="00060611" w:rsidRDefault="00D05F95" w:rsidP="00501F9E">
            <w:pPr>
              <w:spacing w:after="0"/>
              <w:rPr>
                <w:b w:val="0"/>
              </w:rPr>
            </w:pPr>
            <w:r>
              <w:rPr>
                <w:b w:val="0"/>
              </w:rPr>
              <w:t>11</w:t>
            </w:r>
          </w:p>
        </w:tc>
        <w:tc>
          <w:tcPr>
            <w:tcW w:w="0" w:type="auto"/>
          </w:tcPr>
          <w:p w14:paraId="0B6FE526" w14:textId="19A16DEE" w:rsidR="00501F9E" w:rsidRPr="00060611" w:rsidRDefault="009E2268" w:rsidP="00501F9E">
            <w:pPr>
              <w:spacing w:after="0"/>
              <w:jc w:val="center"/>
              <w:cnfStyle w:val="000000100000" w:firstRow="0" w:lastRow="0" w:firstColumn="0" w:lastColumn="0" w:oddVBand="0" w:evenVBand="0" w:oddHBand="1" w:evenHBand="0" w:firstRowFirstColumn="0" w:firstRowLastColumn="0" w:lastRowFirstColumn="0" w:lastRowLastColumn="0"/>
            </w:pPr>
            <w:r>
              <w:t>9</w:t>
            </w:r>
          </w:p>
        </w:tc>
        <w:tc>
          <w:tcPr>
            <w:tcW w:w="1166" w:type="dxa"/>
          </w:tcPr>
          <w:p w14:paraId="5EB68917" w14:textId="61030E16" w:rsidR="00501F9E" w:rsidRPr="00060611" w:rsidRDefault="009E2268" w:rsidP="00501F9E">
            <w:pPr>
              <w:spacing w:after="0"/>
              <w:cnfStyle w:val="000000100000" w:firstRow="0" w:lastRow="0" w:firstColumn="0" w:lastColumn="0" w:oddVBand="0" w:evenVBand="0" w:oddHBand="1" w:evenHBand="0" w:firstRowFirstColumn="0" w:firstRowLastColumn="0" w:lastRowFirstColumn="0" w:lastRowLastColumn="0"/>
            </w:pPr>
            <w:r>
              <w:t>6.1.3</w:t>
            </w:r>
          </w:p>
        </w:tc>
        <w:tc>
          <w:tcPr>
            <w:tcW w:w="7326" w:type="dxa"/>
          </w:tcPr>
          <w:p w14:paraId="1BB63098" w14:textId="1610C173" w:rsidR="00501F9E" w:rsidRPr="0029562D" w:rsidRDefault="009E2268" w:rsidP="00501F9E">
            <w:pPr>
              <w:spacing w:after="0"/>
              <w:cnfStyle w:val="000000100000" w:firstRow="0" w:lastRow="0" w:firstColumn="0" w:lastColumn="0" w:oddVBand="0" w:evenVBand="0" w:oddHBand="1" w:evenHBand="0" w:firstRowFirstColumn="0" w:firstRowLastColumn="0" w:lastRowFirstColumn="0" w:lastRowLastColumn="0"/>
            </w:pPr>
            <w:r>
              <w:t>Amended ‘Laboratory Examination’ to make it clearer that sample meters are required by testing facility – not submitted to NMI with application.</w:t>
            </w:r>
          </w:p>
        </w:tc>
      </w:tr>
      <w:tr w:rsidR="009E2268" w14:paraId="0256DB5E" w14:textId="77777777" w:rsidTr="00467B89">
        <w:tblPrEx>
          <w:tblCellMar>
            <w:top w:w="0" w:type="dxa"/>
            <w:bottom w:w="0" w:type="dxa"/>
          </w:tblCellMar>
        </w:tblPrEx>
        <w:tc>
          <w:tcPr>
            <w:cnfStyle w:val="001000000000" w:firstRow="0" w:lastRow="0" w:firstColumn="1" w:lastColumn="0" w:oddVBand="0" w:evenVBand="0" w:oddHBand="0" w:evenHBand="0" w:firstRowFirstColumn="0" w:firstRowLastColumn="0" w:lastRowFirstColumn="0" w:lastRowLastColumn="0"/>
            <w:tcW w:w="0" w:type="auto"/>
          </w:tcPr>
          <w:p w14:paraId="781DBB12" w14:textId="719E6D3F" w:rsidR="009E2268" w:rsidRDefault="009E2268" w:rsidP="00755292">
            <w:pPr>
              <w:spacing w:after="0"/>
              <w:rPr>
                <w:b w:val="0"/>
              </w:rPr>
            </w:pPr>
            <w:r>
              <w:rPr>
                <w:b w:val="0"/>
              </w:rPr>
              <w:t>1</w:t>
            </w:r>
            <w:r w:rsidR="00D05F95">
              <w:rPr>
                <w:b w:val="0"/>
              </w:rPr>
              <w:t>2</w:t>
            </w:r>
          </w:p>
        </w:tc>
        <w:tc>
          <w:tcPr>
            <w:tcW w:w="0" w:type="auto"/>
          </w:tcPr>
          <w:p w14:paraId="279EA0B2" w14:textId="376F612D" w:rsidR="009E2268" w:rsidRDefault="00347BB7" w:rsidP="00501F9E">
            <w:pPr>
              <w:spacing w:after="0"/>
              <w:jc w:val="center"/>
              <w:cnfStyle w:val="000000000000" w:firstRow="0" w:lastRow="0" w:firstColumn="0" w:lastColumn="0" w:oddVBand="0" w:evenVBand="0" w:oddHBand="0" w:evenHBand="0" w:firstRowFirstColumn="0" w:firstRowLastColumn="0" w:lastRowFirstColumn="0" w:lastRowLastColumn="0"/>
            </w:pPr>
            <w:r>
              <w:t>N/A</w:t>
            </w:r>
          </w:p>
        </w:tc>
        <w:tc>
          <w:tcPr>
            <w:tcW w:w="1166" w:type="dxa"/>
          </w:tcPr>
          <w:p w14:paraId="0B878996" w14:textId="771685EC" w:rsidR="009E2268" w:rsidRDefault="00347BB7" w:rsidP="00501F9E">
            <w:pPr>
              <w:spacing w:after="0"/>
              <w:cnfStyle w:val="000000000000" w:firstRow="0" w:lastRow="0" w:firstColumn="0" w:lastColumn="0" w:oddVBand="0" w:evenVBand="0" w:oddHBand="0" w:evenHBand="0" w:firstRowFirstColumn="0" w:firstRowLastColumn="0" w:lastRowFirstColumn="0" w:lastRowLastColumn="0"/>
            </w:pPr>
            <w:r>
              <w:t>N/A</w:t>
            </w:r>
          </w:p>
        </w:tc>
        <w:tc>
          <w:tcPr>
            <w:tcW w:w="7326" w:type="dxa"/>
          </w:tcPr>
          <w:p w14:paraId="69B5E674" w14:textId="592A55DA" w:rsidR="009E2268" w:rsidRDefault="009E2268" w:rsidP="00501F9E">
            <w:pPr>
              <w:spacing w:after="0"/>
              <w:cnfStyle w:val="000000000000" w:firstRow="0" w:lastRow="0" w:firstColumn="0" w:lastColumn="0" w:oddVBand="0" w:evenVBand="0" w:oddHBand="0" w:evenHBand="0" w:firstRowFirstColumn="0" w:firstRowLastColumn="0" w:lastRowFirstColumn="0" w:lastRowLastColumn="0"/>
            </w:pPr>
            <w:r>
              <w:t>Removed ‘Acceptable Indications’ as not applicable for this document.</w:t>
            </w:r>
          </w:p>
        </w:tc>
      </w:tr>
    </w:tbl>
    <w:p w14:paraId="389071C0" w14:textId="77777777" w:rsidR="00A35CF0" w:rsidRPr="00A52444" w:rsidRDefault="00A35CF0">
      <w:pPr>
        <w:spacing w:after="200"/>
      </w:pPr>
      <w:r>
        <w:rPr>
          <w:i/>
        </w:rPr>
        <w:br w:type="page"/>
      </w:r>
    </w:p>
    <w:p w14:paraId="1868AB78" w14:textId="77777777" w:rsidR="00CB2680" w:rsidRDefault="00CB2680" w:rsidP="00092808">
      <w:pPr>
        <w:pStyle w:val="Heading1-NoNumber"/>
      </w:pPr>
      <w:bookmarkStart w:id="5" w:name="_Toc78473781"/>
      <w:r>
        <w:lastRenderedPageBreak/>
        <w:t>Contents</w:t>
      </w:r>
      <w:bookmarkEnd w:id="5"/>
    </w:p>
    <w:p w14:paraId="01A9DBC2" w14:textId="77777777" w:rsidR="00B2040F" w:rsidRDefault="0030793A">
      <w:pPr>
        <w:pStyle w:val="TOC1"/>
        <w:rPr>
          <w:rFonts w:asciiTheme="minorHAnsi" w:eastAsiaTheme="minorEastAsia" w:hAnsiTheme="minorHAnsi"/>
          <w:sz w:val="22"/>
          <w:lang w:eastAsia="en-AU"/>
        </w:rPr>
      </w:pPr>
      <w:r>
        <w:rPr>
          <w:sz w:val="24"/>
        </w:rPr>
        <w:fldChar w:fldCharType="begin"/>
      </w:r>
      <w:r>
        <w:rPr>
          <w:sz w:val="24"/>
        </w:rPr>
        <w:instrText xml:space="preserve"> TOC \o "1-1" \h \z \t "Heading 2,2,Heading Annex B,2,AnnexHeading2,2" </w:instrText>
      </w:r>
      <w:r>
        <w:rPr>
          <w:sz w:val="24"/>
        </w:rPr>
        <w:fldChar w:fldCharType="separate"/>
      </w:r>
      <w:hyperlink w:anchor="_Toc78473781" w:history="1">
        <w:r w:rsidR="00B2040F" w:rsidRPr="00A01EFE">
          <w:rPr>
            <w:rStyle w:val="Hyperlink"/>
          </w:rPr>
          <w:t>Contents</w:t>
        </w:r>
        <w:r w:rsidR="00B2040F">
          <w:rPr>
            <w:webHidden/>
          </w:rPr>
          <w:tab/>
        </w:r>
        <w:r w:rsidR="00B2040F">
          <w:rPr>
            <w:webHidden/>
          </w:rPr>
          <w:fldChar w:fldCharType="begin"/>
        </w:r>
        <w:r w:rsidR="00B2040F">
          <w:rPr>
            <w:webHidden/>
          </w:rPr>
          <w:instrText xml:space="preserve"> PAGEREF _Toc78473781 \h </w:instrText>
        </w:r>
        <w:r w:rsidR="00B2040F">
          <w:rPr>
            <w:webHidden/>
          </w:rPr>
        </w:r>
        <w:r w:rsidR="00B2040F">
          <w:rPr>
            <w:webHidden/>
          </w:rPr>
          <w:fldChar w:fldCharType="separate"/>
        </w:r>
        <w:r w:rsidR="00B2040F">
          <w:rPr>
            <w:webHidden/>
          </w:rPr>
          <w:t>ii</w:t>
        </w:r>
        <w:r w:rsidR="00B2040F">
          <w:rPr>
            <w:webHidden/>
          </w:rPr>
          <w:fldChar w:fldCharType="end"/>
        </w:r>
      </w:hyperlink>
    </w:p>
    <w:p w14:paraId="6C605A1F" w14:textId="77777777" w:rsidR="00B2040F" w:rsidRDefault="000250E6">
      <w:pPr>
        <w:pStyle w:val="TOC1"/>
        <w:rPr>
          <w:rFonts w:asciiTheme="minorHAnsi" w:eastAsiaTheme="minorEastAsia" w:hAnsiTheme="minorHAnsi"/>
          <w:sz w:val="22"/>
          <w:lang w:eastAsia="en-AU"/>
        </w:rPr>
      </w:pPr>
      <w:hyperlink w:anchor="_Toc78473782" w:history="1">
        <w:r w:rsidR="00B2040F" w:rsidRPr="00A01EFE">
          <w:rPr>
            <w:rStyle w:val="Hyperlink"/>
          </w:rPr>
          <w:t>Preface</w:t>
        </w:r>
        <w:r w:rsidR="00B2040F">
          <w:rPr>
            <w:webHidden/>
          </w:rPr>
          <w:tab/>
        </w:r>
        <w:r w:rsidR="00B2040F">
          <w:rPr>
            <w:webHidden/>
          </w:rPr>
          <w:fldChar w:fldCharType="begin"/>
        </w:r>
        <w:r w:rsidR="00B2040F">
          <w:rPr>
            <w:webHidden/>
          </w:rPr>
          <w:instrText xml:space="preserve"> PAGEREF _Toc78473782 \h </w:instrText>
        </w:r>
        <w:r w:rsidR="00B2040F">
          <w:rPr>
            <w:webHidden/>
          </w:rPr>
        </w:r>
        <w:r w:rsidR="00B2040F">
          <w:rPr>
            <w:webHidden/>
          </w:rPr>
          <w:fldChar w:fldCharType="separate"/>
        </w:r>
        <w:r w:rsidR="00B2040F">
          <w:rPr>
            <w:webHidden/>
          </w:rPr>
          <w:t>iii</w:t>
        </w:r>
        <w:r w:rsidR="00B2040F">
          <w:rPr>
            <w:webHidden/>
          </w:rPr>
          <w:fldChar w:fldCharType="end"/>
        </w:r>
      </w:hyperlink>
    </w:p>
    <w:p w14:paraId="476E3D64" w14:textId="77777777" w:rsidR="00B2040F" w:rsidRDefault="000250E6">
      <w:pPr>
        <w:pStyle w:val="TOC1"/>
        <w:rPr>
          <w:rFonts w:asciiTheme="minorHAnsi" w:eastAsiaTheme="minorEastAsia" w:hAnsiTheme="minorHAnsi"/>
          <w:sz w:val="22"/>
          <w:lang w:eastAsia="en-AU"/>
        </w:rPr>
      </w:pPr>
      <w:hyperlink w:anchor="_Toc78473783" w:history="1">
        <w:r w:rsidR="00B2040F" w:rsidRPr="00A01EFE">
          <w:rPr>
            <w:rStyle w:val="Hyperlink"/>
          </w:rPr>
          <w:t>1</w:t>
        </w:r>
        <w:r w:rsidR="00B2040F">
          <w:rPr>
            <w:rFonts w:asciiTheme="minorHAnsi" w:eastAsiaTheme="minorEastAsia" w:hAnsiTheme="minorHAnsi"/>
            <w:sz w:val="22"/>
            <w:lang w:eastAsia="en-AU"/>
          </w:rPr>
          <w:tab/>
        </w:r>
        <w:r w:rsidR="00B2040F" w:rsidRPr="00A01EFE">
          <w:rPr>
            <w:rStyle w:val="Hyperlink"/>
          </w:rPr>
          <w:t>Scope and Application</w:t>
        </w:r>
        <w:r w:rsidR="00B2040F">
          <w:rPr>
            <w:webHidden/>
          </w:rPr>
          <w:tab/>
        </w:r>
        <w:r w:rsidR="00B2040F">
          <w:rPr>
            <w:webHidden/>
          </w:rPr>
          <w:fldChar w:fldCharType="begin"/>
        </w:r>
        <w:r w:rsidR="00B2040F">
          <w:rPr>
            <w:webHidden/>
          </w:rPr>
          <w:instrText xml:space="preserve"> PAGEREF _Toc78473783 \h </w:instrText>
        </w:r>
        <w:r w:rsidR="00B2040F">
          <w:rPr>
            <w:webHidden/>
          </w:rPr>
        </w:r>
        <w:r w:rsidR="00B2040F">
          <w:rPr>
            <w:webHidden/>
          </w:rPr>
          <w:fldChar w:fldCharType="separate"/>
        </w:r>
        <w:r w:rsidR="00B2040F">
          <w:rPr>
            <w:webHidden/>
          </w:rPr>
          <w:t>1</w:t>
        </w:r>
        <w:r w:rsidR="00B2040F">
          <w:rPr>
            <w:webHidden/>
          </w:rPr>
          <w:fldChar w:fldCharType="end"/>
        </w:r>
      </w:hyperlink>
    </w:p>
    <w:p w14:paraId="6B35FA85" w14:textId="77777777" w:rsidR="00B2040F" w:rsidRDefault="000250E6">
      <w:pPr>
        <w:pStyle w:val="TOC2"/>
        <w:tabs>
          <w:tab w:val="left" w:pos="880"/>
          <w:tab w:val="right" w:leader="dot" w:pos="9736"/>
        </w:tabs>
        <w:rPr>
          <w:rFonts w:asciiTheme="minorHAnsi" w:eastAsiaTheme="minorEastAsia" w:hAnsiTheme="minorHAnsi"/>
          <w:noProof/>
          <w:color w:val="auto"/>
          <w:sz w:val="22"/>
          <w:lang w:eastAsia="en-AU"/>
        </w:rPr>
      </w:pPr>
      <w:hyperlink w:anchor="_Toc78473784" w:history="1">
        <w:r w:rsidR="00B2040F" w:rsidRPr="00A01EFE">
          <w:rPr>
            <w:rStyle w:val="Hyperlink"/>
            <w:noProof/>
          </w:rPr>
          <w:t>1.1</w:t>
        </w:r>
        <w:r w:rsidR="00B2040F">
          <w:rPr>
            <w:rFonts w:asciiTheme="minorHAnsi" w:eastAsiaTheme="minorEastAsia" w:hAnsiTheme="minorHAnsi"/>
            <w:noProof/>
            <w:color w:val="auto"/>
            <w:sz w:val="22"/>
            <w:lang w:eastAsia="en-AU"/>
          </w:rPr>
          <w:tab/>
        </w:r>
        <w:r w:rsidR="00B2040F" w:rsidRPr="00A01EFE">
          <w:rPr>
            <w:rStyle w:val="Hyperlink"/>
            <w:noProof/>
          </w:rPr>
          <w:t>Scope</w:t>
        </w:r>
        <w:r w:rsidR="00B2040F">
          <w:rPr>
            <w:noProof/>
            <w:webHidden/>
          </w:rPr>
          <w:tab/>
        </w:r>
        <w:r w:rsidR="00B2040F">
          <w:rPr>
            <w:noProof/>
            <w:webHidden/>
          </w:rPr>
          <w:fldChar w:fldCharType="begin"/>
        </w:r>
        <w:r w:rsidR="00B2040F">
          <w:rPr>
            <w:noProof/>
            <w:webHidden/>
          </w:rPr>
          <w:instrText xml:space="preserve"> PAGEREF _Toc78473784 \h </w:instrText>
        </w:r>
        <w:r w:rsidR="00B2040F">
          <w:rPr>
            <w:noProof/>
            <w:webHidden/>
          </w:rPr>
        </w:r>
        <w:r w:rsidR="00B2040F">
          <w:rPr>
            <w:noProof/>
            <w:webHidden/>
          </w:rPr>
          <w:fldChar w:fldCharType="separate"/>
        </w:r>
        <w:r w:rsidR="00B2040F">
          <w:rPr>
            <w:noProof/>
            <w:webHidden/>
          </w:rPr>
          <w:t>1</w:t>
        </w:r>
        <w:r w:rsidR="00B2040F">
          <w:rPr>
            <w:noProof/>
            <w:webHidden/>
          </w:rPr>
          <w:fldChar w:fldCharType="end"/>
        </w:r>
      </w:hyperlink>
    </w:p>
    <w:p w14:paraId="10D8AE50" w14:textId="77777777" w:rsidR="00B2040F" w:rsidRDefault="000250E6">
      <w:pPr>
        <w:pStyle w:val="TOC2"/>
        <w:tabs>
          <w:tab w:val="left" w:pos="880"/>
          <w:tab w:val="right" w:leader="dot" w:pos="9736"/>
        </w:tabs>
        <w:rPr>
          <w:rFonts w:asciiTheme="minorHAnsi" w:eastAsiaTheme="minorEastAsia" w:hAnsiTheme="minorHAnsi"/>
          <w:noProof/>
          <w:color w:val="auto"/>
          <w:sz w:val="22"/>
          <w:lang w:eastAsia="en-AU"/>
        </w:rPr>
      </w:pPr>
      <w:hyperlink w:anchor="_Toc78473785" w:history="1">
        <w:r w:rsidR="00B2040F" w:rsidRPr="00A01EFE">
          <w:rPr>
            <w:rStyle w:val="Hyperlink"/>
            <w:noProof/>
          </w:rPr>
          <w:t>1.2</w:t>
        </w:r>
        <w:r w:rsidR="00B2040F">
          <w:rPr>
            <w:rFonts w:asciiTheme="minorHAnsi" w:eastAsiaTheme="minorEastAsia" w:hAnsiTheme="minorHAnsi"/>
            <w:noProof/>
            <w:color w:val="auto"/>
            <w:sz w:val="22"/>
            <w:lang w:eastAsia="en-AU"/>
          </w:rPr>
          <w:tab/>
        </w:r>
        <w:r w:rsidR="00B2040F" w:rsidRPr="00A01EFE">
          <w:rPr>
            <w:rStyle w:val="Hyperlink"/>
            <w:noProof/>
          </w:rPr>
          <w:t>Application</w:t>
        </w:r>
        <w:r w:rsidR="00B2040F">
          <w:rPr>
            <w:noProof/>
            <w:webHidden/>
          </w:rPr>
          <w:tab/>
        </w:r>
        <w:r w:rsidR="00B2040F">
          <w:rPr>
            <w:noProof/>
            <w:webHidden/>
          </w:rPr>
          <w:fldChar w:fldCharType="begin"/>
        </w:r>
        <w:r w:rsidR="00B2040F">
          <w:rPr>
            <w:noProof/>
            <w:webHidden/>
          </w:rPr>
          <w:instrText xml:space="preserve"> PAGEREF _Toc78473785 \h </w:instrText>
        </w:r>
        <w:r w:rsidR="00B2040F">
          <w:rPr>
            <w:noProof/>
            <w:webHidden/>
          </w:rPr>
        </w:r>
        <w:r w:rsidR="00B2040F">
          <w:rPr>
            <w:noProof/>
            <w:webHidden/>
          </w:rPr>
          <w:fldChar w:fldCharType="separate"/>
        </w:r>
        <w:r w:rsidR="00B2040F">
          <w:rPr>
            <w:noProof/>
            <w:webHidden/>
          </w:rPr>
          <w:t>1</w:t>
        </w:r>
        <w:r w:rsidR="00B2040F">
          <w:rPr>
            <w:noProof/>
            <w:webHidden/>
          </w:rPr>
          <w:fldChar w:fldCharType="end"/>
        </w:r>
      </w:hyperlink>
    </w:p>
    <w:p w14:paraId="63A3FF6A" w14:textId="77777777" w:rsidR="00B2040F" w:rsidRDefault="000250E6">
      <w:pPr>
        <w:pStyle w:val="TOC1"/>
        <w:rPr>
          <w:rFonts w:asciiTheme="minorHAnsi" w:eastAsiaTheme="minorEastAsia" w:hAnsiTheme="minorHAnsi"/>
          <w:sz w:val="22"/>
          <w:lang w:eastAsia="en-AU"/>
        </w:rPr>
      </w:pPr>
      <w:hyperlink w:anchor="_Toc78473786" w:history="1">
        <w:r w:rsidR="00B2040F" w:rsidRPr="00A01EFE">
          <w:rPr>
            <w:rStyle w:val="Hyperlink"/>
          </w:rPr>
          <w:t>2</w:t>
        </w:r>
        <w:r w:rsidR="00B2040F">
          <w:rPr>
            <w:rFonts w:asciiTheme="minorHAnsi" w:eastAsiaTheme="minorEastAsia" w:hAnsiTheme="minorHAnsi"/>
            <w:sz w:val="22"/>
            <w:lang w:eastAsia="en-AU"/>
          </w:rPr>
          <w:tab/>
        </w:r>
        <w:r w:rsidR="00B2040F" w:rsidRPr="00A01EFE">
          <w:rPr>
            <w:rStyle w:val="Hyperlink"/>
          </w:rPr>
          <w:t>Terminology</w:t>
        </w:r>
        <w:r w:rsidR="00B2040F">
          <w:rPr>
            <w:webHidden/>
          </w:rPr>
          <w:tab/>
        </w:r>
        <w:r w:rsidR="00B2040F">
          <w:rPr>
            <w:webHidden/>
          </w:rPr>
          <w:fldChar w:fldCharType="begin"/>
        </w:r>
        <w:r w:rsidR="00B2040F">
          <w:rPr>
            <w:webHidden/>
          </w:rPr>
          <w:instrText xml:space="preserve"> PAGEREF _Toc78473786 \h </w:instrText>
        </w:r>
        <w:r w:rsidR="00B2040F">
          <w:rPr>
            <w:webHidden/>
          </w:rPr>
        </w:r>
        <w:r w:rsidR="00B2040F">
          <w:rPr>
            <w:webHidden/>
          </w:rPr>
          <w:fldChar w:fldCharType="separate"/>
        </w:r>
        <w:r w:rsidR="00B2040F">
          <w:rPr>
            <w:webHidden/>
          </w:rPr>
          <w:t>2</w:t>
        </w:r>
        <w:r w:rsidR="00B2040F">
          <w:rPr>
            <w:webHidden/>
          </w:rPr>
          <w:fldChar w:fldCharType="end"/>
        </w:r>
      </w:hyperlink>
    </w:p>
    <w:p w14:paraId="258A62DF" w14:textId="77777777" w:rsidR="00B2040F" w:rsidRDefault="000250E6">
      <w:pPr>
        <w:pStyle w:val="TOC1"/>
        <w:rPr>
          <w:rFonts w:asciiTheme="minorHAnsi" w:eastAsiaTheme="minorEastAsia" w:hAnsiTheme="minorHAnsi"/>
          <w:sz w:val="22"/>
          <w:lang w:eastAsia="en-AU"/>
        </w:rPr>
      </w:pPr>
      <w:hyperlink w:anchor="_Toc78473787" w:history="1">
        <w:r w:rsidR="00B2040F" w:rsidRPr="00A01EFE">
          <w:rPr>
            <w:rStyle w:val="Hyperlink"/>
          </w:rPr>
          <w:t>3</w:t>
        </w:r>
        <w:r w:rsidR="00B2040F">
          <w:rPr>
            <w:rFonts w:asciiTheme="minorHAnsi" w:eastAsiaTheme="minorEastAsia" w:hAnsiTheme="minorHAnsi"/>
            <w:sz w:val="22"/>
            <w:lang w:eastAsia="en-AU"/>
          </w:rPr>
          <w:tab/>
        </w:r>
        <w:r w:rsidR="00B2040F" w:rsidRPr="00A01EFE">
          <w:rPr>
            <w:rStyle w:val="Hyperlink"/>
          </w:rPr>
          <w:t>Metrological and Technical Requirements</w:t>
        </w:r>
        <w:r w:rsidR="00B2040F">
          <w:rPr>
            <w:webHidden/>
          </w:rPr>
          <w:tab/>
        </w:r>
        <w:r w:rsidR="00B2040F">
          <w:rPr>
            <w:webHidden/>
          </w:rPr>
          <w:fldChar w:fldCharType="begin"/>
        </w:r>
        <w:r w:rsidR="00B2040F">
          <w:rPr>
            <w:webHidden/>
          </w:rPr>
          <w:instrText xml:space="preserve"> PAGEREF _Toc78473787 \h </w:instrText>
        </w:r>
        <w:r w:rsidR="00B2040F">
          <w:rPr>
            <w:webHidden/>
          </w:rPr>
        </w:r>
        <w:r w:rsidR="00B2040F">
          <w:rPr>
            <w:webHidden/>
          </w:rPr>
          <w:fldChar w:fldCharType="separate"/>
        </w:r>
        <w:r w:rsidR="00B2040F">
          <w:rPr>
            <w:webHidden/>
          </w:rPr>
          <w:t>4</w:t>
        </w:r>
        <w:r w:rsidR="00B2040F">
          <w:rPr>
            <w:webHidden/>
          </w:rPr>
          <w:fldChar w:fldCharType="end"/>
        </w:r>
      </w:hyperlink>
    </w:p>
    <w:p w14:paraId="48FFC4ED" w14:textId="77777777" w:rsidR="00B2040F" w:rsidRDefault="000250E6">
      <w:pPr>
        <w:pStyle w:val="TOC2"/>
        <w:tabs>
          <w:tab w:val="left" w:pos="880"/>
          <w:tab w:val="right" w:leader="dot" w:pos="9736"/>
        </w:tabs>
        <w:rPr>
          <w:rFonts w:asciiTheme="minorHAnsi" w:eastAsiaTheme="minorEastAsia" w:hAnsiTheme="minorHAnsi"/>
          <w:noProof/>
          <w:color w:val="auto"/>
          <w:sz w:val="22"/>
          <w:lang w:eastAsia="en-AU"/>
        </w:rPr>
      </w:pPr>
      <w:hyperlink w:anchor="_Toc78473788" w:history="1">
        <w:r w:rsidR="00B2040F" w:rsidRPr="00A01EFE">
          <w:rPr>
            <w:rStyle w:val="Hyperlink"/>
            <w:noProof/>
          </w:rPr>
          <w:t>3.1</w:t>
        </w:r>
        <w:r w:rsidR="00B2040F">
          <w:rPr>
            <w:rFonts w:asciiTheme="minorHAnsi" w:eastAsiaTheme="minorEastAsia" w:hAnsiTheme="minorHAnsi"/>
            <w:noProof/>
            <w:color w:val="auto"/>
            <w:sz w:val="22"/>
            <w:lang w:eastAsia="en-AU"/>
          </w:rPr>
          <w:tab/>
        </w:r>
        <w:r w:rsidR="00B2040F" w:rsidRPr="00A01EFE">
          <w:rPr>
            <w:rStyle w:val="Hyperlink"/>
            <w:noProof/>
          </w:rPr>
          <w:t>Units of Measurement</w:t>
        </w:r>
        <w:r w:rsidR="00B2040F">
          <w:rPr>
            <w:noProof/>
            <w:webHidden/>
          </w:rPr>
          <w:tab/>
        </w:r>
        <w:r w:rsidR="00B2040F">
          <w:rPr>
            <w:noProof/>
            <w:webHidden/>
          </w:rPr>
          <w:fldChar w:fldCharType="begin"/>
        </w:r>
        <w:r w:rsidR="00B2040F">
          <w:rPr>
            <w:noProof/>
            <w:webHidden/>
          </w:rPr>
          <w:instrText xml:space="preserve"> PAGEREF _Toc78473788 \h </w:instrText>
        </w:r>
        <w:r w:rsidR="00B2040F">
          <w:rPr>
            <w:noProof/>
            <w:webHidden/>
          </w:rPr>
        </w:r>
        <w:r w:rsidR="00B2040F">
          <w:rPr>
            <w:noProof/>
            <w:webHidden/>
          </w:rPr>
          <w:fldChar w:fldCharType="separate"/>
        </w:r>
        <w:r w:rsidR="00B2040F">
          <w:rPr>
            <w:noProof/>
            <w:webHidden/>
          </w:rPr>
          <w:t>4</w:t>
        </w:r>
        <w:r w:rsidR="00B2040F">
          <w:rPr>
            <w:noProof/>
            <w:webHidden/>
          </w:rPr>
          <w:fldChar w:fldCharType="end"/>
        </w:r>
      </w:hyperlink>
    </w:p>
    <w:p w14:paraId="17328F9E" w14:textId="77777777" w:rsidR="00B2040F" w:rsidRDefault="000250E6">
      <w:pPr>
        <w:pStyle w:val="TOC2"/>
        <w:tabs>
          <w:tab w:val="left" w:pos="880"/>
          <w:tab w:val="right" w:leader="dot" w:pos="9736"/>
        </w:tabs>
        <w:rPr>
          <w:rFonts w:asciiTheme="minorHAnsi" w:eastAsiaTheme="minorEastAsia" w:hAnsiTheme="minorHAnsi"/>
          <w:noProof/>
          <w:color w:val="auto"/>
          <w:sz w:val="22"/>
          <w:lang w:eastAsia="en-AU"/>
        </w:rPr>
      </w:pPr>
      <w:hyperlink w:anchor="_Toc78473789" w:history="1">
        <w:r w:rsidR="00B2040F" w:rsidRPr="00A01EFE">
          <w:rPr>
            <w:rStyle w:val="Hyperlink"/>
            <w:noProof/>
          </w:rPr>
          <w:t>3.2</w:t>
        </w:r>
        <w:r w:rsidR="00B2040F">
          <w:rPr>
            <w:rFonts w:asciiTheme="minorHAnsi" w:eastAsiaTheme="minorEastAsia" w:hAnsiTheme="minorHAnsi"/>
            <w:noProof/>
            <w:color w:val="auto"/>
            <w:sz w:val="22"/>
            <w:lang w:eastAsia="en-AU"/>
          </w:rPr>
          <w:tab/>
        </w:r>
        <w:r w:rsidR="00B2040F" w:rsidRPr="00A01EFE">
          <w:rPr>
            <w:rStyle w:val="Hyperlink"/>
            <w:noProof/>
          </w:rPr>
          <w:t>Calculated Quantities</w:t>
        </w:r>
        <w:r w:rsidR="00B2040F">
          <w:rPr>
            <w:noProof/>
            <w:webHidden/>
          </w:rPr>
          <w:tab/>
        </w:r>
        <w:r w:rsidR="00B2040F">
          <w:rPr>
            <w:noProof/>
            <w:webHidden/>
          </w:rPr>
          <w:fldChar w:fldCharType="begin"/>
        </w:r>
        <w:r w:rsidR="00B2040F">
          <w:rPr>
            <w:noProof/>
            <w:webHidden/>
          </w:rPr>
          <w:instrText xml:space="preserve"> PAGEREF _Toc78473789 \h </w:instrText>
        </w:r>
        <w:r w:rsidR="00B2040F">
          <w:rPr>
            <w:noProof/>
            <w:webHidden/>
          </w:rPr>
        </w:r>
        <w:r w:rsidR="00B2040F">
          <w:rPr>
            <w:noProof/>
            <w:webHidden/>
          </w:rPr>
          <w:fldChar w:fldCharType="separate"/>
        </w:r>
        <w:r w:rsidR="00B2040F">
          <w:rPr>
            <w:noProof/>
            <w:webHidden/>
          </w:rPr>
          <w:t>4</w:t>
        </w:r>
        <w:r w:rsidR="00B2040F">
          <w:rPr>
            <w:noProof/>
            <w:webHidden/>
          </w:rPr>
          <w:fldChar w:fldCharType="end"/>
        </w:r>
      </w:hyperlink>
    </w:p>
    <w:p w14:paraId="09BC59DF" w14:textId="77777777" w:rsidR="00B2040F" w:rsidRDefault="000250E6">
      <w:pPr>
        <w:pStyle w:val="TOC2"/>
        <w:tabs>
          <w:tab w:val="left" w:pos="880"/>
          <w:tab w:val="right" w:leader="dot" w:pos="9736"/>
        </w:tabs>
        <w:rPr>
          <w:rFonts w:asciiTheme="minorHAnsi" w:eastAsiaTheme="minorEastAsia" w:hAnsiTheme="minorHAnsi"/>
          <w:noProof/>
          <w:color w:val="auto"/>
          <w:sz w:val="22"/>
          <w:lang w:eastAsia="en-AU"/>
        </w:rPr>
      </w:pPr>
      <w:hyperlink w:anchor="_Toc78473790" w:history="1">
        <w:r w:rsidR="00B2040F" w:rsidRPr="00A01EFE">
          <w:rPr>
            <w:rStyle w:val="Hyperlink"/>
            <w:noProof/>
          </w:rPr>
          <w:t>3.3</w:t>
        </w:r>
        <w:r w:rsidR="00B2040F">
          <w:rPr>
            <w:rFonts w:asciiTheme="minorHAnsi" w:eastAsiaTheme="minorEastAsia" w:hAnsiTheme="minorHAnsi"/>
            <w:noProof/>
            <w:color w:val="auto"/>
            <w:sz w:val="22"/>
            <w:lang w:eastAsia="en-AU"/>
          </w:rPr>
          <w:tab/>
        </w:r>
        <w:r w:rsidR="00B2040F" w:rsidRPr="00A01EFE">
          <w:rPr>
            <w:rStyle w:val="Hyperlink"/>
            <w:noProof/>
          </w:rPr>
          <w:t>Rules for the Determination of Errors</w:t>
        </w:r>
        <w:r w:rsidR="00B2040F">
          <w:rPr>
            <w:noProof/>
            <w:webHidden/>
          </w:rPr>
          <w:tab/>
        </w:r>
        <w:r w:rsidR="00B2040F">
          <w:rPr>
            <w:noProof/>
            <w:webHidden/>
          </w:rPr>
          <w:fldChar w:fldCharType="begin"/>
        </w:r>
        <w:r w:rsidR="00B2040F">
          <w:rPr>
            <w:noProof/>
            <w:webHidden/>
          </w:rPr>
          <w:instrText xml:space="preserve"> PAGEREF _Toc78473790 \h </w:instrText>
        </w:r>
        <w:r w:rsidR="00B2040F">
          <w:rPr>
            <w:noProof/>
            <w:webHidden/>
          </w:rPr>
        </w:r>
        <w:r w:rsidR="00B2040F">
          <w:rPr>
            <w:noProof/>
            <w:webHidden/>
          </w:rPr>
          <w:fldChar w:fldCharType="separate"/>
        </w:r>
        <w:r w:rsidR="00B2040F">
          <w:rPr>
            <w:noProof/>
            <w:webHidden/>
          </w:rPr>
          <w:t>4</w:t>
        </w:r>
        <w:r w:rsidR="00B2040F">
          <w:rPr>
            <w:noProof/>
            <w:webHidden/>
          </w:rPr>
          <w:fldChar w:fldCharType="end"/>
        </w:r>
      </w:hyperlink>
    </w:p>
    <w:p w14:paraId="19D07FB4" w14:textId="77777777" w:rsidR="00B2040F" w:rsidRDefault="000250E6">
      <w:pPr>
        <w:pStyle w:val="TOC2"/>
        <w:tabs>
          <w:tab w:val="left" w:pos="880"/>
          <w:tab w:val="right" w:leader="dot" w:pos="9736"/>
        </w:tabs>
        <w:rPr>
          <w:rFonts w:asciiTheme="minorHAnsi" w:eastAsiaTheme="minorEastAsia" w:hAnsiTheme="minorHAnsi"/>
          <w:noProof/>
          <w:color w:val="auto"/>
          <w:sz w:val="22"/>
          <w:lang w:eastAsia="en-AU"/>
        </w:rPr>
      </w:pPr>
      <w:hyperlink w:anchor="_Toc78473791" w:history="1">
        <w:r w:rsidR="00B2040F" w:rsidRPr="00A01EFE">
          <w:rPr>
            <w:rStyle w:val="Hyperlink"/>
            <w:noProof/>
          </w:rPr>
          <w:t>3.4</w:t>
        </w:r>
        <w:r w:rsidR="00B2040F">
          <w:rPr>
            <w:rFonts w:asciiTheme="minorHAnsi" w:eastAsiaTheme="minorEastAsia" w:hAnsiTheme="minorHAnsi"/>
            <w:noProof/>
            <w:color w:val="auto"/>
            <w:sz w:val="22"/>
            <w:lang w:eastAsia="en-AU"/>
          </w:rPr>
          <w:tab/>
        </w:r>
        <w:r w:rsidR="00B2040F" w:rsidRPr="00A01EFE">
          <w:rPr>
            <w:rStyle w:val="Hyperlink"/>
            <w:noProof/>
          </w:rPr>
          <w:t>Information to be Displayed on Meter Exterior</w:t>
        </w:r>
        <w:r w:rsidR="00B2040F">
          <w:rPr>
            <w:noProof/>
            <w:webHidden/>
          </w:rPr>
          <w:tab/>
        </w:r>
        <w:r w:rsidR="00B2040F">
          <w:rPr>
            <w:noProof/>
            <w:webHidden/>
          </w:rPr>
          <w:fldChar w:fldCharType="begin"/>
        </w:r>
        <w:r w:rsidR="00B2040F">
          <w:rPr>
            <w:noProof/>
            <w:webHidden/>
          </w:rPr>
          <w:instrText xml:space="preserve"> PAGEREF _Toc78473791 \h </w:instrText>
        </w:r>
        <w:r w:rsidR="00B2040F">
          <w:rPr>
            <w:noProof/>
            <w:webHidden/>
          </w:rPr>
        </w:r>
        <w:r w:rsidR="00B2040F">
          <w:rPr>
            <w:noProof/>
            <w:webHidden/>
          </w:rPr>
          <w:fldChar w:fldCharType="separate"/>
        </w:r>
        <w:r w:rsidR="00B2040F">
          <w:rPr>
            <w:noProof/>
            <w:webHidden/>
          </w:rPr>
          <w:t>4</w:t>
        </w:r>
        <w:r w:rsidR="00B2040F">
          <w:rPr>
            <w:noProof/>
            <w:webHidden/>
          </w:rPr>
          <w:fldChar w:fldCharType="end"/>
        </w:r>
      </w:hyperlink>
    </w:p>
    <w:p w14:paraId="6EBFDF00" w14:textId="77777777" w:rsidR="00B2040F" w:rsidRDefault="000250E6">
      <w:pPr>
        <w:pStyle w:val="TOC2"/>
        <w:tabs>
          <w:tab w:val="left" w:pos="880"/>
          <w:tab w:val="right" w:leader="dot" w:pos="9736"/>
        </w:tabs>
        <w:rPr>
          <w:rFonts w:asciiTheme="minorHAnsi" w:eastAsiaTheme="minorEastAsia" w:hAnsiTheme="minorHAnsi"/>
          <w:noProof/>
          <w:color w:val="auto"/>
          <w:sz w:val="22"/>
          <w:lang w:eastAsia="en-AU"/>
        </w:rPr>
      </w:pPr>
      <w:hyperlink w:anchor="_Toc78473792" w:history="1">
        <w:r w:rsidR="00B2040F" w:rsidRPr="00A01EFE">
          <w:rPr>
            <w:rStyle w:val="Hyperlink"/>
            <w:noProof/>
          </w:rPr>
          <w:t>3.5</w:t>
        </w:r>
        <w:r w:rsidR="00B2040F">
          <w:rPr>
            <w:rFonts w:asciiTheme="minorHAnsi" w:eastAsiaTheme="minorEastAsia" w:hAnsiTheme="minorHAnsi"/>
            <w:noProof/>
            <w:color w:val="auto"/>
            <w:sz w:val="22"/>
            <w:lang w:eastAsia="en-AU"/>
          </w:rPr>
          <w:tab/>
        </w:r>
        <w:r w:rsidR="00B2040F" w:rsidRPr="00A01EFE">
          <w:rPr>
            <w:rStyle w:val="Hyperlink"/>
            <w:noProof/>
          </w:rPr>
          <w:t>Verification Mark</w:t>
        </w:r>
        <w:r w:rsidR="00B2040F">
          <w:rPr>
            <w:noProof/>
            <w:webHidden/>
          </w:rPr>
          <w:tab/>
        </w:r>
        <w:r w:rsidR="00B2040F">
          <w:rPr>
            <w:noProof/>
            <w:webHidden/>
          </w:rPr>
          <w:fldChar w:fldCharType="begin"/>
        </w:r>
        <w:r w:rsidR="00B2040F">
          <w:rPr>
            <w:noProof/>
            <w:webHidden/>
          </w:rPr>
          <w:instrText xml:space="preserve"> PAGEREF _Toc78473792 \h </w:instrText>
        </w:r>
        <w:r w:rsidR="00B2040F">
          <w:rPr>
            <w:noProof/>
            <w:webHidden/>
          </w:rPr>
        </w:r>
        <w:r w:rsidR="00B2040F">
          <w:rPr>
            <w:noProof/>
            <w:webHidden/>
          </w:rPr>
          <w:fldChar w:fldCharType="separate"/>
        </w:r>
        <w:r w:rsidR="00B2040F">
          <w:rPr>
            <w:noProof/>
            <w:webHidden/>
          </w:rPr>
          <w:t>5</w:t>
        </w:r>
        <w:r w:rsidR="00B2040F">
          <w:rPr>
            <w:noProof/>
            <w:webHidden/>
          </w:rPr>
          <w:fldChar w:fldCharType="end"/>
        </w:r>
      </w:hyperlink>
    </w:p>
    <w:p w14:paraId="51DAEF32" w14:textId="77777777" w:rsidR="00B2040F" w:rsidRDefault="000250E6">
      <w:pPr>
        <w:pStyle w:val="TOC2"/>
        <w:tabs>
          <w:tab w:val="left" w:pos="880"/>
          <w:tab w:val="right" w:leader="dot" w:pos="9736"/>
        </w:tabs>
        <w:rPr>
          <w:rFonts w:asciiTheme="minorHAnsi" w:eastAsiaTheme="minorEastAsia" w:hAnsiTheme="minorHAnsi"/>
          <w:noProof/>
          <w:color w:val="auto"/>
          <w:sz w:val="22"/>
          <w:lang w:eastAsia="en-AU"/>
        </w:rPr>
      </w:pPr>
      <w:hyperlink w:anchor="_Toc78473793" w:history="1">
        <w:r w:rsidR="00B2040F" w:rsidRPr="00A01EFE">
          <w:rPr>
            <w:rStyle w:val="Hyperlink"/>
            <w:noProof/>
          </w:rPr>
          <w:t>3.6</w:t>
        </w:r>
        <w:r w:rsidR="00B2040F">
          <w:rPr>
            <w:rFonts w:asciiTheme="minorHAnsi" w:eastAsiaTheme="minorEastAsia" w:hAnsiTheme="minorHAnsi"/>
            <w:noProof/>
            <w:color w:val="auto"/>
            <w:sz w:val="22"/>
            <w:lang w:eastAsia="en-AU"/>
          </w:rPr>
          <w:tab/>
        </w:r>
        <w:r w:rsidR="00B2040F" w:rsidRPr="00A01EFE">
          <w:rPr>
            <w:rStyle w:val="Hyperlink"/>
            <w:noProof/>
          </w:rPr>
          <w:t>Sealing</w:t>
        </w:r>
        <w:r w:rsidR="00B2040F">
          <w:rPr>
            <w:noProof/>
            <w:webHidden/>
          </w:rPr>
          <w:tab/>
        </w:r>
        <w:r w:rsidR="00B2040F">
          <w:rPr>
            <w:noProof/>
            <w:webHidden/>
          </w:rPr>
          <w:fldChar w:fldCharType="begin"/>
        </w:r>
        <w:r w:rsidR="00B2040F">
          <w:rPr>
            <w:noProof/>
            <w:webHidden/>
          </w:rPr>
          <w:instrText xml:space="preserve"> PAGEREF _Toc78473793 \h </w:instrText>
        </w:r>
        <w:r w:rsidR="00B2040F">
          <w:rPr>
            <w:noProof/>
            <w:webHidden/>
          </w:rPr>
        </w:r>
        <w:r w:rsidR="00B2040F">
          <w:rPr>
            <w:noProof/>
            <w:webHidden/>
          </w:rPr>
          <w:fldChar w:fldCharType="separate"/>
        </w:r>
        <w:r w:rsidR="00B2040F">
          <w:rPr>
            <w:noProof/>
            <w:webHidden/>
          </w:rPr>
          <w:t>5</w:t>
        </w:r>
        <w:r w:rsidR="00B2040F">
          <w:rPr>
            <w:noProof/>
            <w:webHidden/>
          </w:rPr>
          <w:fldChar w:fldCharType="end"/>
        </w:r>
      </w:hyperlink>
    </w:p>
    <w:p w14:paraId="57173617" w14:textId="77777777" w:rsidR="00B2040F" w:rsidRDefault="000250E6">
      <w:pPr>
        <w:pStyle w:val="TOC1"/>
        <w:rPr>
          <w:rFonts w:asciiTheme="minorHAnsi" w:eastAsiaTheme="minorEastAsia" w:hAnsiTheme="minorHAnsi"/>
          <w:sz w:val="22"/>
          <w:lang w:eastAsia="en-AU"/>
        </w:rPr>
      </w:pPr>
      <w:hyperlink w:anchor="_Toc78473794" w:history="1">
        <w:r w:rsidR="00B2040F" w:rsidRPr="00A01EFE">
          <w:rPr>
            <w:rStyle w:val="Hyperlink"/>
          </w:rPr>
          <w:t>4</w:t>
        </w:r>
        <w:r w:rsidR="00B2040F">
          <w:rPr>
            <w:rFonts w:asciiTheme="minorHAnsi" w:eastAsiaTheme="minorEastAsia" w:hAnsiTheme="minorHAnsi"/>
            <w:sz w:val="22"/>
            <w:lang w:eastAsia="en-AU"/>
          </w:rPr>
          <w:tab/>
        </w:r>
        <w:r w:rsidR="00B2040F" w:rsidRPr="00A01EFE">
          <w:rPr>
            <w:rStyle w:val="Hyperlink"/>
          </w:rPr>
          <w:t>Accuracy Classes and Maximum Permissible Errors</w:t>
        </w:r>
        <w:r w:rsidR="00B2040F">
          <w:rPr>
            <w:webHidden/>
          </w:rPr>
          <w:tab/>
        </w:r>
        <w:r w:rsidR="00B2040F">
          <w:rPr>
            <w:webHidden/>
          </w:rPr>
          <w:fldChar w:fldCharType="begin"/>
        </w:r>
        <w:r w:rsidR="00B2040F">
          <w:rPr>
            <w:webHidden/>
          </w:rPr>
          <w:instrText xml:space="preserve"> PAGEREF _Toc78473794 \h </w:instrText>
        </w:r>
        <w:r w:rsidR="00B2040F">
          <w:rPr>
            <w:webHidden/>
          </w:rPr>
        </w:r>
        <w:r w:rsidR="00B2040F">
          <w:rPr>
            <w:webHidden/>
          </w:rPr>
          <w:fldChar w:fldCharType="separate"/>
        </w:r>
        <w:r w:rsidR="00B2040F">
          <w:rPr>
            <w:webHidden/>
          </w:rPr>
          <w:t>6</w:t>
        </w:r>
        <w:r w:rsidR="00B2040F">
          <w:rPr>
            <w:webHidden/>
          </w:rPr>
          <w:fldChar w:fldCharType="end"/>
        </w:r>
      </w:hyperlink>
    </w:p>
    <w:p w14:paraId="308303E5" w14:textId="77777777" w:rsidR="00B2040F" w:rsidRDefault="000250E6">
      <w:pPr>
        <w:pStyle w:val="TOC1"/>
        <w:rPr>
          <w:rFonts w:asciiTheme="minorHAnsi" w:eastAsiaTheme="minorEastAsia" w:hAnsiTheme="minorHAnsi"/>
          <w:sz w:val="22"/>
          <w:lang w:eastAsia="en-AU"/>
        </w:rPr>
      </w:pPr>
      <w:hyperlink w:anchor="_Toc78473795" w:history="1">
        <w:r w:rsidR="00B2040F" w:rsidRPr="00A01EFE">
          <w:rPr>
            <w:rStyle w:val="Hyperlink"/>
          </w:rPr>
          <w:t>5</w:t>
        </w:r>
        <w:r w:rsidR="00B2040F">
          <w:rPr>
            <w:rFonts w:asciiTheme="minorHAnsi" w:eastAsiaTheme="minorEastAsia" w:hAnsiTheme="minorHAnsi"/>
            <w:sz w:val="22"/>
            <w:lang w:eastAsia="en-AU"/>
          </w:rPr>
          <w:tab/>
        </w:r>
        <w:r w:rsidR="00B2040F" w:rsidRPr="00A01EFE">
          <w:rPr>
            <w:rStyle w:val="Hyperlink"/>
          </w:rPr>
          <w:t>Assessment of Requirements in the Australian Standards</w:t>
        </w:r>
        <w:r w:rsidR="00B2040F">
          <w:rPr>
            <w:webHidden/>
          </w:rPr>
          <w:tab/>
        </w:r>
        <w:r w:rsidR="00B2040F">
          <w:rPr>
            <w:webHidden/>
          </w:rPr>
          <w:fldChar w:fldCharType="begin"/>
        </w:r>
        <w:r w:rsidR="00B2040F">
          <w:rPr>
            <w:webHidden/>
          </w:rPr>
          <w:instrText xml:space="preserve"> PAGEREF _Toc78473795 \h </w:instrText>
        </w:r>
        <w:r w:rsidR="00B2040F">
          <w:rPr>
            <w:webHidden/>
          </w:rPr>
        </w:r>
        <w:r w:rsidR="00B2040F">
          <w:rPr>
            <w:webHidden/>
          </w:rPr>
          <w:fldChar w:fldCharType="separate"/>
        </w:r>
        <w:r w:rsidR="00B2040F">
          <w:rPr>
            <w:webHidden/>
          </w:rPr>
          <w:t>7</w:t>
        </w:r>
        <w:r w:rsidR="00B2040F">
          <w:rPr>
            <w:webHidden/>
          </w:rPr>
          <w:fldChar w:fldCharType="end"/>
        </w:r>
      </w:hyperlink>
    </w:p>
    <w:p w14:paraId="2D39457B" w14:textId="77777777" w:rsidR="00B2040F" w:rsidRDefault="000250E6">
      <w:pPr>
        <w:pStyle w:val="TOC1"/>
        <w:rPr>
          <w:rFonts w:asciiTheme="minorHAnsi" w:eastAsiaTheme="minorEastAsia" w:hAnsiTheme="minorHAnsi"/>
          <w:sz w:val="22"/>
          <w:lang w:eastAsia="en-AU"/>
        </w:rPr>
      </w:pPr>
      <w:hyperlink w:anchor="_Toc78473796" w:history="1">
        <w:r w:rsidR="00B2040F" w:rsidRPr="00A01EFE">
          <w:rPr>
            <w:rStyle w:val="Hyperlink"/>
          </w:rPr>
          <w:t>6</w:t>
        </w:r>
        <w:r w:rsidR="00B2040F">
          <w:rPr>
            <w:rFonts w:asciiTheme="minorHAnsi" w:eastAsiaTheme="minorEastAsia" w:hAnsiTheme="minorHAnsi"/>
            <w:sz w:val="22"/>
            <w:lang w:eastAsia="en-AU"/>
          </w:rPr>
          <w:tab/>
        </w:r>
        <w:r w:rsidR="00B2040F" w:rsidRPr="00A01EFE">
          <w:rPr>
            <w:rStyle w:val="Hyperlink"/>
          </w:rPr>
          <w:t>General</w:t>
        </w:r>
        <w:r w:rsidR="00B2040F">
          <w:rPr>
            <w:webHidden/>
          </w:rPr>
          <w:tab/>
        </w:r>
        <w:r w:rsidR="00B2040F">
          <w:rPr>
            <w:webHidden/>
          </w:rPr>
          <w:fldChar w:fldCharType="begin"/>
        </w:r>
        <w:r w:rsidR="00B2040F">
          <w:rPr>
            <w:webHidden/>
          </w:rPr>
          <w:instrText xml:space="preserve"> PAGEREF _Toc78473796 \h </w:instrText>
        </w:r>
        <w:r w:rsidR="00B2040F">
          <w:rPr>
            <w:webHidden/>
          </w:rPr>
        </w:r>
        <w:r w:rsidR="00B2040F">
          <w:rPr>
            <w:webHidden/>
          </w:rPr>
          <w:fldChar w:fldCharType="separate"/>
        </w:r>
        <w:r w:rsidR="00B2040F">
          <w:rPr>
            <w:webHidden/>
          </w:rPr>
          <w:t>9</w:t>
        </w:r>
        <w:r w:rsidR="00B2040F">
          <w:rPr>
            <w:webHidden/>
          </w:rPr>
          <w:fldChar w:fldCharType="end"/>
        </w:r>
      </w:hyperlink>
    </w:p>
    <w:p w14:paraId="092B38A2" w14:textId="77777777" w:rsidR="00B2040F" w:rsidRDefault="000250E6">
      <w:pPr>
        <w:pStyle w:val="TOC2"/>
        <w:tabs>
          <w:tab w:val="left" w:pos="880"/>
          <w:tab w:val="right" w:leader="dot" w:pos="9736"/>
        </w:tabs>
        <w:rPr>
          <w:rFonts w:asciiTheme="minorHAnsi" w:eastAsiaTheme="minorEastAsia" w:hAnsiTheme="minorHAnsi"/>
          <w:noProof/>
          <w:color w:val="auto"/>
          <w:sz w:val="22"/>
          <w:lang w:eastAsia="en-AU"/>
        </w:rPr>
      </w:pPr>
      <w:hyperlink w:anchor="_Toc78473797" w:history="1">
        <w:r w:rsidR="00B2040F" w:rsidRPr="00A01EFE">
          <w:rPr>
            <w:rStyle w:val="Hyperlink"/>
            <w:noProof/>
          </w:rPr>
          <w:t>6.1</w:t>
        </w:r>
        <w:r w:rsidR="00B2040F">
          <w:rPr>
            <w:rFonts w:asciiTheme="minorHAnsi" w:eastAsiaTheme="minorEastAsia" w:hAnsiTheme="minorHAnsi"/>
            <w:noProof/>
            <w:color w:val="auto"/>
            <w:sz w:val="22"/>
            <w:lang w:eastAsia="en-AU"/>
          </w:rPr>
          <w:tab/>
        </w:r>
        <w:r w:rsidR="00B2040F" w:rsidRPr="00A01EFE">
          <w:rPr>
            <w:rStyle w:val="Hyperlink"/>
            <w:noProof/>
          </w:rPr>
          <w:t>Pattern Approval</w:t>
        </w:r>
        <w:r w:rsidR="00B2040F">
          <w:rPr>
            <w:noProof/>
            <w:webHidden/>
          </w:rPr>
          <w:tab/>
        </w:r>
        <w:r w:rsidR="00B2040F">
          <w:rPr>
            <w:noProof/>
            <w:webHidden/>
          </w:rPr>
          <w:fldChar w:fldCharType="begin"/>
        </w:r>
        <w:r w:rsidR="00B2040F">
          <w:rPr>
            <w:noProof/>
            <w:webHidden/>
          </w:rPr>
          <w:instrText xml:space="preserve"> PAGEREF _Toc78473797 \h </w:instrText>
        </w:r>
        <w:r w:rsidR="00B2040F">
          <w:rPr>
            <w:noProof/>
            <w:webHidden/>
          </w:rPr>
        </w:r>
        <w:r w:rsidR="00B2040F">
          <w:rPr>
            <w:noProof/>
            <w:webHidden/>
          </w:rPr>
          <w:fldChar w:fldCharType="separate"/>
        </w:r>
        <w:r w:rsidR="00B2040F">
          <w:rPr>
            <w:noProof/>
            <w:webHidden/>
          </w:rPr>
          <w:t>9</w:t>
        </w:r>
        <w:r w:rsidR="00B2040F">
          <w:rPr>
            <w:noProof/>
            <w:webHidden/>
          </w:rPr>
          <w:fldChar w:fldCharType="end"/>
        </w:r>
      </w:hyperlink>
    </w:p>
    <w:p w14:paraId="5A285420" w14:textId="77777777" w:rsidR="00B2040F" w:rsidRDefault="000250E6">
      <w:pPr>
        <w:pStyle w:val="TOC2"/>
        <w:tabs>
          <w:tab w:val="left" w:pos="880"/>
          <w:tab w:val="right" w:leader="dot" w:pos="9736"/>
        </w:tabs>
        <w:rPr>
          <w:rFonts w:asciiTheme="minorHAnsi" w:eastAsiaTheme="minorEastAsia" w:hAnsiTheme="minorHAnsi"/>
          <w:noProof/>
          <w:color w:val="auto"/>
          <w:sz w:val="22"/>
          <w:lang w:eastAsia="en-AU"/>
        </w:rPr>
      </w:pPr>
      <w:hyperlink w:anchor="_Toc78473798" w:history="1">
        <w:r w:rsidR="00B2040F" w:rsidRPr="00A01EFE">
          <w:rPr>
            <w:rStyle w:val="Hyperlink"/>
            <w:noProof/>
          </w:rPr>
          <w:t>6.2</w:t>
        </w:r>
        <w:r w:rsidR="00B2040F">
          <w:rPr>
            <w:rFonts w:asciiTheme="minorHAnsi" w:eastAsiaTheme="minorEastAsia" w:hAnsiTheme="minorHAnsi"/>
            <w:noProof/>
            <w:color w:val="auto"/>
            <w:sz w:val="22"/>
            <w:lang w:eastAsia="en-AU"/>
          </w:rPr>
          <w:tab/>
        </w:r>
        <w:r w:rsidR="00B2040F" w:rsidRPr="00A01EFE">
          <w:rPr>
            <w:rStyle w:val="Hyperlink"/>
            <w:noProof/>
          </w:rPr>
          <w:t>Verification</w:t>
        </w:r>
        <w:r w:rsidR="00B2040F">
          <w:rPr>
            <w:noProof/>
            <w:webHidden/>
          </w:rPr>
          <w:tab/>
        </w:r>
        <w:r w:rsidR="00B2040F">
          <w:rPr>
            <w:noProof/>
            <w:webHidden/>
          </w:rPr>
          <w:fldChar w:fldCharType="begin"/>
        </w:r>
        <w:r w:rsidR="00B2040F">
          <w:rPr>
            <w:noProof/>
            <w:webHidden/>
          </w:rPr>
          <w:instrText xml:space="preserve"> PAGEREF _Toc78473798 \h </w:instrText>
        </w:r>
        <w:r w:rsidR="00B2040F">
          <w:rPr>
            <w:noProof/>
            <w:webHidden/>
          </w:rPr>
        </w:r>
        <w:r w:rsidR="00B2040F">
          <w:rPr>
            <w:noProof/>
            <w:webHidden/>
          </w:rPr>
          <w:fldChar w:fldCharType="separate"/>
        </w:r>
        <w:r w:rsidR="00B2040F">
          <w:rPr>
            <w:noProof/>
            <w:webHidden/>
          </w:rPr>
          <w:t>9</w:t>
        </w:r>
        <w:r w:rsidR="00B2040F">
          <w:rPr>
            <w:noProof/>
            <w:webHidden/>
          </w:rPr>
          <w:fldChar w:fldCharType="end"/>
        </w:r>
      </w:hyperlink>
    </w:p>
    <w:p w14:paraId="58302F15" w14:textId="77777777" w:rsidR="00B2040F" w:rsidRDefault="000250E6">
      <w:pPr>
        <w:pStyle w:val="TOC1"/>
        <w:rPr>
          <w:rFonts w:asciiTheme="minorHAnsi" w:eastAsiaTheme="minorEastAsia" w:hAnsiTheme="minorHAnsi"/>
          <w:sz w:val="22"/>
          <w:lang w:eastAsia="en-AU"/>
        </w:rPr>
      </w:pPr>
      <w:hyperlink w:anchor="_Toc78473799" w:history="1">
        <w:r w:rsidR="00B2040F" w:rsidRPr="00A01EFE">
          <w:rPr>
            <w:rStyle w:val="Hyperlink"/>
          </w:rPr>
          <w:t>Bibliography</w:t>
        </w:r>
        <w:r w:rsidR="00B2040F">
          <w:rPr>
            <w:webHidden/>
          </w:rPr>
          <w:tab/>
        </w:r>
        <w:r w:rsidR="00B2040F">
          <w:rPr>
            <w:webHidden/>
          </w:rPr>
          <w:fldChar w:fldCharType="begin"/>
        </w:r>
        <w:r w:rsidR="00B2040F">
          <w:rPr>
            <w:webHidden/>
          </w:rPr>
          <w:instrText xml:space="preserve"> PAGEREF _Toc78473799 \h </w:instrText>
        </w:r>
        <w:r w:rsidR="00B2040F">
          <w:rPr>
            <w:webHidden/>
          </w:rPr>
        </w:r>
        <w:r w:rsidR="00B2040F">
          <w:rPr>
            <w:webHidden/>
          </w:rPr>
          <w:fldChar w:fldCharType="separate"/>
        </w:r>
        <w:r w:rsidR="00B2040F">
          <w:rPr>
            <w:webHidden/>
          </w:rPr>
          <w:t>10</w:t>
        </w:r>
        <w:r w:rsidR="00B2040F">
          <w:rPr>
            <w:webHidden/>
          </w:rPr>
          <w:fldChar w:fldCharType="end"/>
        </w:r>
      </w:hyperlink>
    </w:p>
    <w:p w14:paraId="2D282EEC" w14:textId="21C5001F" w:rsidR="00D60C0B" w:rsidRDefault="0030793A" w:rsidP="008776BE">
      <w:r>
        <w:rPr>
          <w:noProof/>
          <w:sz w:val="24"/>
        </w:rPr>
        <w:fldChar w:fldCharType="end"/>
      </w:r>
    </w:p>
    <w:p w14:paraId="1DA2615B" w14:textId="3D2E7611" w:rsidR="00D60C0B" w:rsidRDefault="00D60C0B" w:rsidP="00D60C0B">
      <w:pPr>
        <w:tabs>
          <w:tab w:val="left" w:pos="1212"/>
        </w:tabs>
      </w:pPr>
      <w:r>
        <w:tab/>
      </w:r>
    </w:p>
    <w:p w14:paraId="657453B1" w14:textId="794A9476" w:rsidR="005E4FC8" w:rsidRPr="00D60C0B" w:rsidRDefault="00D60C0B" w:rsidP="00D60C0B">
      <w:pPr>
        <w:tabs>
          <w:tab w:val="left" w:pos="1212"/>
        </w:tabs>
        <w:sectPr w:rsidR="005E4FC8" w:rsidRPr="00D60C0B" w:rsidSect="0041789E">
          <w:headerReference w:type="default" r:id="rId16"/>
          <w:footerReference w:type="default" r:id="rId17"/>
          <w:headerReference w:type="first" r:id="rId18"/>
          <w:footerReference w:type="first" r:id="rId19"/>
          <w:pgSz w:w="11906" w:h="16838"/>
          <w:pgMar w:top="1440" w:right="1080" w:bottom="1440" w:left="1080" w:header="708" w:footer="708" w:gutter="0"/>
          <w:pgNumType w:fmt="lowerRoman" w:start="1"/>
          <w:cols w:space="708"/>
          <w:docGrid w:linePitch="360"/>
        </w:sectPr>
      </w:pPr>
      <w:r>
        <w:tab/>
      </w:r>
    </w:p>
    <w:p w14:paraId="799CE840" w14:textId="77777777" w:rsidR="00133643" w:rsidRPr="00AC44C8" w:rsidRDefault="00133643" w:rsidP="00133643">
      <w:pPr>
        <w:pStyle w:val="Heading1-NoNumber"/>
      </w:pPr>
      <w:bookmarkStart w:id="6" w:name="_Toc78473782"/>
      <w:r w:rsidRPr="00762963">
        <w:lastRenderedPageBreak/>
        <w:t>Preface</w:t>
      </w:r>
      <w:bookmarkEnd w:id="6"/>
    </w:p>
    <w:p w14:paraId="182340F8" w14:textId="77777777" w:rsidR="00A548E5" w:rsidRDefault="00DA0FCE" w:rsidP="00DA0FCE">
      <w:r w:rsidRPr="0029562D">
        <w:t>It is Australian Government policy to harmonise Australian standards with international metrological requirements to the greatest possible extent. This</w:t>
      </w:r>
      <w:r w:rsidR="00741084" w:rsidRPr="0029562D">
        <w:t xml:space="preserve"> </w:t>
      </w:r>
      <w:r w:rsidR="007C031E" w:rsidRPr="0029562D">
        <w:t xml:space="preserve">document </w:t>
      </w:r>
      <w:r w:rsidR="00746A26">
        <w:t xml:space="preserve">presents one pathway for the pattern </w:t>
      </w:r>
      <w:r w:rsidR="00A548E5">
        <w:t>approval of electricity meters.</w:t>
      </w:r>
    </w:p>
    <w:p w14:paraId="1D30A97F" w14:textId="77777777" w:rsidR="00AF3C4A" w:rsidRDefault="00746A26" w:rsidP="00DA0FCE">
      <w:r>
        <w:t xml:space="preserve">This pathway is based on </w:t>
      </w:r>
      <w:r w:rsidR="00DA0FCE" w:rsidRPr="0029562D">
        <w:t>a suite of standards published by Standards Australia which are modified adoptions of International Electrotechnical Comm</w:t>
      </w:r>
      <w:r w:rsidR="00A548E5">
        <w:t>ission (IEC) standards.</w:t>
      </w:r>
    </w:p>
    <w:p w14:paraId="66471AFC" w14:textId="059CE594" w:rsidR="00DA0FCE" w:rsidRPr="0029562D" w:rsidRDefault="00EA33A2" w:rsidP="00DA0FCE">
      <w:r>
        <w:t xml:space="preserve">This pathway was previously specified as pathway 2 in </w:t>
      </w:r>
      <w:r w:rsidR="00501F9E" w:rsidRPr="00501F9E">
        <w:t>NMI M 6-1</w:t>
      </w:r>
      <w:r w:rsidR="00501F9E">
        <w:t>,</w:t>
      </w:r>
      <w:r w:rsidR="00501F9E" w:rsidRPr="00501F9E">
        <w:t xml:space="preserve"> v3.0 </w:t>
      </w:r>
      <w:r w:rsidR="00D7352B">
        <w:t>(</w:t>
      </w:r>
      <w:r w:rsidR="00501F9E" w:rsidRPr="00501F9E">
        <w:t>July 2020</w:t>
      </w:r>
      <w:r w:rsidR="00D7352B">
        <w:t>)</w:t>
      </w:r>
      <w:r>
        <w:t xml:space="preserve">. There are no significant changes </w:t>
      </w:r>
      <w:r w:rsidR="00AF3C4A">
        <w:t>in this document compared to the previous edition, other than the separation of the pathways into separate documents. All amendments are listed in the Amendments table above.</w:t>
      </w:r>
    </w:p>
    <w:p w14:paraId="27498B9E" w14:textId="3A3E40CD" w:rsidR="00746A26" w:rsidRDefault="00746A26" w:rsidP="00DA0FCE">
      <w:r>
        <w:t>Other pathways may be available. At the time of publication, the following pathways exist:</w:t>
      </w:r>
    </w:p>
    <w:p w14:paraId="4B7DF574" w14:textId="00D4D2AE" w:rsidR="00746A26" w:rsidRDefault="00746A26" w:rsidP="00347BB7">
      <w:pPr>
        <w:pStyle w:val="ListParagraph"/>
        <w:numPr>
          <w:ilvl w:val="0"/>
          <w:numId w:val="13"/>
        </w:numPr>
      </w:pPr>
      <w:r>
        <w:t>NMI M 6</w:t>
      </w:r>
      <w:r w:rsidR="003865F3">
        <w:t>-1</w:t>
      </w:r>
      <w:r w:rsidR="00C4634E">
        <w:t xml:space="preserve"> </w:t>
      </w:r>
      <w:r w:rsidR="00EA33A2">
        <w:t>and NMI M 6-2</w:t>
      </w:r>
    </w:p>
    <w:p w14:paraId="58822ACE" w14:textId="2C84EFF8" w:rsidR="00746A26" w:rsidRDefault="00746A26" w:rsidP="00347BB7">
      <w:pPr>
        <w:pStyle w:val="ListParagraph"/>
        <w:numPr>
          <w:ilvl w:val="0"/>
          <w:numId w:val="13"/>
        </w:numPr>
      </w:pPr>
      <w:r>
        <w:t xml:space="preserve">NMI M </w:t>
      </w:r>
      <w:r w:rsidR="005E1F5E">
        <w:t>13</w:t>
      </w:r>
      <w:r w:rsidR="00B2040F">
        <w:t>-1</w:t>
      </w:r>
      <w:r w:rsidR="005E1F5E">
        <w:t xml:space="preserve"> </w:t>
      </w:r>
      <w:r w:rsidR="00FF6143">
        <w:t>(</w:t>
      </w:r>
      <w:r>
        <w:t>this document</w:t>
      </w:r>
      <w:r w:rsidR="00FF6143">
        <w:t>) and NMI M 13-2</w:t>
      </w:r>
      <w:r w:rsidR="00C4634E">
        <w:t xml:space="preserve"> </w:t>
      </w:r>
    </w:p>
    <w:p w14:paraId="2871AD8B" w14:textId="28AB1DAF" w:rsidR="00746A26" w:rsidRDefault="00746A26" w:rsidP="00347BB7">
      <w:pPr>
        <w:pStyle w:val="ListParagraph"/>
        <w:numPr>
          <w:ilvl w:val="0"/>
          <w:numId w:val="13"/>
        </w:numPr>
      </w:pPr>
      <w:r>
        <w:t>NMI R 46</w:t>
      </w:r>
      <w:r w:rsidR="00B2040F">
        <w:t>-1-2</w:t>
      </w:r>
      <w:r w:rsidR="00FF6143">
        <w:t xml:space="preserve"> and NMI R 46-3</w:t>
      </w:r>
      <w:r w:rsidR="00F9546F">
        <w:t>.</w:t>
      </w:r>
    </w:p>
    <w:p w14:paraId="607B80F4" w14:textId="17F5CE9D" w:rsidR="00741084" w:rsidRDefault="00741084" w:rsidP="00DA0FCE"/>
    <w:p w14:paraId="19DA58F3" w14:textId="77777777" w:rsidR="00A43756" w:rsidRDefault="00A43756" w:rsidP="00EB636B"/>
    <w:p w14:paraId="68931766" w14:textId="77777777" w:rsidR="00A43756" w:rsidRDefault="00A43756" w:rsidP="00EB636B"/>
    <w:p w14:paraId="6DF59BF0" w14:textId="77777777" w:rsidR="00A35CF0" w:rsidRDefault="00A35CF0" w:rsidP="00EB636B">
      <w:pPr>
        <w:sectPr w:rsidR="00A35CF0" w:rsidSect="0041789E">
          <w:headerReference w:type="default" r:id="rId20"/>
          <w:pgSz w:w="11906" w:h="16838"/>
          <w:pgMar w:top="1440" w:right="1080" w:bottom="1440" w:left="1080" w:header="708" w:footer="708" w:gutter="0"/>
          <w:pgNumType w:fmt="lowerRoman"/>
          <w:cols w:space="708"/>
          <w:docGrid w:linePitch="360"/>
        </w:sectPr>
      </w:pPr>
    </w:p>
    <w:p w14:paraId="026C3802" w14:textId="14D3BA4B" w:rsidR="00A35CF0" w:rsidRDefault="00A35CF0" w:rsidP="00092808">
      <w:pPr>
        <w:pStyle w:val="Heading1"/>
      </w:pPr>
      <w:bookmarkStart w:id="7" w:name="_Toc78473783"/>
      <w:r>
        <w:lastRenderedPageBreak/>
        <w:t>Scope</w:t>
      </w:r>
      <w:r w:rsidR="009C5E0D">
        <w:t xml:space="preserve"> and Application</w:t>
      </w:r>
      <w:bookmarkEnd w:id="7"/>
    </w:p>
    <w:p w14:paraId="199E7C6E" w14:textId="70184FBD" w:rsidR="009C5E0D" w:rsidRDefault="009C5E0D" w:rsidP="002D1FCF">
      <w:pPr>
        <w:pStyle w:val="Heading2"/>
      </w:pPr>
      <w:bookmarkStart w:id="8" w:name="_Toc78473784"/>
      <w:r>
        <w:t>Scope</w:t>
      </w:r>
      <w:bookmarkEnd w:id="8"/>
    </w:p>
    <w:p w14:paraId="0CAD54E9" w14:textId="37C0068D" w:rsidR="003B2752" w:rsidRDefault="008776BE" w:rsidP="002D1FCF">
      <w:r>
        <w:t xml:space="preserve">This document contains requirements for the metrological control of </w:t>
      </w:r>
      <w:r w:rsidR="00045FB0">
        <w:t xml:space="preserve">active-energy </w:t>
      </w:r>
      <w:r>
        <w:t>electricity meters</w:t>
      </w:r>
      <w:r w:rsidR="00045FB0">
        <w:t xml:space="preserve"> (meter</w:t>
      </w:r>
      <w:r w:rsidR="00A548E5">
        <w:t>s</w:t>
      </w:r>
      <w:r w:rsidR="00045FB0">
        <w:t>)</w:t>
      </w:r>
      <w:r>
        <w:t xml:space="preserve"> intended for use for trade</w:t>
      </w:r>
      <w:r w:rsidR="00045FB0">
        <w:t xml:space="preserve">, including </w:t>
      </w:r>
      <w:r>
        <w:t xml:space="preserve">the metrological and technical requirements for pattern approval and verification. The requirements apply to all watt hour meters </w:t>
      </w:r>
      <w:r w:rsidR="00746A26">
        <w:t xml:space="preserve">operating on alternating current circuits, </w:t>
      </w:r>
      <w:r>
        <w:t>used for single-rate or multi-rate operation, in single or polyphase installations, having a nominal operating frequency of 50 Hz and a connection voltage not exceeding 600 V.</w:t>
      </w:r>
    </w:p>
    <w:p w14:paraId="709F1A41" w14:textId="77777777" w:rsidR="008776BE" w:rsidRDefault="008776BE" w:rsidP="002D1FCF">
      <w:r>
        <w:t>In-field performance requirements are not addressed in this document.</w:t>
      </w:r>
    </w:p>
    <w:p w14:paraId="32521298" w14:textId="11A02C1C" w:rsidR="009C5E0D" w:rsidRDefault="009C5E0D" w:rsidP="002D1FCF">
      <w:pPr>
        <w:pStyle w:val="Heading2"/>
      </w:pPr>
      <w:bookmarkStart w:id="9" w:name="_Toc78473785"/>
      <w:r>
        <w:t>Application</w:t>
      </w:r>
      <w:bookmarkEnd w:id="9"/>
    </w:p>
    <w:p w14:paraId="0A7C105A" w14:textId="028F354F" w:rsidR="00FB7E86" w:rsidRDefault="009C5E0D" w:rsidP="002D1FCF">
      <w:r>
        <w:t>This document</w:t>
      </w:r>
      <w:r w:rsidR="00CD2916">
        <w:t xml:space="preserve"> describes</w:t>
      </w:r>
      <w:r>
        <w:t xml:space="preserve"> </w:t>
      </w:r>
      <w:r w:rsidR="00DD4C32">
        <w:t>a</w:t>
      </w:r>
      <w:r w:rsidR="009A0490">
        <w:t xml:space="preserve"> pathway</w:t>
      </w:r>
      <w:r w:rsidR="00932CDC">
        <w:rPr>
          <w:rStyle w:val="FootnoteReference"/>
        </w:rPr>
        <w:footnoteReference w:id="1"/>
      </w:r>
      <w:r>
        <w:t xml:space="preserve"> for approval.</w:t>
      </w:r>
    </w:p>
    <w:p w14:paraId="4AA739C7" w14:textId="350EF9D2" w:rsidR="00DD4C32" w:rsidRDefault="00DD4C32" w:rsidP="00DD4C32">
      <w:r>
        <w:t xml:space="preserve">This pathway </w:t>
      </w:r>
      <w:r w:rsidR="00932CDC">
        <w:t>comprises some requirements based on NMI M 6-1</w:t>
      </w:r>
      <w:r w:rsidR="002E10B7">
        <w:t xml:space="preserve"> [1]</w:t>
      </w:r>
      <w:r w:rsidR="00932CDC">
        <w:t xml:space="preserve"> along with specified requirements from </w:t>
      </w:r>
      <w:r>
        <w:t xml:space="preserve">the following </w:t>
      </w:r>
      <w:r w:rsidR="009C5E0D">
        <w:t>suite of standards published by Standards Australia</w:t>
      </w:r>
    </w:p>
    <w:p w14:paraId="5276BB1F" w14:textId="0CEB0348" w:rsidR="00DD4C32" w:rsidRDefault="00DD4C32" w:rsidP="00347BB7">
      <w:pPr>
        <w:pStyle w:val="ListParagraph"/>
        <w:numPr>
          <w:ilvl w:val="0"/>
          <w:numId w:val="14"/>
        </w:numPr>
      </w:pPr>
      <w:r>
        <w:t>AS 62052.11 (2018) [</w:t>
      </w:r>
      <w:r w:rsidR="002E10B7">
        <w:t>2</w:t>
      </w:r>
      <w:r>
        <w:t>]</w:t>
      </w:r>
    </w:p>
    <w:p w14:paraId="228C677C" w14:textId="550B7916" w:rsidR="00DD4C32" w:rsidRDefault="00DD4C32" w:rsidP="00347BB7">
      <w:pPr>
        <w:pStyle w:val="ListParagraph"/>
        <w:numPr>
          <w:ilvl w:val="0"/>
          <w:numId w:val="14"/>
        </w:numPr>
      </w:pPr>
      <w:r>
        <w:t>AS 62053.21 (2018) [</w:t>
      </w:r>
      <w:r w:rsidR="002E10B7">
        <w:t>3</w:t>
      </w:r>
      <w:r>
        <w:t>]</w:t>
      </w:r>
    </w:p>
    <w:p w14:paraId="299E10D1" w14:textId="5E0F8A52" w:rsidR="00DD4C32" w:rsidRDefault="00DD4C32" w:rsidP="00347BB7">
      <w:pPr>
        <w:pStyle w:val="ListParagraph"/>
        <w:numPr>
          <w:ilvl w:val="0"/>
          <w:numId w:val="14"/>
        </w:numPr>
      </w:pPr>
      <w:r>
        <w:t>AS 62053.22 (2018) [</w:t>
      </w:r>
      <w:r w:rsidR="002E10B7">
        <w:t>4</w:t>
      </w:r>
      <w:r>
        <w:t>]</w:t>
      </w:r>
    </w:p>
    <w:p w14:paraId="574F223E" w14:textId="26B0B3C7" w:rsidR="00932CDC" w:rsidRDefault="00932CDC" w:rsidP="00DD4C32">
      <w:r w:rsidRPr="00932CDC">
        <w:t xml:space="preserve">The requirements based on NMI M 6-1 are </w:t>
      </w:r>
      <w:r w:rsidR="0030793A">
        <w:t>specified</w:t>
      </w:r>
      <w:r w:rsidRPr="00932CDC">
        <w:t xml:space="preserve"> </w:t>
      </w:r>
      <w:r>
        <w:t>in:</w:t>
      </w:r>
    </w:p>
    <w:p w14:paraId="70DC3CD1" w14:textId="77777777" w:rsidR="00932CDC" w:rsidRDefault="00932CDC" w:rsidP="00347BB7">
      <w:pPr>
        <w:pStyle w:val="ListParagraph"/>
        <w:numPr>
          <w:ilvl w:val="0"/>
          <w:numId w:val="15"/>
        </w:numPr>
      </w:pPr>
      <w:r>
        <w:t>C</w:t>
      </w:r>
      <w:r w:rsidRPr="00932CDC">
        <w:t>lause 2</w:t>
      </w:r>
      <w:r>
        <w:t xml:space="preserve"> Terminology</w:t>
      </w:r>
    </w:p>
    <w:p w14:paraId="1E6E6F25" w14:textId="7ED83024" w:rsidR="00932CDC" w:rsidRDefault="00932CDC" w:rsidP="00347BB7">
      <w:pPr>
        <w:pStyle w:val="ListParagraph"/>
        <w:numPr>
          <w:ilvl w:val="0"/>
          <w:numId w:val="15"/>
        </w:numPr>
      </w:pPr>
      <w:r>
        <w:t xml:space="preserve">Clause </w:t>
      </w:r>
      <w:r w:rsidRPr="00932CDC">
        <w:t xml:space="preserve">3 </w:t>
      </w:r>
      <w:r>
        <w:t>Metrological and Technical Requirements</w:t>
      </w:r>
    </w:p>
    <w:p w14:paraId="227AAA77" w14:textId="55F12F3E" w:rsidR="00FB7E86" w:rsidRDefault="0030793A" w:rsidP="00347BB7">
      <w:pPr>
        <w:pStyle w:val="ListParagraph"/>
        <w:numPr>
          <w:ilvl w:val="0"/>
          <w:numId w:val="15"/>
        </w:numPr>
      </w:pPr>
      <w:r>
        <w:t>Clause 6</w:t>
      </w:r>
      <w:r w:rsidR="00932CDC">
        <w:t xml:space="preserve"> </w:t>
      </w:r>
      <w:r>
        <w:t>General</w:t>
      </w:r>
    </w:p>
    <w:p w14:paraId="4F0AFF0A" w14:textId="77777777" w:rsidR="00932CDC" w:rsidRDefault="00932CDC" w:rsidP="00DD4C32">
      <w:r>
        <w:t>The requirements based on the suite of Australian Standards are provided in:</w:t>
      </w:r>
    </w:p>
    <w:p w14:paraId="4B0B39AA" w14:textId="77777777" w:rsidR="00932CDC" w:rsidRDefault="00932CDC" w:rsidP="00347BB7">
      <w:pPr>
        <w:pStyle w:val="ListParagraph"/>
        <w:numPr>
          <w:ilvl w:val="0"/>
          <w:numId w:val="16"/>
        </w:numPr>
      </w:pPr>
      <w:r>
        <w:t>Clause 4 Accuracy Classes and Maximum Permissible Errors</w:t>
      </w:r>
    </w:p>
    <w:p w14:paraId="27B9C930" w14:textId="1D9F978C" w:rsidR="00932CDC" w:rsidRPr="00932CDC" w:rsidRDefault="00262661" w:rsidP="00347BB7">
      <w:pPr>
        <w:pStyle w:val="ListParagraph"/>
        <w:numPr>
          <w:ilvl w:val="0"/>
          <w:numId w:val="16"/>
        </w:numPr>
      </w:pPr>
      <w:r>
        <w:t>Clause 5</w:t>
      </w:r>
      <w:r w:rsidR="00932CDC">
        <w:t xml:space="preserve"> Assessment of Requirements in the Australian Standards</w:t>
      </w:r>
    </w:p>
    <w:p w14:paraId="54CF69F8" w14:textId="7A512358" w:rsidR="002E10B7" w:rsidRDefault="00D70572" w:rsidP="00D70572">
      <w:r w:rsidRPr="00932CDC">
        <w:t>The Aus</w:t>
      </w:r>
      <w:r w:rsidR="00932CDC">
        <w:t>tralian Standards also refer to</w:t>
      </w:r>
      <w:r w:rsidRPr="00932CDC">
        <w:t xml:space="preserve"> safety standard </w:t>
      </w:r>
      <w:r w:rsidR="00932CDC">
        <w:t xml:space="preserve">AS 62052.31 (2017) </w:t>
      </w:r>
      <w:r w:rsidR="002B0DC9" w:rsidRPr="00932CDC">
        <w:t>[</w:t>
      </w:r>
      <w:r w:rsidR="002E10B7">
        <w:t>5</w:t>
      </w:r>
      <w:r w:rsidR="002B0DC9" w:rsidRPr="00932CDC">
        <w:t>]</w:t>
      </w:r>
      <w:r w:rsidR="002E10B7">
        <w:t>, though</w:t>
      </w:r>
      <w:r w:rsidRPr="00932CDC">
        <w:t xml:space="preserve"> </w:t>
      </w:r>
      <w:r w:rsidR="002E10B7">
        <w:t>only some parts of this</w:t>
      </w:r>
      <w:r w:rsidRPr="00932CDC">
        <w:t xml:space="preserve"> safety standard are </w:t>
      </w:r>
      <w:r w:rsidR="00932CDC">
        <w:t xml:space="preserve">relevant for pattern approval as specified in </w:t>
      </w:r>
      <w:r w:rsidRPr="00932CDC">
        <w:t xml:space="preserve">Annex </w:t>
      </w:r>
      <w:r w:rsidR="00932CDC">
        <w:t>A</w:t>
      </w:r>
      <w:r w:rsidRPr="00932CDC">
        <w:t>.</w:t>
      </w:r>
    </w:p>
    <w:p w14:paraId="035FB099" w14:textId="5EAC5828" w:rsidR="00D70572" w:rsidRDefault="002E10B7" w:rsidP="002E10B7">
      <w:pPr>
        <w:pStyle w:val="Note"/>
      </w:pPr>
      <w:r>
        <w:t>Note:</w:t>
      </w:r>
      <w:r>
        <w:tab/>
      </w:r>
      <w:r w:rsidR="00932CDC">
        <w:t>Full comp</w:t>
      </w:r>
      <w:r>
        <w:t>l</w:t>
      </w:r>
      <w:r w:rsidR="00932CDC">
        <w:t>i</w:t>
      </w:r>
      <w:r>
        <w:t>ance with the safety standard may be required under jurisdictional or contractual requirements.</w:t>
      </w:r>
    </w:p>
    <w:p w14:paraId="5BE37B93" w14:textId="77777777" w:rsidR="00932CDC" w:rsidRDefault="00932CDC" w:rsidP="00932CDC">
      <w:r w:rsidRPr="00AF350C">
        <w:t xml:space="preserve">The National Measurement Institute reserves the right to vary or interpret requirements </w:t>
      </w:r>
      <w:r>
        <w:t xml:space="preserve">if it is deemed </w:t>
      </w:r>
      <w:r w:rsidRPr="00AF350C">
        <w:t xml:space="preserve">appropriate </w:t>
      </w:r>
      <w:r>
        <w:t xml:space="preserve">to support new or different </w:t>
      </w:r>
      <w:r w:rsidRPr="00AF350C">
        <w:t>technologies or applications</w:t>
      </w:r>
      <w:r>
        <w:t>.</w:t>
      </w:r>
    </w:p>
    <w:p w14:paraId="7E6A63CA" w14:textId="77777777" w:rsidR="00535E71" w:rsidRDefault="00535E71">
      <w:pPr>
        <w:spacing w:after="200"/>
        <w:rPr>
          <w:rFonts w:asciiTheme="majorHAnsi" w:eastAsiaTheme="majorEastAsia" w:hAnsiTheme="majorHAnsi" w:cstheme="majorBidi"/>
          <w:b/>
          <w:bCs/>
          <w:color w:val="7C1222" w:themeColor="accent1" w:themeShade="BF"/>
          <w:sz w:val="28"/>
          <w:szCs w:val="28"/>
        </w:rPr>
      </w:pPr>
      <w:r>
        <w:br w:type="page"/>
      </w:r>
    </w:p>
    <w:p w14:paraId="22BF1582" w14:textId="2CEC4045" w:rsidR="003F3DDD" w:rsidRDefault="009D0773" w:rsidP="00604BD7">
      <w:pPr>
        <w:pStyle w:val="Heading1"/>
      </w:pPr>
      <w:bookmarkStart w:id="10" w:name="_Toc78473786"/>
      <w:r>
        <w:lastRenderedPageBreak/>
        <w:t>Terminology</w:t>
      </w:r>
      <w:bookmarkEnd w:id="10"/>
    </w:p>
    <w:p w14:paraId="17A8E822" w14:textId="26A08214" w:rsidR="008776BE" w:rsidRDefault="008776BE" w:rsidP="008776BE">
      <w:r>
        <w:t xml:space="preserve">The following definitions have been based for the most part on those in </w:t>
      </w:r>
      <w:r w:rsidRPr="003865F3">
        <w:t xml:space="preserve">references [1] </w:t>
      </w:r>
      <w:r w:rsidR="00535E71" w:rsidRPr="003865F3">
        <w:t>and</w:t>
      </w:r>
      <w:r w:rsidRPr="003865F3">
        <w:t xml:space="preserve"> [</w:t>
      </w:r>
      <w:r w:rsidR="00535E71" w:rsidRPr="003865F3">
        <w:t>6</w:t>
      </w:r>
      <w:r w:rsidRPr="003865F3">
        <w:t>].</w:t>
      </w:r>
      <w:r w:rsidR="00535E71">
        <w:t xml:space="preserve"> Refer to the Australian Standards [2, 3 and 4] for other terms specific to clauses 4 and 5.</w:t>
      </w:r>
    </w:p>
    <w:p w14:paraId="45DE13E7" w14:textId="77777777" w:rsidR="008776BE" w:rsidRDefault="008776BE" w:rsidP="006A4658">
      <w:pPr>
        <w:pStyle w:val="Heading2-NotForContents"/>
      </w:pPr>
      <w:r>
        <w:t>Accuracy Class</w:t>
      </w:r>
    </w:p>
    <w:p w14:paraId="73AE5D8E" w14:textId="77777777" w:rsidR="008776BE" w:rsidRDefault="008776BE" w:rsidP="008776BE">
      <w:r>
        <w:t>The class of measuring instruments or measuring systems that meet stated metrological requirements that are intended to keep measurement errors or instrumental uncertainties within specified limits under specified operating conditions.</w:t>
      </w:r>
    </w:p>
    <w:p w14:paraId="4FC361E3" w14:textId="239C54C0" w:rsidR="008776BE" w:rsidRDefault="008776BE" w:rsidP="006A4658">
      <w:pPr>
        <w:pStyle w:val="Heading2-NotForContents"/>
      </w:pPr>
      <w:r>
        <w:t>Auxiliary Device</w:t>
      </w:r>
    </w:p>
    <w:p w14:paraId="158F2E0A" w14:textId="77777777" w:rsidR="008776BE" w:rsidRDefault="008776BE" w:rsidP="008776BE">
      <w:r>
        <w:t>A device or function within the meter that is not part of the basic metrology function. The main auxiliary devices are:</w:t>
      </w:r>
    </w:p>
    <w:p w14:paraId="30E5F0AD" w14:textId="77777777" w:rsidR="008776BE" w:rsidRDefault="008776BE" w:rsidP="00F74CE3">
      <w:pPr>
        <w:pStyle w:val="ListParagraph"/>
        <w:numPr>
          <w:ilvl w:val="0"/>
          <w:numId w:val="4"/>
        </w:numPr>
      </w:pPr>
      <w:r>
        <w:t>communication for transmitting measurement data;</w:t>
      </w:r>
    </w:p>
    <w:p w14:paraId="004EFBC9" w14:textId="77777777" w:rsidR="008776BE" w:rsidRDefault="008776BE" w:rsidP="00F74CE3">
      <w:pPr>
        <w:pStyle w:val="ListParagraph"/>
        <w:numPr>
          <w:ilvl w:val="0"/>
          <w:numId w:val="4"/>
        </w:numPr>
      </w:pPr>
      <w:r>
        <w:t>tariff changing controls;</w:t>
      </w:r>
    </w:p>
    <w:p w14:paraId="711E06D0" w14:textId="77777777" w:rsidR="008776BE" w:rsidRDefault="008776BE" w:rsidP="00F74CE3">
      <w:pPr>
        <w:pStyle w:val="ListParagraph"/>
        <w:numPr>
          <w:ilvl w:val="0"/>
          <w:numId w:val="4"/>
        </w:numPr>
      </w:pPr>
      <w:r>
        <w:t>load control devices; and</w:t>
      </w:r>
    </w:p>
    <w:p w14:paraId="27F84DA1" w14:textId="77777777" w:rsidR="008776BE" w:rsidRDefault="008776BE" w:rsidP="00F74CE3">
      <w:pPr>
        <w:pStyle w:val="ListParagraph"/>
        <w:numPr>
          <w:ilvl w:val="0"/>
          <w:numId w:val="4"/>
        </w:numPr>
      </w:pPr>
      <w:r>
        <w:t>disconnect/reconnect contactors.</w:t>
      </w:r>
    </w:p>
    <w:p w14:paraId="18F08085" w14:textId="77777777" w:rsidR="008776BE" w:rsidRDefault="008776BE" w:rsidP="006A4658">
      <w:pPr>
        <w:pStyle w:val="Heading2-NotForContents"/>
      </w:pPr>
      <w:r>
        <w:t>Basic Current (</w:t>
      </w:r>
      <w:r w:rsidRPr="008A52F7">
        <w:rPr>
          <w:rFonts w:ascii="Cambria Math" w:hAnsi="Cambria Math"/>
          <w:i/>
        </w:rPr>
        <w:t>I</w:t>
      </w:r>
      <w:r w:rsidRPr="008A52F7">
        <w:rPr>
          <w:rFonts w:ascii="Cambria Math" w:hAnsi="Cambria Math"/>
          <w:vertAlign w:val="subscript"/>
        </w:rPr>
        <w:t>b</w:t>
      </w:r>
      <w:r>
        <w:t>)</w:t>
      </w:r>
    </w:p>
    <w:p w14:paraId="5D7F307A" w14:textId="77777777" w:rsidR="008776BE" w:rsidRDefault="008776BE" w:rsidP="008776BE">
      <w:r>
        <w:t>The value of the current in accordance with which the relevant performance of a direct-connected meter is fixed.</w:t>
      </w:r>
    </w:p>
    <w:p w14:paraId="7373A111" w14:textId="77777777" w:rsidR="008776BE" w:rsidRDefault="008776BE" w:rsidP="00092808">
      <w:pPr>
        <w:pStyle w:val="Note"/>
      </w:pPr>
      <w:r>
        <w:t>Note:</w:t>
      </w:r>
      <w:r>
        <w:tab/>
        <w:t>The term ‘current’ indicates root mean square (rms) values unless otherwise specified.</w:t>
      </w:r>
    </w:p>
    <w:p w14:paraId="5EC3AA39" w14:textId="77777777" w:rsidR="008776BE" w:rsidRDefault="008776BE" w:rsidP="006A4658">
      <w:pPr>
        <w:pStyle w:val="Heading2-NotForContents"/>
      </w:pPr>
      <w:r>
        <w:t>Direct-connected Meter</w:t>
      </w:r>
    </w:p>
    <w:p w14:paraId="13663EAD" w14:textId="77777777" w:rsidR="008776BE" w:rsidRDefault="008776BE" w:rsidP="008776BE">
      <w:r>
        <w:t>A meter intended for use without an external measurement transformer, i.e. for direct connection to the circuit being metered.</w:t>
      </w:r>
    </w:p>
    <w:p w14:paraId="708CABA0" w14:textId="77777777" w:rsidR="008776BE" w:rsidRDefault="008776BE" w:rsidP="006A4658">
      <w:pPr>
        <w:pStyle w:val="Heading2-NotForContents"/>
      </w:pPr>
      <w:r>
        <w:t>Error</w:t>
      </w:r>
    </w:p>
    <w:p w14:paraId="5FA0FF2D" w14:textId="77777777" w:rsidR="008776BE" w:rsidRDefault="008776BE" w:rsidP="008776BE">
      <w:r>
        <w:t>The indication of a meter minus the true value of the corresponding input quantity.</w:t>
      </w:r>
    </w:p>
    <w:p w14:paraId="3BD636ED" w14:textId="77777777" w:rsidR="008776BE" w:rsidRDefault="008776BE" w:rsidP="006A4658">
      <w:pPr>
        <w:pStyle w:val="Heading2-NotForContents"/>
      </w:pPr>
      <w:r>
        <w:t>Maximum Current (</w:t>
      </w:r>
      <w:r w:rsidRPr="008A52F7">
        <w:rPr>
          <w:rFonts w:ascii="Cambria Math" w:hAnsi="Cambria Math"/>
          <w:i/>
        </w:rPr>
        <w:t>I</w:t>
      </w:r>
      <w:r w:rsidRPr="008A52F7">
        <w:rPr>
          <w:rFonts w:ascii="Cambria Math" w:hAnsi="Cambria Math"/>
          <w:vertAlign w:val="subscript"/>
        </w:rPr>
        <w:t>max</w:t>
      </w:r>
      <w:r>
        <w:t>)</w:t>
      </w:r>
    </w:p>
    <w:p w14:paraId="2405FA24" w14:textId="77777777" w:rsidR="008776BE" w:rsidRDefault="008776BE" w:rsidP="008776BE">
      <w:r>
        <w:t>The highest value of current at which the meter purports to meet the accuracy requirements of this document.</w:t>
      </w:r>
    </w:p>
    <w:p w14:paraId="1459FAF7" w14:textId="77777777" w:rsidR="008776BE" w:rsidRDefault="008776BE" w:rsidP="006A4658">
      <w:pPr>
        <w:pStyle w:val="Heading2-NotForContents"/>
      </w:pPr>
      <w:r>
        <w:t>Maximum Permissible Error</w:t>
      </w:r>
    </w:p>
    <w:p w14:paraId="5AFD9EEF" w14:textId="77777777" w:rsidR="008776BE" w:rsidRDefault="008776BE" w:rsidP="008776BE">
      <w:r>
        <w:t>The extreme value of the error, with respect to a known reference quantity value, permitted by specifications or regulations for a given measurement, measuring instrument, or measuring system.</w:t>
      </w:r>
    </w:p>
    <w:p w14:paraId="7F742C6F" w14:textId="77777777" w:rsidR="008776BE" w:rsidRDefault="008776BE" w:rsidP="006A4658">
      <w:pPr>
        <w:pStyle w:val="Heading2-NotForContents"/>
      </w:pPr>
      <w:r w:rsidRPr="006A4658">
        <w:t>Measuring</w:t>
      </w:r>
      <w:r>
        <w:t xml:space="preserve"> Element</w:t>
      </w:r>
    </w:p>
    <w:p w14:paraId="26D99EFA" w14:textId="07D4C528" w:rsidR="008776BE" w:rsidRDefault="008776BE" w:rsidP="008776BE">
      <w:r>
        <w:t>The part of the meter which produces an output proportional to the energy measured.</w:t>
      </w:r>
    </w:p>
    <w:p w14:paraId="6507532D" w14:textId="77777777" w:rsidR="008776BE" w:rsidRDefault="008776BE" w:rsidP="006A4658">
      <w:pPr>
        <w:pStyle w:val="Heading2-NotForContents"/>
      </w:pPr>
      <w:r>
        <w:t>Meter Constant</w:t>
      </w:r>
    </w:p>
    <w:p w14:paraId="650EDE6E" w14:textId="77777777" w:rsidR="008776BE" w:rsidRDefault="008776BE" w:rsidP="008776BE">
      <w:r>
        <w:t>The value expressing the relation between the energy registered by the meter and the corresponding value of the test output (for solid state meters) or the number of revolutions of the rotor (for electromechanical meters). For solid state meters, the constant should be in either pulses per kilowatt hour (imp/kWh) or watt hours per pulse (Wh/imp); for electromechanical meters, this value should be in either revolutions per kilowatt hour (rev/kWh) or as watt hours per revolution (Wh/rev).</w:t>
      </w:r>
    </w:p>
    <w:p w14:paraId="519D306D" w14:textId="77777777" w:rsidR="008776BE" w:rsidRDefault="008776BE" w:rsidP="006A4658">
      <w:pPr>
        <w:pStyle w:val="Heading2-NotForContents"/>
      </w:pPr>
      <w:r>
        <w:lastRenderedPageBreak/>
        <w:t>Percentage Error</w:t>
      </w:r>
    </w:p>
    <w:p w14:paraId="1657B458" w14:textId="77777777" w:rsidR="008776BE" w:rsidRDefault="008776BE" w:rsidP="003865F3">
      <w:pPr>
        <w:keepNext/>
      </w:pPr>
      <w:r>
        <w:t>Percentage error is given by the following formula:</w:t>
      </w:r>
    </w:p>
    <w:p w14:paraId="3DAE5947" w14:textId="77777777" w:rsidR="008776BE" w:rsidRDefault="008776BE" w:rsidP="003865F3">
      <w:pPr>
        <w:keepNext/>
        <w:jc w:val="center"/>
      </w:pPr>
      <w:r>
        <w:t>percentage error = (energy registered by the meter – true energy) × 100 / true energy</w:t>
      </w:r>
    </w:p>
    <w:p w14:paraId="64A3D34E" w14:textId="77777777" w:rsidR="008776BE" w:rsidRDefault="008776BE" w:rsidP="00092808">
      <w:pPr>
        <w:pStyle w:val="Note"/>
      </w:pPr>
      <w:r>
        <w:t>Note:</w:t>
      </w:r>
      <w:r>
        <w:tab/>
        <w:t>Since the true value cannot be determined, it is approximated by a value with a stated uncertainty that can be traced to national standards.</w:t>
      </w:r>
    </w:p>
    <w:p w14:paraId="7BEE415B" w14:textId="77777777" w:rsidR="008776BE" w:rsidRDefault="008776BE" w:rsidP="006A4658">
      <w:pPr>
        <w:pStyle w:val="Heading2-NotForContents"/>
      </w:pPr>
      <w:r>
        <w:t>Performance</w:t>
      </w:r>
    </w:p>
    <w:p w14:paraId="7E4E4115" w14:textId="77777777" w:rsidR="008776BE" w:rsidRDefault="008776BE" w:rsidP="008776BE">
      <w:r>
        <w:t>The ability of the meter to accomplish its intended functions.</w:t>
      </w:r>
    </w:p>
    <w:p w14:paraId="207B85F2" w14:textId="77777777" w:rsidR="008776BE" w:rsidRDefault="008776BE" w:rsidP="006A4658">
      <w:pPr>
        <w:pStyle w:val="Heading2-NotForContents"/>
      </w:pPr>
      <w:r>
        <w:t>Rated Current (</w:t>
      </w:r>
      <w:r w:rsidRPr="008A52F7">
        <w:rPr>
          <w:rFonts w:ascii="Cambria Math" w:hAnsi="Cambria Math"/>
          <w:i/>
        </w:rPr>
        <w:t>I</w:t>
      </w:r>
      <w:r w:rsidRPr="008A52F7">
        <w:rPr>
          <w:rFonts w:ascii="Cambria Math" w:hAnsi="Cambria Math"/>
          <w:vertAlign w:val="subscript"/>
        </w:rPr>
        <w:t>n</w:t>
      </w:r>
      <w:r>
        <w:t>)</w:t>
      </w:r>
    </w:p>
    <w:p w14:paraId="3DCE5DAB" w14:textId="77777777" w:rsidR="008776BE" w:rsidRDefault="008776BE" w:rsidP="008776BE">
      <w:r>
        <w:t>The value of the current in accordance with which the relevant performance of a transformer-operated meter is fixed.</w:t>
      </w:r>
    </w:p>
    <w:p w14:paraId="30EC5146" w14:textId="77777777" w:rsidR="008776BE" w:rsidRDefault="008776BE" w:rsidP="006A4658">
      <w:pPr>
        <w:pStyle w:val="Heading2-NotForContents"/>
      </w:pPr>
      <w:r>
        <w:t>Rated Operating Conditions</w:t>
      </w:r>
    </w:p>
    <w:p w14:paraId="74F6B056" w14:textId="77777777" w:rsidR="008776BE" w:rsidRDefault="008776BE" w:rsidP="008776BE">
      <w:r>
        <w:t>An operating condition that must be fulfilled during measurement in order that a measuring instrument or measuring system performs as designed.</w:t>
      </w:r>
    </w:p>
    <w:p w14:paraId="7BE8A302" w14:textId="77777777" w:rsidR="008776BE" w:rsidRDefault="008776BE" w:rsidP="006A4658">
      <w:pPr>
        <w:pStyle w:val="Heading2-NotForContents"/>
      </w:pPr>
      <w:r>
        <w:t>Reference Frequency (</w:t>
      </w:r>
      <w:r w:rsidRPr="008A52F7">
        <w:rPr>
          <w:rFonts w:ascii="Cambria Math" w:hAnsi="Cambria Math"/>
          <w:i/>
        </w:rPr>
        <w:t>f</w:t>
      </w:r>
      <w:r w:rsidRPr="008A52F7">
        <w:rPr>
          <w:rFonts w:ascii="Cambria Math" w:hAnsi="Cambria Math"/>
          <w:vertAlign w:val="subscript"/>
        </w:rPr>
        <w:t>nom</w:t>
      </w:r>
      <w:r>
        <w:t>)</w:t>
      </w:r>
    </w:p>
    <w:p w14:paraId="26C285E1" w14:textId="77777777" w:rsidR="008776BE" w:rsidRDefault="008776BE" w:rsidP="008776BE">
      <w:r>
        <w:t>The value of the frequency in accordance with which the relevant performance of the meter is fixed.</w:t>
      </w:r>
    </w:p>
    <w:p w14:paraId="383C4E69" w14:textId="77777777" w:rsidR="008776BE" w:rsidRDefault="008776BE" w:rsidP="006A4658">
      <w:pPr>
        <w:pStyle w:val="Heading2-NotForContents"/>
      </w:pPr>
      <w:r>
        <w:t>Reference Voltage (</w:t>
      </w:r>
      <w:r w:rsidRPr="008A52F7">
        <w:rPr>
          <w:rFonts w:ascii="Cambria Math" w:hAnsi="Cambria Math"/>
          <w:i/>
        </w:rPr>
        <w:t>U</w:t>
      </w:r>
      <w:r w:rsidRPr="008A52F7">
        <w:rPr>
          <w:rFonts w:ascii="Cambria Math" w:hAnsi="Cambria Math"/>
          <w:vertAlign w:val="subscript"/>
        </w:rPr>
        <w:t>nom</w:t>
      </w:r>
      <w:r>
        <w:t>)</w:t>
      </w:r>
    </w:p>
    <w:p w14:paraId="7C98F5CC" w14:textId="77777777" w:rsidR="008776BE" w:rsidRDefault="008776BE" w:rsidP="008776BE">
      <w:r>
        <w:t>The value of the voltage in accordance with which the relevant performance of the meter is fixed.</w:t>
      </w:r>
    </w:p>
    <w:p w14:paraId="131A8348" w14:textId="77777777" w:rsidR="008776BE" w:rsidRDefault="008776BE" w:rsidP="006A4658">
      <w:pPr>
        <w:pStyle w:val="Heading2-NotForContents"/>
      </w:pPr>
      <w:r>
        <w:t>Register of a Meter</w:t>
      </w:r>
    </w:p>
    <w:p w14:paraId="7B2B117B" w14:textId="77777777" w:rsidR="008776BE" w:rsidRDefault="008776BE" w:rsidP="008776BE">
      <w:r>
        <w:t>That part of the meter which enables the measured value to be determined.</w:t>
      </w:r>
    </w:p>
    <w:p w14:paraId="34470888" w14:textId="77777777" w:rsidR="008776BE" w:rsidRDefault="008776BE" w:rsidP="006A4658">
      <w:pPr>
        <w:pStyle w:val="Heading2-NotForContents"/>
      </w:pPr>
      <w:r>
        <w:t>Static or Solid State or Electronic Watt Hour Meter</w:t>
      </w:r>
    </w:p>
    <w:p w14:paraId="241F0E7E" w14:textId="77777777" w:rsidR="008776BE" w:rsidRDefault="008776BE" w:rsidP="008776BE">
      <w:r>
        <w:t>A watt hour meter in which current and voltage act on solid state (electronic) elements to produce an output proportional to the energy to be measured.</w:t>
      </w:r>
    </w:p>
    <w:p w14:paraId="7B60B2E5" w14:textId="77777777" w:rsidR="008776BE" w:rsidRDefault="008776BE" w:rsidP="006A4658">
      <w:pPr>
        <w:pStyle w:val="Heading2-NotForContents"/>
      </w:pPr>
      <w:r>
        <w:t>Transformer-operated Meter</w:t>
      </w:r>
    </w:p>
    <w:p w14:paraId="47BBFDCB" w14:textId="77777777" w:rsidR="008776BE" w:rsidRDefault="008776BE" w:rsidP="008776BE">
      <w:r>
        <w:t>A meter intended for use with one or more external measurement transformers.</w:t>
      </w:r>
    </w:p>
    <w:p w14:paraId="12041F4E" w14:textId="77777777" w:rsidR="008776BE" w:rsidRDefault="008776BE" w:rsidP="006A4658">
      <w:pPr>
        <w:pStyle w:val="Heading2-NotForContents"/>
      </w:pPr>
      <w:r>
        <w:t>Voltage Circuit</w:t>
      </w:r>
    </w:p>
    <w:p w14:paraId="43319C8C" w14:textId="77777777" w:rsidR="008776BE" w:rsidRDefault="008776BE" w:rsidP="008776BE">
      <w:r>
        <w:t>The internal connections of the meter, part of the measuring element and, in the case of static meters, part of the power supply, supplied with the voltage of the circuit to which the meter is connected.</w:t>
      </w:r>
    </w:p>
    <w:p w14:paraId="614F7CF3" w14:textId="77777777" w:rsidR="008776BE" w:rsidRDefault="008776BE" w:rsidP="006A4658">
      <w:pPr>
        <w:pStyle w:val="Heading2-NotForContents"/>
      </w:pPr>
      <w:r>
        <w:t>Watt Hour Meter (Active-Energy Meter)</w:t>
      </w:r>
    </w:p>
    <w:p w14:paraId="41796B2A" w14:textId="77777777" w:rsidR="00A57EE3" w:rsidRDefault="008776BE" w:rsidP="008776BE">
      <w:r>
        <w:t>An instrument intended to measure active energy by integrating active power with respect to time.</w:t>
      </w:r>
      <w:r w:rsidR="00A57EE3">
        <w:br w:type="page"/>
      </w:r>
    </w:p>
    <w:p w14:paraId="42EEEDA6" w14:textId="19417038" w:rsidR="00DD4C32" w:rsidRDefault="00DD4C32" w:rsidP="0041789E">
      <w:pPr>
        <w:pStyle w:val="Heading1"/>
      </w:pPr>
      <w:bookmarkStart w:id="11" w:name="_Toc78473787"/>
      <w:r>
        <w:lastRenderedPageBreak/>
        <w:t xml:space="preserve">Metrological and Technical </w:t>
      </w:r>
      <w:r w:rsidR="00262661">
        <w:t>R</w:t>
      </w:r>
      <w:r>
        <w:t>equirements</w:t>
      </w:r>
      <w:bookmarkEnd w:id="11"/>
    </w:p>
    <w:p w14:paraId="2BE7ECF6" w14:textId="77777777" w:rsidR="000B4D39" w:rsidRDefault="0041789E" w:rsidP="00DD4C32">
      <w:pPr>
        <w:pStyle w:val="Heading2"/>
      </w:pPr>
      <w:bookmarkStart w:id="12" w:name="_Toc78473788"/>
      <w:r>
        <w:t>Units of Measurement</w:t>
      </w:r>
      <w:bookmarkEnd w:id="12"/>
    </w:p>
    <w:p w14:paraId="7B7A5562" w14:textId="77777777" w:rsidR="0041789E" w:rsidRPr="004D23A4" w:rsidRDefault="0041789E" w:rsidP="0041789E">
      <w:pPr>
        <w:pStyle w:val="BodyText"/>
      </w:pPr>
      <w:r w:rsidRPr="004D23A4">
        <w:t>The following units of measurement and their symbols shall be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20" w:firstRow="1" w:lastRow="0" w:firstColumn="0" w:lastColumn="0" w:noHBand="0" w:noVBand="1"/>
      </w:tblPr>
      <w:tblGrid>
        <w:gridCol w:w="1569"/>
        <w:gridCol w:w="1975"/>
      </w:tblGrid>
      <w:tr w:rsidR="0041789E" w14:paraId="3C198201" w14:textId="77777777" w:rsidTr="00B43AE5">
        <w:trPr>
          <w:jc w:val="center"/>
        </w:trPr>
        <w:tc>
          <w:tcPr>
            <w:tcW w:w="3544" w:type="dxa"/>
            <w:gridSpan w:val="2"/>
            <w:shd w:val="clear" w:color="auto" w:fill="F0DCDC"/>
          </w:tcPr>
          <w:p w14:paraId="1F2A7D66" w14:textId="77777777" w:rsidR="0041789E" w:rsidRDefault="0041789E" w:rsidP="007B78B3">
            <w:pPr>
              <w:pStyle w:val="TableText"/>
            </w:pPr>
            <w:r>
              <w:t>Active energy</w:t>
            </w:r>
          </w:p>
        </w:tc>
      </w:tr>
      <w:tr w:rsidR="0041789E" w14:paraId="4E5D844F" w14:textId="77777777" w:rsidTr="00B43AE5">
        <w:trPr>
          <w:jc w:val="center"/>
        </w:trPr>
        <w:tc>
          <w:tcPr>
            <w:tcW w:w="0" w:type="auto"/>
            <w:shd w:val="clear" w:color="auto" w:fill="F0DCDC"/>
          </w:tcPr>
          <w:p w14:paraId="399D32EF" w14:textId="77777777" w:rsidR="0041789E" w:rsidRDefault="0041789E" w:rsidP="007B78B3">
            <w:pPr>
              <w:pStyle w:val="TableText"/>
            </w:pPr>
            <w:r>
              <w:t>Unit</w:t>
            </w:r>
          </w:p>
        </w:tc>
        <w:tc>
          <w:tcPr>
            <w:tcW w:w="1938" w:type="dxa"/>
            <w:shd w:val="clear" w:color="auto" w:fill="F0DCDC"/>
          </w:tcPr>
          <w:p w14:paraId="5EB7DB1B" w14:textId="77777777" w:rsidR="0041789E" w:rsidRDefault="0041789E" w:rsidP="007B78B3">
            <w:pPr>
              <w:pStyle w:val="TableText"/>
            </w:pPr>
            <w:r>
              <w:t>Symbol</w:t>
            </w:r>
          </w:p>
        </w:tc>
      </w:tr>
      <w:tr w:rsidR="0041789E" w14:paraId="7F41AD5E" w14:textId="77777777" w:rsidTr="00B21092">
        <w:trPr>
          <w:jc w:val="center"/>
        </w:trPr>
        <w:tc>
          <w:tcPr>
            <w:tcW w:w="0" w:type="auto"/>
          </w:tcPr>
          <w:p w14:paraId="74A99AF2" w14:textId="77777777" w:rsidR="0041789E" w:rsidRDefault="0041789E" w:rsidP="007B78B3">
            <w:pPr>
              <w:pStyle w:val="TableText"/>
            </w:pPr>
            <w:r>
              <w:t>watt hour</w:t>
            </w:r>
          </w:p>
        </w:tc>
        <w:tc>
          <w:tcPr>
            <w:tcW w:w="1938" w:type="dxa"/>
          </w:tcPr>
          <w:p w14:paraId="29AA245C" w14:textId="77777777" w:rsidR="0041789E" w:rsidRDefault="0041789E" w:rsidP="007B78B3">
            <w:pPr>
              <w:pStyle w:val="TableText"/>
            </w:pPr>
            <w:r>
              <w:t>Wh</w:t>
            </w:r>
          </w:p>
        </w:tc>
      </w:tr>
      <w:tr w:rsidR="0041789E" w14:paraId="26878CE3" w14:textId="77777777" w:rsidTr="00B21092">
        <w:trPr>
          <w:jc w:val="center"/>
        </w:trPr>
        <w:tc>
          <w:tcPr>
            <w:tcW w:w="0" w:type="auto"/>
          </w:tcPr>
          <w:p w14:paraId="15A4E816" w14:textId="77777777" w:rsidR="0041789E" w:rsidRDefault="0041789E" w:rsidP="007B78B3">
            <w:pPr>
              <w:pStyle w:val="TableText"/>
            </w:pPr>
            <w:r>
              <w:t>kilowatt hour</w:t>
            </w:r>
          </w:p>
        </w:tc>
        <w:tc>
          <w:tcPr>
            <w:tcW w:w="1938" w:type="dxa"/>
          </w:tcPr>
          <w:p w14:paraId="72684E0F" w14:textId="77777777" w:rsidR="0041789E" w:rsidRDefault="0041789E" w:rsidP="007B78B3">
            <w:pPr>
              <w:pStyle w:val="TableText"/>
            </w:pPr>
            <w:r>
              <w:t>kWh</w:t>
            </w:r>
          </w:p>
        </w:tc>
      </w:tr>
      <w:tr w:rsidR="0041789E" w14:paraId="0B0ECBEC" w14:textId="77777777" w:rsidTr="00B21092">
        <w:trPr>
          <w:jc w:val="center"/>
        </w:trPr>
        <w:tc>
          <w:tcPr>
            <w:tcW w:w="0" w:type="auto"/>
          </w:tcPr>
          <w:p w14:paraId="3934A89F" w14:textId="77777777" w:rsidR="0041789E" w:rsidRDefault="0041789E" w:rsidP="007B78B3">
            <w:pPr>
              <w:pStyle w:val="TableText"/>
            </w:pPr>
            <w:r>
              <w:t>megawatt hour</w:t>
            </w:r>
          </w:p>
        </w:tc>
        <w:tc>
          <w:tcPr>
            <w:tcW w:w="1938" w:type="dxa"/>
          </w:tcPr>
          <w:p w14:paraId="3435B288" w14:textId="77777777" w:rsidR="0041789E" w:rsidRDefault="0041789E" w:rsidP="007B78B3">
            <w:pPr>
              <w:pStyle w:val="TableText"/>
            </w:pPr>
            <w:r>
              <w:t>MWh</w:t>
            </w:r>
          </w:p>
        </w:tc>
      </w:tr>
      <w:tr w:rsidR="0041789E" w14:paraId="3CBC094C" w14:textId="77777777" w:rsidTr="00B21092">
        <w:trPr>
          <w:jc w:val="center"/>
        </w:trPr>
        <w:tc>
          <w:tcPr>
            <w:tcW w:w="0" w:type="auto"/>
          </w:tcPr>
          <w:p w14:paraId="51B1DF45" w14:textId="77777777" w:rsidR="0041789E" w:rsidRDefault="0041789E" w:rsidP="007B78B3">
            <w:pPr>
              <w:pStyle w:val="TableText"/>
            </w:pPr>
            <w:r>
              <w:t>gigawatt hour</w:t>
            </w:r>
          </w:p>
        </w:tc>
        <w:tc>
          <w:tcPr>
            <w:tcW w:w="1938" w:type="dxa"/>
          </w:tcPr>
          <w:p w14:paraId="2FCF3F4C" w14:textId="77777777" w:rsidR="0041789E" w:rsidRDefault="0041789E" w:rsidP="007B78B3">
            <w:pPr>
              <w:pStyle w:val="TableText"/>
            </w:pPr>
            <w:r>
              <w:t>GWh</w:t>
            </w:r>
          </w:p>
        </w:tc>
      </w:tr>
    </w:tbl>
    <w:p w14:paraId="1A6DF635" w14:textId="77777777" w:rsidR="0026206A" w:rsidRDefault="0026206A" w:rsidP="0026206A">
      <w:pPr>
        <w:pStyle w:val="Heading2"/>
      </w:pPr>
      <w:bookmarkStart w:id="13" w:name="_Toc78473789"/>
      <w:r>
        <w:t>Calculated Quantities</w:t>
      </w:r>
      <w:bookmarkEnd w:id="13"/>
    </w:p>
    <w:p w14:paraId="078B0B5A" w14:textId="77777777" w:rsidR="0026206A" w:rsidRDefault="0026206A" w:rsidP="0026206A">
      <w:r>
        <w:t>For all calculated quantities included in the transaction, the indicated quantity shall equal the quantity obtained by using the indicated values included in the calculation together with any rounding applied. If the indicated calculated quantity is rounded, it shall be rounded to ±0.5 of the minimum measured quantity.</w:t>
      </w:r>
    </w:p>
    <w:p w14:paraId="7C3F22BB" w14:textId="77777777" w:rsidR="0026206A" w:rsidRDefault="0026206A" w:rsidP="0026206A">
      <w:r>
        <w:t>Calculated quantities include energy values stored in meter registers such as time of use, import and export and phase registers.</w:t>
      </w:r>
    </w:p>
    <w:p w14:paraId="1D245220" w14:textId="77777777" w:rsidR="0026206A" w:rsidRDefault="0026206A" w:rsidP="0026206A">
      <w:pPr>
        <w:pStyle w:val="Heading2"/>
      </w:pPr>
      <w:bookmarkStart w:id="14" w:name="_Toc78473790"/>
      <w:r>
        <w:t>Rules for the Determination of Errors</w:t>
      </w:r>
      <w:bookmarkEnd w:id="14"/>
    </w:p>
    <w:p w14:paraId="156F6893" w14:textId="77777777" w:rsidR="0026206A" w:rsidRDefault="0026206A" w:rsidP="0026206A">
      <w:r>
        <w:t>The rules for the determination of errors are as follows:</w:t>
      </w:r>
    </w:p>
    <w:p w14:paraId="6E0B85CC" w14:textId="0EE95EC7" w:rsidR="0026206A" w:rsidRDefault="0026206A" w:rsidP="00347BB7">
      <w:pPr>
        <w:pStyle w:val="ListParagraph"/>
        <w:numPr>
          <w:ilvl w:val="0"/>
          <w:numId w:val="5"/>
        </w:numPr>
      </w:pPr>
      <w:r>
        <w:t xml:space="preserve">the value of reference quantities or measurement standards used for the determination of maximum permissible errors shall have an expanded uncertainty (coverage factor two) no greater than one-third of the maximum permissible error specified </w:t>
      </w:r>
      <w:r w:rsidR="002441D4">
        <w:t xml:space="preserve">for the meter under test </w:t>
      </w:r>
      <w:r>
        <w:t>(see ISO Guide to the Expression of Uncertainty in Measurement [</w:t>
      </w:r>
      <w:r w:rsidR="00535E71">
        <w:t>7</w:t>
      </w:r>
      <w:r>
        <w:t>]);</w:t>
      </w:r>
    </w:p>
    <w:p w14:paraId="4B18DE5E" w14:textId="77777777" w:rsidR="0026206A" w:rsidRDefault="0026206A" w:rsidP="00347BB7">
      <w:pPr>
        <w:pStyle w:val="ListParagraph"/>
        <w:numPr>
          <w:ilvl w:val="0"/>
          <w:numId w:val="5"/>
        </w:numPr>
      </w:pPr>
      <w:r>
        <w:t>the maximum permissible errors apply to all meters irrespective of their principles of operation;</w:t>
      </w:r>
    </w:p>
    <w:p w14:paraId="14178E59" w14:textId="77777777" w:rsidR="0026206A" w:rsidRDefault="0026206A" w:rsidP="00347BB7">
      <w:pPr>
        <w:pStyle w:val="ListParagraph"/>
        <w:numPr>
          <w:ilvl w:val="0"/>
          <w:numId w:val="5"/>
        </w:numPr>
      </w:pPr>
      <w:r>
        <w:t>the maximum permissible error specifications are applicable to all indications included in the transaction as appropriate.</w:t>
      </w:r>
    </w:p>
    <w:p w14:paraId="68CDA53A" w14:textId="77777777" w:rsidR="00A57EE3" w:rsidRDefault="00A57EE3" w:rsidP="00A57EE3">
      <w:pPr>
        <w:pStyle w:val="Heading2"/>
      </w:pPr>
      <w:bookmarkStart w:id="15" w:name="_Toc78473791"/>
      <w:r>
        <w:t>Information to be Displayed on Meter Exterior</w:t>
      </w:r>
      <w:bookmarkEnd w:id="15"/>
    </w:p>
    <w:p w14:paraId="298CAF63" w14:textId="7CA991EA" w:rsidR="00752EC4" w:rsidRDefault="00752EC4" w:rsidP="00A57EE3">
      <w:pPr>
        <w:spacing w:after="200"/>
      </w:pPr>
      <w:r>
        <w:t xml:space="preserve">Refer to AS 62052.11:2018 </w:t>
      </w:r>
      <w:r w:rsidR="000361CD">
        <w:t>clause 5.12.1 Name-plates</w:t>
      </w:r>
      <w:r>
        <w:t xml:space="preserve"> noting the following:</w:t>
      </w:r>
    </w:p>
    <w:p w14:paraId="5DB135D4" w14:textId="2080DF44" w:rsidR="000361CD" w:rsidRDefault="000361CD" w:rsidP="00347BB7">
      <w:pPr>
        <w:pStyle w:val="ListParagraph"/>
        <w:numPr>
          <w:ilvl w:val="0"/>
          <w:numId w:val="18"/>
        </w:numPr>
        <w:spacing w:after="200"/>
      </w:pPr>
      <w:r>
        <w:t>Meters shall be clearly and permanently marked, and the markings shall be visible when the meter is installed.</w:t>
      </w:r>
    </w:p>
    <w:p w14:paraId="22739756" w14:textId="3DCAB3B2" w:rsidR="00752EC4" w:rsidRDefault="00752EC4" w:rsidP="00347BB7">
      <w:pPr>
        <w:pStyle w:val="ListParagraph"/>
        <w:numPr>
          <w:ilvl w:val="0"/>
          <w:numId w:val="18"/>
        </w:numPr>
        <w:spacing w:after="200"/>
      </w:pPr>
      <w:r>
        <w:t>Space for an approval mark is required. The approval mark is an NMI pattern approval number which associates the meter with a Certificate of Approval issued by the Chief Metrologist (or delegate).</w:t>
      </w:r>
    </w:p>
    <w:p w14:paraId="099A6E3D" w14:textId="77777777" w:rsidR="000A08D9" w:rsidRDefault="00752EC4" w:rsidP="00347BB7">
      <w:pPr>
        <w:pStyle w:val="ListParagraph"/>
        <w:numPr>
          <w:ilvl w:val="0"/>
          <w:numId w:val="18"/>
        </w:numPr>
        <w:spacing w:after="200"/>
      </w:pPr>
      <w:r>
        <w:t>The reference frequency must be 50 Hz.</w:t>
      </w:r>
    </w:p>
    <w:p w14:paraId="345A18E2" w14:textId="622A1748" w:rsidR="000A08D9" w:rsidRDefault="000A08D9" w:rsidP="00347BB7">
      <w:pPr>
        <w:pStyle w:val="ListParagraph"/>
        <w:numPr>
          <w:ilvl w:val="0"/>
          <w:numId w:val="18"/>
        </w:numPr>
      </w:pPr>
      <w:r>
        <w:t>For transformer-operated, the markings must include the rated current (the rated secondary current of the transformer) and the maximum current.</w:t>
      </w:r>
    </w:p>
    <w:p w14:paraId="77B326FE" w14:textId="719244E1" w:rsidR="00A57EE3" w:rsidRDefault="00A57EE3" w:rsidP="00347BB7">
      <w:pPr>
        <w:pStyle w:val="ListParagraph"/>
        <w:numPr>
          <w:ilvl w:val="0"/>
          <w:numId w:val="18"/>
        </w:numPr>
        <w:spacing w:after="200"/>
      </w:pPr>
      <w:r>
        <w:t xml:space="preserve">Space for a verification mark shall be provided as described in clause </w:t>
      </w:r>
      <w:r w:rsidR="00FF3AE1">
        <w:t>3.5</w:t>
      </w:r>
      <w:r>
        <w:t>.</w:t>
      </w:r>
    </w:p>
    <w:p w14:paraId="1EEE4F9A" w14:textId="01B6BCC7" w:rsidR="000A08D9" w:rsidRDefault="000A08D9" w:rsidP="00347BB7">
      <w:pPr>
        <w:pStyle w:val="ListParagraph"/>
        <w:numPr>
          <w:ilvl w:val="0"/>
          <w:numId w:val="18"/>
        </w:numPr>
        <w:spacing w:after="200"/>
      </w:pPr>
      <w:r>
        <w:t>Any special notice or limitation of use relating to the meter shall be either clearly marked on a notice visible to the operator or provided in an operators’ manual.</w:t>
      </w:r>
    </w:p>
    <w:p w14:paraId="7D216B30" w14:textId="77777777" w:rsidR="00A57EE3" w:rsidRDefault="00A57EE3" w:rsidP="00A57EE3">
      <w:pPr>
        <w:pStyle w:val="Heading2"/>
      </w:pPr>
      <w:bookmarkStart w:id="16" w:name="_Toc78473792"/>
      <w:r>
        <w:t>Verification Mark</w:t>
      </w:r>
      <w:bookmarkEnd w:id="16"/>
    </w:p>
    <w:p w14:paraId="061A00D5" w14:textId="77777777" w:rsidR="00A57EE3" w:rsidRDefault="00A57EE3" w:rsidP="00A57EE3">
      <w:pPr>
        <w:spacing w:after="200"/>
      </w:pPr>
      <w:r>
        <w:t>Provision shall be made for the application of a verification mark either on a stamping plug or an adhesive label. The following requirements apply:</w:t>
      </w:r>
    </w:p>
    <w:p w14:paraId="2E9EB08A" w14:textId="77777777" w:rsidR="00A57EE3" w:rsidRDefault="00A57EE3" w:rsidP="00347BB7">
      <w:pPr>
        <w:pStyle w:val="ListParagraph"/>
        <w:numPr>
          <w:ilvl w:val="0"/>
          <w:numId w:val="6"/>
        </w:numPr>
        <w:spacing w:after="200"/>
      </w:pPr>
      <w:r>
        <w:t>the mark shall be easily affixed without affecting the metrological properties of the meter;</w:t>
      </w:r>
    </w:p>
    <w:p w14:paraId="18E76AB6" w14:textId="77777777" w:rsidR="00A57EE3" w:rsidRDefault="00A57EE3" w:rsidP="00347BB7">
      <w:pPr>
        <w:pStyle w:val="ListParagraph"/>
        <w:numPr>
          <w:ilvl w:val="0"/>
          <w:numId w:val="6"/>
        </w:numPr>
        <w:spacing w:after="200"/>
      </w:pPr>
      <w:r>
        <w:t>the mark shall be visible without moving or dismantling the meter when in use;</w:t>
      </w:r>
    </w:p>
    <w:p w14:paraId="00F59406" w14:textId="77777777" w:rsidR="00A57EE3" w:rsidRDefault="00A57EE3" w:rsidP="00347BB7">
      <w:pPr>
        <w:pStyle w:val="ListParagraph"/>
        <w:numPr>
          <w:ilvl w:val="0"/>
          <w:numId w:val="6"/>
        </w:numPr>
        <w:spacing w:after="200"/>
      </w:pPr>
      <w:r>
        <w:t>the part on which the mark is located shall not be removable from the meter without damaging the mark; and</w:t>
      </w:r>
    </w:p>
    <w:p w14:paraId="683C5DBA" w14:textId="485CEE3F" w:rsidR="00A57EE3" w:rsidRDefault="00A57EE3" w:rsidP="00347BB7">
      <w:pPr>
        <w:pStyle w:val="ListParagraph"/>
        <w:numPr>
          <w:ilvl w:val="0"/>
          <w:numId w:val="6"/>
        </w:numPr>
        <w:spacing w:after="200"/>
      </w:pPr>
      <w:r>
        <w:lastRenderedPageBreak/>
        <w:t xml:space="preserve">the size of the space shall be sufficient to contain the marks applied by the </w:t>
      </w:r>
      <w:r w:rsidR="000361CD">
        <w:t>Utility Meter Verifier</w:t>
      </w:r>
      <w:r>
        <w:t xml:space="preserve"> and to ensure that those marks shall be legible. A minimum size of 200 mm</w:t>
      </w:r>
      <w:r w:rsidRPr="00342045">
        <w:rPr>
          <w:vertAlign w:val="superscript"/>
        </w:rPr>
        <w:t>2</w:t>
      </w:r>
      <w:r>
        <w:t xml:space="preserve"> is recommended.</w:t>
      </w:r>
    </w:p>
    <w:p w14:paraId="13694DD3" w14:textId="3CF0B33C" w:rsidR="00FF3AE1" w:rsidRDefault="00FF3AE1" w:rsidP="00FF3AE1">
      <w:pPr>
        <w:pStyle w:val="Note"/>
      </w:pPr>
      <w:r>
        <w:t>Note:</w:t>
      </w:r>
      <w:r>
        <w:tab/>
        <w:t>A verification mark may be in the form of a Certificate of Verification. See Clause 6.2 and NITP 14 for more information.</w:t>
      </w:r>
    </w:p>
    <w:p w14:paraId="6EE4A793" w14:textId="77777777" w:rsidR="00A57EE3" w:rsidRDefault="00A57EE3" w:rsidP="00342045">
      <w:pPr>
        <w:pStyle w:val="Heading2"/>
      </w:pPr>
      <w:bookmarkStart w:id="17" w:name="_Toc78473793"/>
      <w:r>
        <w:t>Sealing</w:t>
      </w:r>
      <w:bookmarkEnd w:id="17"/>
    </w:p>
    <w:p w14:paraId="54FD9322" w14:textId="11816112" w:rsidR="00A57EE3" w:rsidRDefault="00A57EE3" w:rsidP="00A57EE3">
      <w:pPr>
        <w:spacing w:after="200"/>
      </w:pPr>
      <w:r>
        <w:t>Provision shall be made for sealing those devices and parameters that have a metrologically significant effect and that determine the measurement result. This may include devices and parameters that affect the configuration of the meter as well as those which affect the calibration. If instructions or data, which alter the parameters that determine the measurement result, can be introduced through an auxiliary device interface into the meter, the interface shall also be sealed</w:t>
      </w:r>
      <w:r w:rsidR="00A238C0">
        <w:t>.</w:t>
      </w:r>
      <w:r>
        <w:t xml:space="preserve"> </w:t>
      </w:r>
    </w:p>
    <w:p w14:paraId="1F026C60" w14:textId="77777777" w:rsidR="00A57EE3" w:rsidRDefault="00A57EE3" w:rsidP="00A57EE3">
      <w:pPr>
        <w:spacing w:after="200"/>
      </w:pPr>
      <w:r>
        <w:t>Sealing may be by mechanical or solid state means. Mechanical means include those where access to a solid state means of changing the parameters (for example via a keyboard) is prohibited by a mechanical seal.</w:t>
      </w:r>
    </w:p>
    <w:p w14:paraId="3B045D5E" w14:textId="77777777" w:rsidR="00A57EE3" w:rsidRDefault="00A57EE3" w:rsidP="00A57EE3">
      <w:pPr>
        <w:spacing w:after="200"/>
      </w:pPr>
      <w:r>
        <w:t>The requirements for solid state seals are:</w:t>
      </w:r>
    </w:p>
    <w:p w14:paraId="317EA55C" w14:textId="77777777" w:rsidR="00A57EE3" w:rsidRDefault="00A57EE3" w:rsidP="00347BB7">
      <w:pPr>
        <w:pStyle w:val="ListParagraph"/>
        <w:numPr>
          <w:ilvl w:val="0"/>
          <w:numId w:val="7"/>
        </w:numPr>
        <w:spacing w:after="200"/>
      </w:pPr>
      <w:r>
        <w:t>Access by authorised persons to protected parameters shall be protected by some form of physical key or a password or access code (for example a four-digit code).</w:t>
      </w:r>
    </w:p>
    <w:p w14:paraId="629A7577" w14:textId="77777777" w:rsidR="00A57EE3" w:rsidRDefault="00A57EE3" w:rsidP="00347BB7">
      <w:pPr>
        <w:pStyle w:val="ListParagraph"/>
        <w:numPr>
          <w:ilvl w:val="0"/>
          <w:numId w:val="7"/>
        </w:numPr>
        <w:spacing w:after="200"/>
      </w:pPr>
      <w:r>
        <w:t>Any access to alter protected parameters shall be automatically recorded (for example by means of a counter which automatically increments when access is initiated).</w:t>
      </w:r>
    </w:p>
    <w:p w14:paraId="5A99352A" w14:textId="77777777" w:rsidR="00A57EE3" w:rsidRDefault="00A57EE3" w:rsidP="00347BB7">
      <w:pPr>
        <w:pStyle w:val="ListParagraph"/>
        <w:numPr>
          <w:ilvl w:val="0"/>
          <w:numId w:val="7"/>
        </w:numPr>
        <w:spacing w:after="200"/>
      </w:pPr>
      <w:r>
        <w:t>The record shall be readily accessible by a simple action (for example by display of the counter when a button identified as being for this purpose is pressed, or during the indication check).</w:t>
      </w:r>
    </w:p>
    <w:p w14:paraId="42996B6B" w14:textId="77777777" w:rsidR="00A57EE3" w:rsidRDefault="00A57EE3" w:rsidP="00347BB7">
      <w:pPr>
        <w:pStyle w:val="ListParagraph"/>
        <w:numPr>
          <w:ilvl w:val="0"/>
          <w:numId w:val="7"/>
        </w:numPr>
        <w:spacing w:after="200"/>
      </w:pPr>
      <w:r>
        <w:t>The record shall be readily identifiable as such and shall not be easily confused with other indications of the meter.</w:t>
      </w:r>
    </w:p>
    <w:p w14:paraId="12BAB593" w14:textId="77777777" w:rsidR="00A57EE3" w:rsidRDefault="00A57EE3" w:rsidP="00347BB7">
      <w:pPr>
        <w:pStyle w:val="ListParagraph"/>
        <w:numPr>
          <w:ilvl w:val="0"/>
          <w:numId w:val="7"/>
        </w:numPr>
        <w:spacing w:after="200"/>
      </w:pPr>
      <w:r>
        <w:t>A reference record in the same form as the incremental record shall be permanently marked on the meter to indicate that the parameters have been accessed since the last verification (for example the reference record could be associated with the verification mark).</w:t>
      </w:r>
    </w:p>
    <w:p w14:paraId="1FD489BE" w14:textId="77777777" w:rsidR="00A57EE3" w:rsidRDefault="00A57EE3" w:rsidP="00347BB7">
      <w:pPr>
        <w:pStyle w:val="ListParagraph"/>
        <w:numPr>
          <w:ilvl w:val="0"/>
          <w:numId w:val="7"/>
        </w:numPr>
        <w:spacing w:after="200"/>
      </w:pPr>
      <w:r>
        <w:t>The record shall not repeat in a sequence of less than 99 alterations. It shall also persist reliably for a period of at least two years (unless it is overwritten by a further alteration). The record shall persist through tests for influence factors and disturbances specified in the document.</w:t>
      </w:r>
    </w:p>
    <w:p w14:paraId="0D24C073" w14:textId="77777777" w:rsidR="00FF3AE1" w:rsidRDefault="00FF3AE1">
      <w:pPr>
        <w:spacing w:after="200"/>
        <w:rPr>
          <w:rFonts w:asciiTheme="majorHAnsi" w:eastAsiaTheme="majorEastAsia" w:hAnsiTheme="majorHAnsi" w:cstheme="majorBidi"/>
          <w:b/>
          <w:bCs/>
          <w:color w:val="7C1222" w:themeColor="accent1" w:themeShade="BF"/>
          <w:sz w:val="28"/>
          <w:szCs w:val="28"/>
        </w:rPr>
      </w:pPr>
      <w:r>
        <w:br w:type="page"/>
      </w:r>
    </w:p>
    <w:p w14:paraId="38237BEA" w14:textId="74E4EB53" w:rsidR="006730C9" w:rsidRDefault="006730C9" w:rsidP="006730C9">
      <w:pPr>
        <w:pStyle w:val="Heading1"/>
      </w:pPr>
      <w:bookmarkStart w:id="18" w:name="_Toc78473794"/>
      <w:r>
        <w:lastRenderedPageBreak/>
        <w:t xml:space="preserve">Accuracy Classes and </w:t>
      </w:r>
      <w:r w:rsidR="0030793A">
        <w:t>Maximum Permissible Errors</w:t>
      </w:r>
      <w:bookmarkEnd w:id="18"/>
    </w:p>
    <w:p w14:paraId="445582D8" w14:textId="0D77757F" w:rsidR="006730C9" w:rsidRDefault="006730C9" w:rsidP="006730C9">
      <w:r>
        <w:t>There are four accuracy classes</w:t>
      </w:r>
      <w:r w:rsidR="00262661">
        <w:t xml:space="preserve"> provided in the Australia Standards [2, 3 and 4]</w:t>
      </w:r>
      <w:r>
        <w:t xml:space="preserve">: class 0.2 S, 0.5 S, 1 and 2. The four accuracy classes and associated error limits (maximum permissible errors) are </w:t>
      </w:r>
      <w:r w:rsidRPr="00714652">
        <w:t xml:space="preserve">summarised in </w:t>
      </w:r>
      <w:r w:rsidRPr="00201A80">
        <w:t xml:space="preserve">Tables </w:t>
      </w:r>
      <w:r>
        <w:t>1 and 2 below.</w:t>
      </w:r>
    </w:p>
    <w:p w14:paraId="1F897336" w14:textId="40C6AE4A" w:rsidR="006730C9" w:rsidRDefault="006730C9" w:rsidP="006730C9">
      <w:pPr>
        <w:pStyle w:val="Caption"/>
        <w:keepNext/>
      </w:pPr>
      <w:r>
        <w:t xml:space="preserve">Table </w:t>
      </w:r>
      <w:r>
        <w:rPr>
          <w:noProof/>
        </w:rPr>
        <w:t>1</w:t>
      </w:r>
      <w:r>
        <w:t xml:space="preserve">. Percentage error </w:t>
      </w:r>
      <w:r w:rsidRPr="001B27A0">
        <w:t>limits</w:t>
      </w:r>
      <w:r>
        <w:t xml:space="preserve"> for single phase and polyphase direct-connected meters with balanced loads</w:t>
      </w:r>
    </w:p>
    <w:tbl>
      <w:tblPr>
        <w:tblStyle w:val="TableGrid"/>
        <w:tblW w:w="5000" w:type="pct"/>
        <w:tblCellMar>
          <w:left w:w="57" w:type="dxa"/>
          <w:right w:w="57" w:type="dxa"/>
        </w:tblCellMar>
        <w:tblLook w:val="0020" w:firstRow="1" w:lastRow="0" w:firstColumn="0" w:lastColumn="0" w:noHBand="0" w:noVBand="0"/>
      </w:tblPr>
      <w:tblGrid>
        <w:gridCol w:w="1980"/>
        <w:gridCol w:w="1843"/>
        <w:gridCol w:w="1561"/>
        <w:gridCol w:w="1276"/>
        <w:gridCol w:w="1054"/>
        <w:gridCol w:w="972"/>
        <w:gridCol w:w="1056"/>
      </w:tblGrid>
      <w:tr w:rsidR="006730C9" w:rsidRPr="00B17511" w14:paraId="5575627E" w14:textId="77777777" w:rsidTr="006730C9">
        <w:trPr>
          <w:trHeight w:val="283"/>
        </w:trPr>
        <w:tc>
          <w:tcPr>
            <w:tcW w:w="1962" w:type="pct"/>
            <w:gridSpan w:val="2"/>
            <w:shd w:val="clear" w:color="auto" w:fill="F0DCDC"/>
            <w:vAlign w:val="center"/>
          </w:tcPr>
          <w:p w14:paraId="771590D1" w14:textId="77777777" w:rsidR="006730C9" w:rsidRPr="00B17511" w:rsidRDefault="006730C9" w:rsidP="006730C9">
            <w:pPr>
              <w:pStyle w:val="TableText"/>
              <w:keepNext/>
            </w:pPr>
            <w:r>
              <w:t>Value of current</w:t>
            </w:r>
          </w:p>
        </w:tc>
        <w:tc>
          <w:tcPr>
            <w:tcW w:w="801" w:type="pct"/>
            <w:vMerge w:val="restart"/>
            <w:shd w:val="clear" w:color="auto" w:fill="F0DCDC"/>
            <w:vAlign w:val="center"/>
          </w:tcPr>
          <w:p w14:paraId="11619698" w14:textId="77777777" w:rsidR="006730C9" w:rsidRPr="00B17511" w:rsidRDefault="006730C9" w:rsidP="006730C9">
            <w:pPr>
              <w:pStyle w:val="TableText"/>
              <w:keepNext/>
            </w:pPr>
            <w:r w:rsidRPr="00B17511">
              <w:t>Power factor</w:t>
            </w:r>
          </w:p>
        </w:tc>
        <w:tc>
          <w:tcPr>
            <w:tcW w:w="2237" w:type="pct"/>
            <w:gridSpan w:val="4"/>
            <w:shd w:val="clear" w:color="auto" w:fill="F0DCDC"/>
            <w:vAlign w:val="center"/>
          </w:tcPr>
          <w:p w14:paraId="67DAF1A6" w14:textId="77777777" w:rsidR="006730C9" w:rsidRPr="00B17511" w:rsidRDefault="006730C9" w:rsidP="006730C9">
            <w:pPr>
              <w:pStyle w:val="TableText"/>
              <w:keepNext/>
            </w:pPr>
            <w:r w:rsidRPr="00B17511">
              <w:t>Percentage error limits for meters of class</w:t>
            </w:r>
          </w:p>
        </w:tc>
      </w:tr>
      <w:tr w:rsidR="006730C9" w:rsidRPr="00B17511" w14:paraId="026AC8CC" w14:textId="77777777" w:rsidTr="006730C9">
        <w:trPr>
          <w:trHeight w:val="283"/>
        </w:trPr>
        <w:tc>
          <w:tcPr>
            <w:tcW w:w="1016" w:type="pct"/>
            <w:shd w:val="clear" w:color="auto" w:fill="F0DCDC"/>
            <w:vAlign w:val="center"/>
          </w:tcPr>
          <w:p w14:paraId="135058EA" w14:textId="77777777" w:rsidR="006730C9" w:rsidRPr="00B17511" w:rsidRDefault="006730C9" w:rsidP="006730C9">
            <w:pPr>
              <w:pStyle w:val="TableText"/>
              <w:keepNext/>
            </w:pPr>
            <w:r>
              <w:t>For direct connected meters</w:t>
            </w:r>
          </w:p>
        </w:tc>
        <w:tc>
          <w:tcPr>
            <w:tcW w:w="946" w:type="pct"/>
            <w:shd w:val="clear" w:color="auto" w:fill="F0DCDC"/>
            <w:vAlign w:val="center"/>
          </w:tcPr>
          <w:p w14:paraId="0C6FB405" w14:textId="77777777" w:rsidR="006730C9" w:rsidRPr="00B17511" w:rsidRDefault="006730C9" w:rsidP="006730C9">
            <w:pPr>
              <w:pStyle w:val="TableText"/>
              <w:keepNext/>
            </w:pPr>
            <w:r>
              <w:t>For transformer operated meters</w:t>
            </w:r>
          </w:p>
        </w:tc>
        <w:tc>
          <w:tcPr>
            <w:tcW w:w="801" w:type="pct"/>
            <w:vMerge/>
            <w:shd w:val="clear" w:color="auto" w:fill="F0DCDC"/>
            <w:vAlign w:val="center"/>
          </w:tcPr>
          <w:p w14:paraId="3459E155" w14:textId="77777777" w:rsidR="006730C9" w:rsidRPr="00B17511" w:rsidRDefault="006730C9" w:rsidP="006730C9">
            <w:pPr>
              <w:pStyle w:val="TableText"/>
              <w:keepNext/>
            </w:pPr>
          </w:p>
        </w:tc>
        <w:tc>
          <w:tcPr>
            <w:tcW w:w="655" w:type="pct"/>
            <w:shd w:val="clear" w:color="auto" w:fill="F0DCDC"/>
            <w:vAlign w:val="center"/>
          </w:tcPr>
          <w:p w14:paraId="77265896" w14:textId="77777777" w:rsidR="006730C9" w:rsidRPr="00B17511" w:rsidRDefault="006730C9" w:rsidP="006730C9">
            <w:pPr>
              <w:pStyle w:val="TableText"/>
              <w:keepNext/>
            </w:pPr>
            <w:r>
              <w:t>0.2 S</w:t>
            </w:r>
          </w:p>
        </w:tc>
        <w:tc>
          <w:tcPr>
            <w:tcW w:w="541" w:type="pct"/>
            <w:shd w:val="clear" w:color="auto" w:fill="F0DCDC"/>
            <w:vAlign w:val="center"/>
          </w:tcPr>
          <w:p w14:paraId="1521631D" w14:textId="77777777" w:rsidR="006730C9" w:rsidRPr="00B17511" w:rsidRDefault="006730C9" w:rsidP="006730C9">
            <w:pPr>
              <w:pStyle w:val="TableText"/>
              <w:keepNext/>
            </w:pPr>
            <w:r>
              <w:t>0.5 S</w:t>
            </w:r>
          </w:p>
        </w:tc>
        <w:tc>
          <w:tcPr>
            <w:tcW w:w="499" w:type="pct"/>
            <w:shd w:val="clear" w:color="auto" w:fill="F0DCDC"/>
            <w:vAlign w:val="center"/>
          </w:tcPr>
          <w:p w14:paraId="3CE40350" w14:textId="77777777" w:rsidR="006730C9" w:rsidRPr="00B17511" w:rsidRDefault="006730C9" w:rsidP="006730C9">
            <w:pPr>
              <w:pStyle w:val="TableText"/>
              <w:keepNext/>
            </w:pPr>
            <w:r w:rsidRPr="00B17511">
              <w:t>1</w:t>
            </w:r>
          </w:p>
        </w:tc>
        <w:tc>
          <w:tcPr>
            <w:tcW w:w="542" w:type="pct"/>
            <w:shd w:val="clear" w:color="auto" w:fill="F0DCDC"/>
            <w:vAlign w:val="center"/>
          </w:tcPr>
          <w:p w14:paraId="125FDB3F" w14:textId="77777777" w:rsidR="006730C9" w:rsidRPr="00B17511" w:rsidRDefault="006730C9" w:rsidP="006730C9">
            <w:pPr>
              <w:pStyle w:val="TableText"/>
              <w:keepNext/>
            </w:pPr>
            <w:r>
              <w:t>2</w:t>
            </w:r>
          </w:p>
        </w:tc>
      </w:tr>
      <w:tr w:rsidR="006730C9" w:rsidRPr="00B17511" w14:paraId="233C005F" w14:textId="77777777" w:rsidTr="006730C9">
        <w:trPr>
          <w:trHeight w:val="283"/>
        </w:trPr>
        <w:tc>
          <w:tcPr>
            <w:tcW w:w="1016" w:type="pct"/>
            <w:shd w:val="clear" w:color="auto" w:fill="auto"/>
            <w:vAlign w:val="center"/>
          </w:tcPr>
          <w:p w14:paraId="55A5E378" w14:textId="77777777" w:rsidR="006730C9" w:rsidRPr="008A52F7" w:rsidRDefault="006730C9" w:rsidP="006730C9">
            <w:pPr>
              <w:pStyle w:val="TableText"/>
              <w:keepNext/>
              <w:rPr>
                <w:rFonts w:ascii="Cambria Math" w:hAnsi="Cambria Math"/>
              </w:rPr>
            </w:pPr>
            <w:r w:rsidRPr="008A52F7">
              <w:rPr>
                <w:rFonts w:ascii="Cambria Math" w:hAnsi="Cambria Math"/>
              </w:rPr>
              <w:t>—</w:t>
            </w:r>
          </w:p>
        </w:tc>
        <w:tc>
          <w:tcPr>
            <w:tcW w:w="946" w:type="pct"/>
            <w:shd w:val="clear" w:color="auto" w:fill="auto"/>
            <w:vAlign w:val="center"/>
          </w:tcPr>
          <w:p w14:paraId="581456A0" w14:textId="77777777" w:rsidR="006730C9" w:rsidRPr="008A52F7" w:rsidRDefault="006730C9" w:rsidP="006730C9">
            <w:pPr>
              <w:pStyle w:val="TableText"/>
              <w:keepNext/>
              <w:rPr>
                <w:rFonts w:ascii="Cambria Math" w:hAnsi="Cambria Math"/>
              </w:rPr>
            </w:pPr>
            <w:r>
              <w:rPr>
                <w:rFonts w:ascii="Cambria Math" w:hAnsi="Cambria Math"/>
              </w:rPr>
              <w:t>0.01</w:t>
            </w:r>
            <w:r w:rsidRPr="008A52F7">
              <w:rPr>
                <w:rFonts w:ascii="Cambria Math" w:hAnsi="Cambria Math"/>
              </w:rPr>
              <w:t xml:space="preserve"> </w:t>
            </w:r>
            <w:r w:rsidRPr="008A52F7">
              <w:rPr>
                <w:rFonts w:ascii="Cambria Math" w:hAnsi="Cambria Math"/>
                <w:i/>
              </w:rPr>
              <w:t>I</w:t>
            </w:r>
            <w:r>
              <w:rPr>
                <w:rFonts w:ascii="Cambria Math" w:hAnsi="Cambria Math"/>
                <w:vertAlign w:val="subscript"/>
              </w:rPr>
              <w:t>n</w:t>
            </w:r>
            <w:r w:rsidRPr="008A52F7">
              <w:rPr>
                <w:rFonts w:ascii="Cambria Math" w:hAnsi="Cambria Math"/>
              </w:rPr>
              <w:t xml:space="preserve"> ≤ </w:t>
            </w:r>
            <w:r w:rsidRPr="008A52F7">
              <w:rPr>
                <w:rFonts w:ascii="Cambria Math" w:hAnsi="Cambria Math"/>
                <w:i/>
              </w:rPr>
              <w:t>I</w:t>
            </w:r>
            <w:r w:rsidRPr="008A52F7">
              <w:rPr>
                <w:rFonts w:ascii="Cambria Math" w:hAnsi="Cambria Math"/>
              </w:rPr>
              <w:t xml:space="preserve"> &lt; 0.</w:t>
            </w:r>
            <w:r>
              <w:rPr>
                <w:rFonts w:ascii="Cambria Math" w:hAnsi="Cambria Math"/>
              </w:rPr>
              <w:t>05</w:t>
            </w:r>
            <w:r w:rsidRPr="008A52F7">
              <w:rPr>
                <w:rFonts w:ascii="Cambria Math" w:hAnsi="Cambria Math"/>
              </w:rPr>
              <w:t xml:space="preserve"> </w:t>
            </w:r>
            <w:r w:rsidRPr="008A52F7">
              <w:rPr>
                <w:rFonts w:ascii="Cambria Math" w:hAnsi="Cambria Math"/>
                <w:i/>
              </w:rPr>
              <w:t>I</w:t>
            </w:r>
            <w:r>
              <w:rPr>
                <w:rFonts w:ascii="Cambria Math" w:hAnsi="Cambria Math"/>
                <w:vertAlign w:val="subscript"/>
              </w:rPr>
              <w:t>n</w:t>
            </w:r>
          </w:p>
        </w:tc>
        <w:tc>
          <w:tcPr>
            <w:tcW w:w="801" w:type="pct"/>
            <w:shd w:val="clear" w:color="auto" w:fill="auto"/>
            <w:vAlign w:val="center"/>
          </w:tcPr>
          <w:p w14:paraId="1F4C156A" w14:textId="77777777" w:rsidR="006730C9" w:rsidRPr="008A52F7" w:rsidRDefault="006730C9" w:rsidP="006730C9">
            <w:pPr>
              <w:pStyle w:val="TableText"/>
              <w:keepNext/>
              <w:rPr>
                <w:rFonts w:ascii="Cambria Math" w:hAnsi="Cambria Math"/>
              </w:rPr>
            </w:pPr>
            <w:r w:rsidRPr="008A52F7">
              <w:rPr>
                <w:rFonts w:ascii="Cambria Math" w:hAnsi="Cambria Math"/>
              </w:rPr>
              <w:t>1</w:t>
            </w:r>
          </w:p>
        </w:tc>
        <w:tc>
          <w:tcPr>
            <w:tcW w:w="655" w:type="pct"/>
            <w:shd w:val="clear" w:color="auto" w:fill="auto"/>
            <w:vAlign w:val="center"/>
          </w:tcPr>
          <w:p w14:paraId="44DE3C74" w14:textId="77777777" w:rsidR="006730C9" w:rsidRPr="008A52F7" w:rsidRDefault="006730C9" w:rsidP="006730C9">
            <w:pPr>
              <w:pStyle w:val="TableText"/>
              <w:keepNext/>
              <w:rPr>
                <w:rFonts w:ascii="Cambria Math" w:hAnsi="Cambria Math"/>
              </w:rPr>
            </w:pPr>
            <w:r w:rsidRPr="008A52F7">
              <w:rPr>
                <w:rFonts w:ascii="Cambria Math" w:hAnsi="Cambria Math"/>
              </w:rPr>
              <w:t>±</w:t>
            </w:r>
            <w:r>
              <w:rPr>
                <w:rFonts w:ascii="Cambria Math" w:hAnsi="Cambria Math"/>
              </w:rPr>
              <w:t>0.4</w:t>
            </w:r>
          </w:p>
        </w:tc>
        <w:tc>
          <w:tcPr>
            <w:tcW w:w="541" w:type="pct"/>
            <w:shd w:val="clear" w:color="auto" w:fill="auto"/>
            <w:vAlign w:val="center"/>
          </w:tcPr>
          <w:p w14:paraId="1CC209C8" w14:textId="77777777" w:rsidR="006730C9" w:rsidRPr="008A52F7" w:rsidRDefault="006730C9" w:rsidP="006730C9">
            <w:pPr>
              <w:pStyle w:val="TableText"/>
              <w:keepNext/>
              <w:rPr>
                <w:rFonts w:ascii="Cambria Math" w:hAnsi="Cambria Math"/>
              </w:rPr>
            </w:pPr>
            <w:r w:rsidRPr="008A52F7">
              <w:rPr>
                <w:rFonts w:ascii="Cambria Math" w:hAnsi="Cambria Math"/>
              </w:rPr>
              <w:t>±1.</w:t>
            </w:r>
            <w:r>
              <w:rPr>
                <w:rFonts w:ascii="Cambria Math" w:hAnsi="Cambria Math"/>
              </w:rPr>
              <w:t>0</w:t>
            </w:r>
          </w:p>
        </w:tc>
        <w:tc>
          <w:tcPr>
            <w:tcW w:w="499" w:type="pct"/>
            <w:shd w:val="clear" w:color="auto" w:fill="auto"/>
            <w:vAlign w:val="center"/>
          </w:tcPr>
          <w:p w14:paraId="5AFDF6C0" w14:textId="77777777" w:rsidR="006730C9" w:rsidRPr="008A52F7" w:rsidRDefault="006730C9" w:rsidP="006730C9">
            <w:pPr>
              <w:pStyle w:val="TableText"/>
              <w:keepNext/>
              <w:rPr>
                <w:rFonts w:ascii="Cambria Math" w:hAnsi="Cambria Math"/>
              </w:rPr>
            </w:pPr>
            <w:r w:rsidRPr="008A52F7">
              <w:rPr>
                <w:rFonts w:ascii="Cambria Math" w:hAnsi="Cambria Math"/>
              </w:rPr>
              <w:t>—</w:t>
            </w:r>
          </w:p>
        </w:tc>
        <w:tc>
          <w:tcPr>
            <w:tcW w:w="542" w:type="pct"/>
            <w:shd w:val="clear" w:color="auto" w:fill="auto"/>
            <w:vAlign w:val="center"/>
          </w:tcPr>
          <w:p w14:paraId="5BF00D53" w14:textId="77777777" w:rsidR="006730C9" w:rsidRPr="008A52F7" w:rsidRDefault="006730C9" w:rsidP="006730C9">
            <w:pPr>
              <w:pStyle w:val="TableText"/>
              <w:keepNext/>
              <w:rPr>
                <w:rFonts w:ascii="Cambria Math" w:hAnsi="Cambria Math"/>
              </w:rPr>
            </w:pPr>
            <w:r w:rsidRPr="008A52F7">
              <w:rPr>
                <w:rFonts w:ascii="Cambria Math" w:hAnsi="Cambria Math"/>
              </w:rPr>
              <w:t>—</w:t>
            </w:r>
          </w:p>
        </w:tc>
      </w:tr>
      <w:tr w:rsidR="006730C9" w:rsidRPr="00B17511" w14:paraId="378A62C3" w14:textId="77777777" w:rsidTr="006730C9">
        <w:trPr>
          <w:trHeight w:val="283"/>
        </w:trPr>
        <w:tc>
          <w:tcPr>
            <w:tcW w:w="1016" w:type="pct"/>
            <w:shd w:val="clear" w:color="auto" w:fill="auto"/>
            <w:vAlign w:val="center"/>
          </w:tcPr>
          <w:p w14:paraId="4FE70079" w14:textId="77777777" w:rsidR="006730C9" w:rsidRPr="008A52F7" w:rsidRDefault="006730C9" w:rsidP="006730C9">
            <w:pPr>
              <w:pStyle w:val="TableText"/>
              <w:keepNext/>
              <w:rPr>
                <w:rFonts w:ascii="Cambria Math" w:hAnsi="Cambria Math"/>
              </w:rPr>
            </w:pPr>
            <w:r w:rsidRPr="008A52F7">
              <w:rPr>
                <w:rFonts w:ascii="Cambria Math" w:hAnsi="Cambria Math"/>
              </w:rPr>
              <w:t xml:space="preserve">0.05 </w:t>
            </w:r>
            <w:r w:rsidRPr="008A52F7">
              <w:rPr>
                <w:rFonts w:ascii="Cambria Math" w:hAnsi="Cambria Math"/>
                <w:i/>
              </w:rPr>
              <w:t>I</w:t>
            </w:r>
            <w:r w:rsidRPr="008A52F7">
              <w:rPr>
                <w:rFonts w:ascii="Cambria Math" w:hAnsi="Cambria Math"/>
                <w:vertAlign w:val="subscript"/>
              </w:rPr>
              <w:t>b</w:t>
            </w:r>
            <w:r w:rsidRPr="008A52F7">
              <w:rPr>
                <w:rFonts w:ascii="Cambria Math" w:hAnsi="Cambria Math"/>
              </w:rPr>
              <w:t xml:space="preserve"> ≤ </w:t>
            </w:r>
            <w:r w:rsidRPr="008A52F7">
              <w:rPr>
                <w:rFonts w:ascii="Cambria Math" w:hAnsi="Cambria Math"/>
                <w:i/>
              </w:rPr>
              <w:t>I</w:t>
            </w:r>
            <w:r w:rsidRPr="008A52F7">
              <w:rPr>
                <w:rFonts w:ascii="Cambria Math" w:hAnsi="Cambria Math"/>
              </w:rPr>
              <w:t xml:space="preserve"> &lt; 0.1 </w:t>
            </w:r>
            <w:r w:rsidRPr="008A52F7">
              <w:rPr>
                <w:rFonts w:ascii="Cambria Math" w:hAnsi="Cambria Math"/>
                <w:i/>
              </w:rPr>
              <w:t>I</w:t>
            </w:r>
            <w:r w:rsidRPr="008A52F7">
              <w:rPr>
                <w:rFonts w:ascii="Cambria Math" w:hAnsi="Cambria Math"/>
                <w:vertAlign w:val="subscript"/>
              </w:rPr>
              <w:t>b</w:t>
            </w:r>
          </w:p>
        </w:tc>
        <w:tc>
          <w:tcPr>
            <w:tcW w:w="946" w:type="pct"/>
            <w:shd w:val="clear" w:color="auto" w:fill="auto"/>
            <w:vAlign w:val="center"/>
          </w:tcPr>
          <w:p w14:paraId="6C09F221" w14:textId="77777777" w:rsidR="006730C9" w:rsidRPr="008A52F7" w:rsidRDefault="006730C9" w:rsidP="006730C9">
            <w:pPr>
              <w:pStyle w:val="TableText"/>
              <w:keepNext/>
              <w:rPr>
                <w:rFonts w:ascii="Cambria Math" w:hAnsi="Cambria Math"/>
              </w:rPr>
            </w:pPr>
            <w:r>
              <w:rPr>
                <w:rFonts w:ascii="Cambria Math" w:hAnsi="Cambria Math"/>
              </w:rPr>
              <w:t>0.02</w:t>
            </w:r>
            <w:r w:rsidRPr="008A52F7">
              <w:rPr>
                <w:rFonts w:ascii="Cambria Math" w:hAnsi="Cambria Math"/>
              </w:rPr>
              <w:t xml:space="preserve"> </w:t>
            </w:r>
            <w:r w:rsidRPr="008A52F7">
              <w:rPr>
                <w:rFonts w:ascii="Cambria Math" w:hAnsi="Cambria Math"/>
                <w:i/>
              </w:rPr>
              <w:t>I</w:t>
            </w:r>
            <w:r>
              <w:rPr>
                <w:rFonts w:ascii="Cambria Math" w:hAnsi="Cambria Math"/>
                <w:vertAlign w:val="subscript"/>
              </w:rPr>
              <w:t>n</w:t>
            </w:r>
            <w:r w:rsidRPr="008A52F7">
              <w:rPr>
                <w:rFonts w:ascii="Cambria Math" w:hAnsi="Cambria Math"/>
              </w:rPr>
              <w:t xml:space="preserve"> ≤ </w:t>
            </w:r>
            <w:r w:rsidRPr="008A52F7">
              <w:rPr>
                <w:rFonts w:ascii="Cambria Math" w:hAnsi="Cambria Math"/>
                <w:i/>
              </w:rPr>
              <w:t>I</w:t>
            </w:r>
            <w:r w:rsidRPr="008A52F7">
              <w:rPr>
                <w:rFonts w:ascii="Cambria Math" w:hAnsi="Cambria Math"/>
              </w:rPr>
              <w:t xml:space="preserve"> &lt; 0.</w:t>
            </w:r>
            <w:r>
              <w:rPr>
                <w:rFonts w:ascii="Cambria Math" w:hAnsi="Cambria Math"/>
              </w:rPr>
              <w:t>05</w:t>
            </w:r>
            <w:r w:rsidRPr="008A52F7">
              <w:rPr>
                <w:rFonts w:ascii="Cambria Math" w:hAnsi="Cambria Math"/>
              </w:rPr>
              <w:t xml:space="preserve"> </w:t>
            </w:r>
            <w:r w:rsidRPr="008A52F7">
              <w:rPr>
                <w:rFonts w:ascii="Cambria Math" w:hAnsi="Cambria Math"/>
                <w:i/>
              </w:rPr>
              <w:t>I</w:t>
            </w:r>
            <w:r>
              <w:rPr>
                <w:rFonts w:ascii="Cambria Math" w:hAnsi="Cambria Math"/>
                <w:vertAlign w:val="subscript"/>
              </w:rPr>
              <w:t>n</w:t>
            </w:r>
          </w:p>
        </w:tc>
        <w:tc>
          <w:tcPr>
            <w:tcW w:w="801" w:type="pct"/>
            <w:shd w:val="clear" w:color="auto" w:fill="auto"/>
            <w:vAlign w:val="center"/>
          </w:tcPr>
          <w:p w14:paraId="549AC377" w14:textId="77777777" w:rsidR="006730C9" w:rsidRPr="008A52F7" w:rsidRDefault="006730C9" w:rsidP="006730C9">
            <w:pPr>
              <w:pStyle w:val="TableText"/>
              <w:keepNext/>
              <w:rPr>
                <w:rFonts w:ascii="Cambria Math" w:hAnsi="Cambria Math"/>
              </w:rPr>
            </w:pPr>
            <w:r w:rsidRPr="008A52F7">
              <w:rPr>
                <w:rFonts w:ascii="Cambria Math" w:hAnsi="Cambria Math"/>
              </w:rPr>
              <w:t>1</w:t>
            </w:r>
          </w:p>
        </w:tc>
        <w:tc>
          <w:tcPr>
            <w:tcW w:w="655" w:type="pct"/>
            <w:shd w:val="clear" w:color="auto" w:fill="auto"/>
            <w:vAlign w:val="center"/>
          </w:tcPr>
          <w:p w14:paraId="50498039" w14:textId="77777777" w:rsidR="006730C9" w:rsidRPr="008A52F7" w:rsidRDefault="006730C9" w:rsidP="006730C9">
            <w:pPr>
              <w:pStyle w:val="TableText"/>
              <w:keepNext/>
              <w:rPr>
                <w:rFonts w:ascii="Cambria Math" w:hAnsi="Cambria Math"/>
              </w:rPr>
            </w:pPr>
            <w:r w:rsidRPr="008A52F7">
              <w:rPr>
                <w:rFonts w:ascii="Cambria Math" w:hAnsi="Cambria Math"/>
              </w:rPr>
              <w:t>—</w:t>
            </w:r>
          </w:p>
        </w:tc>
        <w:tc>
          <w:tcPr>
            <w:tcW w:w="541" w:type="pct"/>
            <w:shd w:val="clear" w:color="auto" w:fill="auto"/>
            <w:vAlign w:val="center"/>
          </w:tcPr>
          <w:p w14:paraId="2EC8FC4D" w14:textId="77777777" w:rsidR="006730C9" w:rsidRPr="008A52F7" w:rsidRDefault="006730C9" w:rsidP="006730C9">
            <w:pPr>
              <w:pStyle w:val="TableText"/>
              <w:keepNext/>
              <w:rPr>
                <w:rFonts w:ascii="Cambria Math" w:hAnsi="Cambria Math"/>
              </w:rPr>
            </w:pPr>
            <w:r w:rsidRPr="008A52F7">
              <w:rPr>
                <w:rFonts w:ascii="Cambria Math" w:hAnsi="Cambria Math"/>
              </w:rPr>
              <w:t>—</w:t>
            </w:r>
          </w:p>
        </w:tc>
        <w:tc>
          <w:tcPr>
            <w:tcW w:w="499" w:type="pct"/>
            <w:shd w:val="clear" w:color="auto" w:fill="auto"/>
            <w:vAlign w:val="center"/>
          </w:tcPr>
          <w:p w14:paraId="6F83D788" w14:textId="77777777" w:rsidR="006730C9" w:rsidRPr="008A52F7" w:rsidRDefault="006730C9" w:rsidP="006730C9">
            <w:pPr>
              <w:pStyle w:val="TableText"/>
              <w:keepNext/>
              <w:rPr>
                <w:rFonts w:ascii="Cambria Math" w:hAnsi="Cambria Math"/>
              </w:rPr>
            </w:pPr>
            <w:r w:rsidRPr="008A52F7">
              <w:rPr>
                <w:rFonts w:ascii="Cambria Math" w:hAnsi="Cambria Math"/>
              </w:rPr>
              <w:t>±1.5</w:t>
            </w:r>
          </w:p>
        </w:tc>
        <w:tc>
          <w:tcPr>
            <w:tcW w:w="542" w:type="pct"/>
            <w:shd w:val="clear" w:color="auto" w:fill="auto"/>
            <w:vAlign w:val="center"/>
          </w:tcPr>
          <w:p w14:paraId="2FF07A23" w14:textId="77777777" w:rsidR="006730C9" w:rsidRPr="008A52F7" w:rsidRDefault="006730C9" w:rsidP="006730C9">
            <w:pPr>
              <w:pStyle w:val="TableText"/>
              <w:keepNext/>
              <w:rPr>
                <w:rFonts w:ascii="Cambria Math" w:hAnsi="Cambria Math"/>
              </w:rPr>
            </w:pPr>
            <w:r w:rsidRPr="008A52F7">
              <w:rPr>
                <w:rFonts w:ascii="Cambria Math" w:hAnsi="Cambria Math"/>
              </w:rPr>
              <w:t>±</w:t>
            </w:r>
            <w:r>
              <w:rPr>
                <w:rFonts w:ascii="Cambria Math" w:hAnsi="Cambria Math"/>
              </w:rPr>
              <w:t>2</w:t>
            </w:r>
            <w:r w:rsidRPr="008A52F7">
              <w:rPr>
                <w:rFonts w:ascii="Cambria Math" w:hAnsi="Cambria Math"/>
              </w:rPr>
              <w:t>.5</w:t>
            </w:r>
          </w:p>
        </w:tc>
      </w:tr>
      <w:tr w:rsidR="006730C9" w:rsidRPr="00B17511" w14:paraId="7DA31C9F" w14:textId="77777777" w:rsidTr="006730C9">
        <w:trPr>
          <w:trHeight w:val="283"/>
        </w:trPr>
        <w:tc>
          <w:tcPr>
            <w:tcW w:w="1016" w:type="pct"/>
            <w:shd w:val="clear" w:color="auto" w:fill="auto"/>
            <w:vAlign w:val="center"/>
          </w:tcPr>
          <w:p w14:paraId="52FBA8B5" w14:textId="77777777" w:rsidR="006730C9" w:rsidRPr="008A52F7" w:rsidRDefault="006730C9" w:rsidP="006730C9">
            <w:pPr>
              <w:pStyle w:val="TableText"/>
              <w:keepNext/>
              <w:rPr>
                <w:rFonts w:ascii="Cambria Math" w:hAnsi="Cambria Math"/>
              </w:rPr>
            </w:pPr>
            <w:r w:rsidRPr="008A52F7">
              <w:rPr>
                <w:rFonts w:ascii="Cambria Math" w:hAnsi="Cambria Math"/>
              </w:rPr>
              <w:t xml:space="preserve">0.1 </w:t>
            </w:r>
            <w:r w:rsidRPr="008A52F7">
              <w:rPr>
                <w:rFonts w:ascii="Cambria Math" w:hAnsi="Cambria Math"/>
                <w:i/>
              </w:rPr>
              <w:t>I</w:t>
            </w:r>
            <w:r w:rsidRPr="008A52F7">
              <w:rPr>
                <w:rFonts w:ascii="Cambria Math" w:hAnsi="Cambria Math"/>
                <w:vertAlign w:val="subscript"/>
              </w:rPr>
              <w:t>b</w:t>
            </w:r>
            <w:r w:rsidRPr="008A52F7">
              <w:rPr>
                <w:rFonts w:ascii="Cambria Math" w:hAnsi="Cambria Math"/>
              </w:rPr>
              <w:t xml:space="preserve"> ≤ </w:t>
            </w:r>
            <w:r w:rsidRPr="008A52F7">
              <w:rPr>
                <w:rFonts w:ascii="Cambria Math" w:hAnsi="Cambria Math"/>
                <w:i/>
              </w:rPr>
              <w:t>I</w:t>
            </w:r>
            <w:r w:rsidRPr="008A52F7">
              <w:rPr>
                <w:rFonts w:ascii="Cambria Math" w:hAnsi="Cambria Math"/>
              </w:rPr>
              <w:t xml:space="preserve"> ≤ </w:t>
            </w:r>
            <w:r w:rsidRPr="008A52F7">
              <w:rPr>
                <w:rFonts w:ascii="Cambria Math" w:hAnsi="Cambria Math"/>
                <w:i/>
              </w:rPr>
              <w:t>I</w:t>
            </w:r>
            <w:r w:rsidRPr="008A52F7">
              <w:rPr>
                <w:rFonts w:ascii="Cambria Math" w:hAnsi="Cambria Math"/>
                <w:vertAlign w:val="subscript"/>
              </w:rPr>
              <w:t>max</w:t>
            </w:r>
          </w:p>
        </w:tc>
        <w:tc>
          <w:tcPr>
            <w:tcW w:w="946" w:type="pct"/>
            <w:shd w:val="clear" w:color="auto" w:fill="auto"/>
            <w:vAlign w:val="center"/>
          </w:tcPr>
          <w:p w14:paraId="1B8407BD" w14:textId="77777777" w:rsidR="006730C9" w:rsidRPr="008A52F7" w:rsidRDefault="006730C9" w:rsidP="006730C9">
            <w:pPr>
              <w:pStyle w:val="TableText"/>
              <w:keepNext/>
              <w:rPr>
                <w:rFonts w:ascii="Cambria Math" w:hAnsi="Cambria Math"/>
              </w:rPr>
            </w:pPr>
            <w:r w:rsidRPr="008A52F7">
              <w:rPr>
                <w:rFonts w:ascii="Cambria Math" w:hAnsi="Cambria Math"/>
              </w:rPr>
              <w:t>0.</w:t>
            </w:r>
            <w:r>
              <w:rPr>
                <w:rFonts w:ascii="Cambria Math" w:hAnsi="Cambria Math"/>
              </w:rPr>
              <w:t>05</w:t>
            </w:r>
            <w:r w:rsidRPr="008A52F7">
              <w:rPr>
                <w:rFonts w:ascii="Cambria Math" w:hAnsi="Cambria Math"/>
              </w:rPr>
              <w:t xml:space="preserve"> </w:t>
            </w:r>
            <w:r w:rsidRPr="008A52F7">
              <w:rPr>
                <w:rFonts w:ascii="Cambria Math" w:hAnsi="Cambria Math"/>
                <w:i/>
              </w:rPr>
              <w:t>I</w:t>
            </w:r>
            <w:r>
              <w:rPr>
                <w:rFonts w:ascii="Cambria Math" w:hAnsi="Cambria Math"/>
                <w:vertAlign w:val="subscript"/>
              </w:rPr>
              <w:t>n</w:t>
            </w:r>
            <w:r w:rsidRPr="008A52F7">
              <w:rPr>
                <w:rFonts w:ascii="Cambria Math" w:hAnsi="Cambria Math"/>
              </w:rPr>
              <w:t xml:space="preserve"> ≤ </w:t>
            </w:r>
            <w:r w:rsidRPr="008A52F7">
              <w:rPr>
                <w:rFonts w:ascii="Cambria Math" w:hAnsi="Cambria Math"/>
                <w:i/>
              </w:rPr>
              <w:t>I</w:t>
            </w:r>
            <w:r w:rsidRPr="008A52F7">
              <w:rPr>
                <w:rFonts w:ascii="Cambria Math" w:hAnsi="Cambria Math"/>
              </w:rPr>
              <w:t xml:space="preserve"> ≤ </w:t>
            </w:r>
            <w:r w:rsidRPr="008A52F7">
              <w:rPr>
                <w:rFonts w:ascii="Cambria Math" w:hAnsi="Cambria Math"/>
                <w:i/>
              </w:rPr>
              <w:t>I</w:t>
            </w:r>
            <w:r w:rsidRPr="008A52F7">
              <w:rPr>
                <w:rFonts w:ascii="Cambria Math" w:hAnsi="Cambria Math"/>
                <w:vertAlign w:val="subscript"/>
              </w:rPr>
              <w:t>max</w:t>
            </w:r>
          </w:p>
        </w:tc>
        <w:tc>
          <w:tcPr>
            <w:tcW w:w="801" w:type="pct"/>
            <w:shd w:val="clear" w:color="auto" w:fill="auto"/>
            <w:vAlign w:val="center"/>
          </w:tcPr>
          <w:p w14:paraId="3329AB49" w14:textId="77777777" w:rsidR="006730C9" w:rsidRPr="008A52F7" w:rsidRDefault="006730C9" w:rsidP="006730C9">
            <w:pPr>
              <w:pStyle w:val="TableText"/>
              <w:keepNext/>
              <w:rPr>
                <w:rFonts w:ascii="Cambria Math" w:hAnsi="Cambria Math"/>
              </w:rPr>
            </w:pPr>
            <w:r w:rsidRPr="008A52F7">
              <w:rPr>
                <w:rFonts w:ascii="Cambria Math" w:hAnsi="Cambria Math"/>
              </w:rPr>
              <w:t>1</w:t>
            </w:r>
          </w:p>
        </w:tc>
        <w:tc>
          <w:tcPr>
            <w:tcW w:w="655" w:type="pct"/>
            <w:shd w:val="clear" w:color="auto" w:fill="auto"/>
            <w:vAlign w:val="center"/>
          </w:tcPr>
          <w:p w14:paraId="609CF040" w14:textId="77777777" w:rsidR="006730C9" w:rsidRPr="008A52F7" w:rsidRDefault="006730C9" w:rsidP="006730C9">
            <w:pPr>
              <w:pStyle w:val="TableText"/>
              <w:keepNext/>
              <w:rPr>
                <w:rFonts w:ascii="Cambria Math" w:hAnsi="Cambria Math"/>
              </w:rPr>
            </w:pPr>
            <w:r w:rsidRPr="008A52F7">
              <w:rPr>
                <w:rFonts w:ascii="Cambria Math" w:hAnsi="Cambria Math"/>
              </w:rPr>
              <w:t>±</w:t>
            </w:r>
            <w:r>
              <w:rPr>
                <w:rFonts w:ascii="Cambria Math" w:hAnsi="Cambria Math"/>
              </w:rPr>
              <w:t>0.2</w:t>
            </w:r>
          </w:p>
        </w:tc>
        <w:tc>
          <w:tcPr>
            <w:tcW w:w="541" w:type="pct"/>
            <w:shd w:val="clear" w:color="auto" w:fill="auto"/>
            <w:vAlign w:val="center"/>
          </w:tcPr>
          <w:p w14:paraId="7FB9B431" w14:textId="77777777" w:rsidR="006730C9" w:rsidRPr="008A52F7" w:rsidRDefault="006730C9" w:rsidP="006730C9">
            <w:pPr>
              <w:pStyle w:val="TableText"/>
              <w:keepNext/>
              <w:rPr>
                <w:rFonts w:ascii="Cambria Math" w:hAnsi="Cambria Math"/>
              </w:rPr>
            </w:pPr>
            <w:r w:rsidRPr="008A52F7">
              <w:rPr>
                <w:rFonts w:ascii="Cambria Math" w:hAnsi="Cambria Math"/>
              </w:rPr>
              <w:t>±</w:t>
            </w:r>
            <w:r>
              <w:rPr>
                <w:rFonts w:ascii="Cambria Math" w:hAnsi="Cambria Math"/>
              </w:rPr>
              <w:t>0</w:t>
            </w:r>
            <w:r w:rsidRPr="008A52F7">
              <w:rPr>
                <w:rFonts w:ascii="Cambria Math" w:hAnsi="Cambria Math"/>
              </w:rPr>
              <w:t>.</w:t>
            </w:r>
            <w:r>
              <w:rPr>
                <w:rFonts w:ascii="Cambria Math" w:hAnsi="Cambria Math"/>
              </w:rPr>
              <w:t>5</w:t>
            </w:r>
          </w:p>
        </w:tc>
        <w:tc>
          <w:tcPr>
            <w:tcW w:w="499" w:type="pct"/>
            <w:shd w:val="clear" w:color="auto" w:fill="auto"/>
            <w:vAlign w:val="center"/>
          </w:tcPr>
          <w:p w14:paraId="1242C00D" w14:textId="77777777" w:rsidR="006730C9" w:rsidRPr="008A52F7" w:rsidRDefault="006730C9" w:rsidP="006730C9">
            <w:pPr>
              <w:pStyle w:val="TableText"/>
              <w:keepNext/>
              <w:rPr>
                <w:rFonts w:ascii="Cambria Math" w:hAnsi="Cambria Math"/>
              </w:rPr>
            </w:pPr>
            <w:r w:rsidRPr="008A52F7">
              <w:rPr>
                <w:rFonts w:ascii="Cambria Math" w:hAnsi="Cambria Math"/>
              </w:rPr>
              <w:t>±1.0</w:t>
            </w:r>
          </w:p>
        </w:tc>
        <w:tc>
          <w:tcPr>
            <w:tcW w:w="542" w:type="pct"/>
            <w:shd w:val="clear" w:color="auto" w:fill="auto"/>
            <w:vAlign w:val="center"/>
          </w:tcPr>
          <w:p w14:paraId="25CE7D21" w14:textId="77777777" w:rsidR="006730C9" w:rsidRPr="008A52F7" w:rsidRDefault="006730C9" w:rsidP="006730C9">
            <w:pPr>
              <w:pStyle w:val="TableText"/>
              <w:keepNext/>
              <w:rPr>
                <w:rFonts w:ascii="Cambria Math" w:hAnsi="Cambria Math"/>
              </w:rPr>
            </w:pPr>
            <w:r w:rsidRPr="008A52F7">
              <w:rPr>
                <w:rFonts w:ascii="Cambria Math" w:hAnsi="Cambria Math"/>
              </w:rPr>
              <w:t>±</w:t>
            </w:r>
            <w:r>
              <w:rPr>
                <w:rFonts w:ascii="Cambria Math" w:hAnsi="Cambria Math"/>
              </w:rPr>
              <w:t>2</w:t>
            </w:r>
            <w:r w:rsidRPr="008A52F7">
              <w:rPr>
                <w:rFonts w:ascii="Cambria Math" w:hAnsi="Cambria Math"/>
              </w:rPr>
              <w:t>.</w:t>
            </w:r>
            <w:r>
              <w:rPr>
                <w:rFonts w:ascii="Cambria Math" w:hAnsi="Cambria Math"/>
              </w:rPr>
              <w:t>0</w:t>
            </w:r>
          </w:p>
        </w:tc>
      </w:tr>
      <w:tr w:rsidR="006730C9" w:rsidRPr="00B17511" w14:paraId="363AF01E" w14:textId="77777777" w:rsidTr="006730C9">
        <w:trPr>
          <w:trHeight w:val="283"/>
        </w:trPr>
        <w:tc>
          <w:tcPr>
            <w:tcW w:w="1016" w:type="pct"/>
            <w:vMerge w:val="restart"/>
            <w:shd w:val="clear" w:color="auto" w:fill="auto"/>
            <w:vAlign w:val="center"/>
          </w:tcPr>
          <w:p w14:paraId="758E0475" w14:textId="77777777" w:rsidR="006730C9" w:rsidRPr="008A52F7" w:rsidRDefault="006730C9" w:rsidP="006730C9">
            <w:pPr>
              <w:pStyle w:val="TableText"/>
              <w:keepNext/>
              <w:rPr>
                <w:rFonts w:ascii="Cambria Math" w:hAnsi="Cambria Math"/>
              </w:rPr>
            </w:pPr>
            <w:r w:rsidRPr="008A52F7">
              <w:rPr>
                <w:rFonts w:ascii="Cambria Math" w:hAnsi="Cambria Math"/>
              </w:rPr>
              <w:t xml:space="preserve">0.1 </w:t>
            </w:r>
            <w:r w:rsidRPr="008A52F7">
              <w:rPr>
                <w:rFonts w:ascii="Cambria Math" w:hAnsi="Cambria Math"/>
                <w:i/>
              </w:rPr>
              <w:t>I</w:t>
            </w:r>
            <w:r w:rsidRPr="008A52F7">
              <w:rPr>
                <w:rFonts w:ascii="Cambria Math" w:hAnsi="Cambria Math"/>
                <w:vertAlign w:val="subscript"/>
              </w:rPr>
              <w:t>b</w:t>
            </w:r>
            <w:r w:rsidRPr="008A52F7">
              <w:rPr>
                <w:rFonts w:ascii="Cambria Math" w:hAnsi="Cambria Math"/>
              </w:rPr>
              <w:t xml:space="preserve"> ≤ </w:t>
            </w:r>
            <w:r w:rsidRPr="008A52F7">
              <w:rPr>
                <w:rFonts w:ascii="Cambria Math" w:hAnsi="Cambria Math"/>
                <w:i/>
              </w:rPr>
              <w:t>I</w:t>
            </w:r>
            <w:r w:rsidRPr="008A52F7">
              <w:rPr>
                <w:rFonts w:ascii="Cambria Math" w:hAnsi="Cambria Math"/>
              </w:rPr>
              <w:t xml:space="preserve"> &lt; 0.2 </w:t>
            </w:r>
            <w:r w:rsidRPr="008A52F7">
              <w:rPr>
                <w:rFonts w:ascii="Cambria Math" w:hAnsi="Cambria Math"/>
                <w:i/>
              </w:rPr>
              <w:t>I</w:t>
            </w:r>
            <w:r w:rsidRPr="008A52F7">
              <w:rPr>
                <w:rFonts w:ascii="Cambria Math" w:hAnsi="Cambria Math"/>
                <w:vertAlign w:val="subscript"/>
              </w:rPr>
              <w:t>b</w:t>
            </w:r>
          </w:p>
        </w:tc>
        <w:tc>
          <w:tcPr>
            <w:tcW w:w="946" w:type="pct"/>
            <w:vMerge w:val="restart"/>
            <w:shd w:val="clear" w:color="auto" w:fill="auto"/>
            <w:vAlign w:val="center"/>
          </w:tcPr>
          <w:p w14:paraId="644DF0B7" w14:textId="77777777" w:rsidR="006730C9" w:rsidRPr="008A52F7" w:rsidRDefault="006730C9" w:rsidP="006730C9">
            <w:pPr>
              <w:pStyle w:val="TableText"/>
              <w:keepNext/>
              <w:rPr>
                <w:rFonts w:ascii="Cambria Math" w:hAnsi="Cambria Math"/>
              </w:rPr>
            </w:pPr>
            <w:r>
              <w:rPr>
                <w:rFonts w:ascii="Cambria Math" w:hAnsi="Cambria Math"/>
              </w:rPr>
              <w:t>0.02</w:t>
            </w:r>
            <w:r w:rsidRPr="008A52F7">
              <w:rPr>
                <w:rFonts w:ascii="Cambria Math" w:hAnsi="Cambria Math"/>
              </w:rPr>
              <w:t xml:space="preserve"> </w:t>
            </w:r>
            <w:r w:rsidRPr="008A52F7">
              <w:rPr>
                <w:rFonts w:ascii="Cambria Math" w:hAnsi="Cambria Math"/>
                <w:i/>
              </w:rPr>
              <w:t>I</w:t>
            </w:r>
            <w:r>
              <w:rPr>
                <w:rFonts w:ascii="Cambria Math" w:hAnsi="Cambria Math"/>
                <w:vertAlign w:val="subscript"/>
              </w:rPr>
              <w:t>n</w:t>
            </w:r>
            <w:r w:rsidRPr="008A52F7">
              <w:rPr>
                <w:rFonts w:ascii="Cambria Math" w:hAnsi="Cambria Math"/>
              </w:rPr>
              <w:t xml:space="preserve"> ≤ </w:t>
            </w:r>
            <w:r w:rsidRPr="008A52F7">
              <w:rPr>
                <w:rFonts w:ascii="Cambria Math" w:hAnsi="Cambria Math"/>
                <w:i/>
              </w:rPr>
              <w:t>I</w:t>
            </w:r>
            <w:r w:rsidRPr="008A52F7">
              <w:rPr>
                <w:rFonts w:ascii="Cambria Math" w:hAnsi="Cambria Math"/>
              </w:rPr>
              <w:t xml:space="preserve"> &lt; 0.</w:t>
            </w:r>
            <w:r>
              <w:rPr>
                <w:rFonts w:ascii="Cambria Math" w:hAnsi="Cambria Math"/>
              </w:rPr>
              <w:t>1</w:t>
            </w:r>
            <w:r w:rsidRPr="008A52F7">
              <w:rPr>
                <w:rFonts w:ascii="Cambria Math" w:hAnsi="Cambria Math"/>
              </w:rPr>
              <w:t xml:space="preserve"> </w:t>
            </w:r>
            <w:r w:rsidRPr="008A52F7">
              <w:rPr>
                <w:rFonts w:ascii="Cambria Math" w:hAnsi="Cambria Math"/>
                <w:i/>
              </w:rPr>
              <w:t>I</w:t>
            </w:r>
            <w:r>
              <w:rPr>
                <w:rFonts w:ascii="Cambria Math" w:hAnsi="Cambria Math"/>
                <w:vertAlign w:val="subscript"/>
              </w:rPr>
              <w:t>n</w:t>
            </w:r>
          </w:p>
        </w:tc>
        <w:tc>
          <w:tcPr>
            <w:tcW w:w="801" w:type="pct"/>
            <w:shd w:val="clear" w:color="auto" w:fill="auto"/>
            <w:vAlign w:val="center"/>
          </w:tcPr>
          <w:p w14:paraId="1D189232" w14:textId="77777777" w:rsidR="006730C9" w:rsidRPr="008A52F7" w:rsidRDefault="006730C9" w:rsidP="006730C9">
            <w:pPr>
              <w:pStyle w:val="TableText"/>
              <w:keepNext/>
              <w:rPr>
                <w:rFonts w:ascii="Cambria Math" w:hAnsi="Cambria Math"/>
              </w:rPr>
            </w:pPr>
            <w:r w:rsidRPr="008A52F7">
              <w:rPr>
                <w:rFonts w:ascii="Cambria Math" w:hAnsi="Cambria Math"/>
              </w:rPr>
              <w:t>0.5 inductive</w:t>
            </w:r>
          </w:p>
        </w:tc>
        <w:tc>
          <w:tcPr>
            <w:tcW w:w="655" w:type="pct"/>
            <w:shd w:val="clear" w:color="auto" w:fill="auto"/>
            <w:vAlign w:val="center"/>
          </w:tcPr>
          <w:p w14:paraId="52AD495A" w14:textId="77777777" w:rsidR="006730C9" w:rsidRPr="008A52F7" w:rsidRDefault="006730C9" w:rsidP="006730C9">
            <w:pPr>
              <w:pStyle w:val="TableText"/>
              <w:keepNext/>
              <w:rPr>
                <w:rFonts w:ascii="Cambria Math" w:hAnsi="Cambria Math"/>
              </w:rPr>
            </w:pPr>
            <w:r w:rsidRPr="008A52F7">
              <w:rPr>
                <w:rFonts w:ascii="Cambria Math" w:hAnsi="Cambria Math"/>
              </w:rPr>
              <w:t>±</w:t>
            </w:r>
            <w:r>
              <w:rPr>
                <w:rFonts w:ascii="Cambria Math" w:hAnsi="Cambria Math"/>
              </w:rPr>
              <w:t>0</w:t>
            </w:r>
            <w:r w:rsidRPr="008A52F7">
              <w:rPr>
                <w:rFonts w:ascii="Cambria Math" w:hAnsi="Cambria Math"/>
              </w:rPr>
              <w:t>.5</w:t>
            </w:r>
          </w:p>
        </w:tc>
        <w:tc>
          <w:tcPr>
            <w:tcW w:w="541" w:type="pct"/>
            <w:shd w:val="clear" w:color="auto" w:fill="auto"/>
            <w:vAlign w:val="center"/>
          </w:tcPr>
          <w:p w14:paraId="5CE3DC95" w14:textId="77777777" w:rsidR="006730C9" w:rsidRPr="008A52F7" w:rsidRDefault="006730C9" w:rsidP="006730C9">
            <w:pPr>
              <w:pStyle w:val="TableText"/>
              <w:keepNext/>
              <w:rPr>
                <w:rFonts w:ascii="Cambria Math" w:hAnsi="Cambria Math"/>
              </w:rPr>
            </w:pPr>
            <w:r w:rsidRPr="008A52F7">
              <w:rPr>
                <w:rFonts w:ascii="Cambria Math" w:hAnsi="Cambria Math"/>
              </w:rPr>
              <w:t>±1.</w:t>
            </w:r>
            <w:r>
              <w:rPr>
                <w:rFonts w:ascii="Cambria Math" w:hAnsi="Cambria Math"/>
              </w:rPr>
              <w:t>0</w:t>
            </w:r>
          </w:p>
        </w:tc>
        <w:tc>
          <w:tcPr>
            <w:tcW w:w="499" w:type="pct"/>
            <w:shd w:val="clear" w:color="auto" w:fill="auto"/>
            <w:vAlign w:val="center"/>
          </w:tcPr>
          <w:p w14:paraId="2C9226A2" w14:textId="77777777" w:rsidR="006730C9" w:rsidRPr="008A52F7" w:rsidRDefault="006730C9" w:rsidP="006730C9">
            <w:pPr>
              <w:pStyle w:val="TableText"/>
              <w:keepNext/>
              <w:rPr>
                <w:rFonts w:ascii="Cambria Math" w:hAnsi="Cambria Math"/>
              </w:rPr>
            </w:pPr>
            <w:r w:rsidRPr="008A52F7">
              <w:rPr>
                <w:rFonts w:ascii="Cambria Math" w:hAnsi="Cambria Math"/>
              </w:rPr>
              <w:t>—</w:t>
            </w:r>
          </w:p>
        </w:tc>
        <w:tc>
          <w:tcPr>
            <w:tcW w:w="542" w:type="pct"/>
            <w:shd w:val="clear" w:color="auto" w:fill="auto"/>
            <w:vAlign w:val="center"/>
          </w:tcPr>
          <w:p w14:paraId="7DE0DAE8" w14:textId="77777777" w:rsidR="006730C9" w:rsidRPr="008A52F7" w:rsidRDefault="006730C9" w:rsidP="006730C9">
            <w:pPr>
              <w:pStyle w:val="TableText"/>
              <w:keepNext/>
              <w:rPr>
                <w:rFonts w:ascii="Cambria Math" w:hAnsi="Cambria Math"/>
              </w:rPr>
            </w:pPr>
            <w:r w:rsidRPr="008A52F7">
              <w:rPr>
                <w:rFonts w:ascii="Cambria Math" w:hAnsi="Cambria Math"/>
              </w:rPr>
              <w:t>—</w:t>
            </w:r>
          </w:p>
        </w:tc>
      </w:tr>
      <w:tr w:rsidR="006730C9" w:rsidRPr="00B17511" w14:paraId="7D7B7583" w14:textId="77777777" w:rsidTr="006730C9">
        <w:trPr>
          <w:trHeight w:val="283"/>
        </w:trPr>
        <w:tc>
          <w:tcPr>
            <w:tcW w:w="1016" w:type="pct"/>
            <w:vMerge/>
            <w:shd w:val="clear" w:color="auto" w:fill="auto"/>
            <w:vAlign w:val="center"/>
          </w:tcPr>
          <w:p w14:paraId="0E1A6FDD" w14:textId="77777777" w:rsidR="006730C9" w:rsidRPr="008A52F7" w:rsidRDefault="006730C9" w:rsidP="006730C9">
            <w:pPr>
              <w:pStyle w:val="TableText"/>
              <w:keepNext/>
              <w:rPr>
                <w:rFonts w:ascii="Cambria Math" w:hAnsi="Cambria Math"/>
              </w:rPr>
            </w:pPr>
          </w:p>
        </w:tc>
        <w:tc>
          <w:tcPr>
            <w:tcW w:w="946" w:type="pct"/>
            <w:vMerge/>
            <w:shd w:val="clear" w:color="auto" w:fill="auto"/>
            <w:vAlign w:val="center"/>
          </w:tcPr>
          <w:p w14:paraId="27423745" w14:textId="77777777" w:rsidR="006730C9" w:rsidRPr="008A52F7" w:rsidRDefault="006730C9" w:rsidP="006730C9">
            <w:pPr>
              <w:pStyle w:val="TableText"/>
              <w:keepNext/>
              <w:rPr>
                <w:rFonts w:ascii="Cambria Math" w:hAnsi="Cambria Math"/>
              </w:rPr>
            </w:pPr>
          </w:p>
        </w:tc>
        <w:tc>
          <w:tcPr>
            <w:tcW w:w="801" w:type="pct"/>
            <w:shd w:val="clear" w:color="auto" w:fill="auto"/>
            <w:vAlign w:val="center"/>
          </w:tcPr>
          <w:p w14:paraId="324F1E92" w14:textId="77777777" w:rsidR="006730C9" w:rsidRPr="008A52F7" w:rsidRDefault="006730C9" w:rsidP="006730C9">
            <w:pPr>
              <w:pStyle w:val="TableText"/>
              <w:keepNext/>
              <w:rPr>
                <w:rFonts w:ascii="Cambria Math" w:hAnsi="Cambria Math"/>
              </w:rPr>
            </w:pPr>
            <w:r w:rsidRPr="008A52F7">
              <w:rPr>
                <w:rFonts w:ascii="Cambria Math" w:hAnsi="Cambria Math"/>
              </w:rPr>
              <w:t>0.8 capacitive</w:t>
            </w:r>
          </w:p>
        </w:tc>
        <w:tc>
          <w:tcPr>
            <w:tcW w:w="655" w:type="pct"/>
            <w:shd w:val="clear" w:color="auto" w:fill="auto"/>
            <w:vAlign w:val="center"/>
          </w:tcPr>
          <w:p w14:paraId="20548BFA" w14:textId="77777777" w:rsidR="006730C9" w:rsidRPr="008A52F7" w:rsidRDefault="006730C9" w:rsidP="006730C9">
            <w:pPr>
              <w:pStyle w:val="TableText"/>
              <w:keepNext/>
              <w:rPr>
                <w:rFonts w:ascii="Cambria Math" w:hAnsi="Cambria Math"/>
              </w:rPr>
            </w:pPr>
            <w:r w:rsidRPr="008A52F7">
              <w:rPr>
                <w:rFonts w:ascii="Cambria Math" w:hAnsi="Cambria Math"/>
              </w:rPr>
              <w:t>±</w:t>
            </w:r>
            <w:r>
              <w:rPr>
                <w:rFonts w:ascii="Cambria Math" w:hAnsi="Cambria Math"/>
              </w:rPr>
              <w:t>0</w:t>
            </w:r>
            <w:r w:rsidRPr="008A52F7">
              <w:rPr>
                <w:rFonts w:ascii="Cambria Math" w:hAnsi="Cambria Math"/>
              </w:rPr>
              <w:t>.5</w:t>
            </w:r>
          </w:p>
        </w:tc>
        <w:tc>
          <w:tcPr>
            <w:tcW w:w="541" w:type="pct"/>
            <w:shd w:val="clear" w:color="auto" w:fill="auto"/>
            <w:vAlign w:val="center"/>
          </w:tcPr>
          <w:p w14:paraId="668AAD7D" w14:textId="77777777" w:rsidR="006730C9" w:rsidRPr="008A52F7" w:rsidRDefault="006730C9" w:rsidP="006730C9">
            <w:pPr>
              <w:pStyle w:val="TableText"/>
              <w:keepNext/>
              <w:rPr>
                <w:rFonts w:ascii="Cambria Math" w:hAnsi="Cambria Math"/>
              </w:rPr>
            </w:pPr>
            <w:r>
              <w:rPr>
                <w:rFonts w:ascii="Cambria Math" w:hAnsi="Cambria Math"/>
              </w:rPr>
              <w:t>±1.0</w:t>
            </w:r>
          </w:p>
        </w:tc>
        <w:tc>
          <w:tcPr>
            <w:tcW w:w="499" w:type="pct"/>
            <w:shd w:val="clear" w:color="auto" w:fill="auto"/>
            <w:vAlign w:val="center"/>
          </w:tcPr>
          <w:p w14:paraId="712E9309" w14:textId="77777777" w:rsidR="006730C9" w:rsidRPr="008A52F7" w:rsidRDefault="006730C9" w:rsidP="006730C9">
            <w:pPr>
              <w:pStyle w:val="TableText"/>
              <w:keepNext/>
              <w:rPr>
                <w:rFonts w:ascii="Cambria Math" w:hAnsi="Cambria Math"/>
              </w:rPr>
            </w:pPr>
            <w:r w:rsidRPr="008A52F7">
              <w:rPr>
                <w:rFonts w:ascii="Cambria Math" w:hAnsi="Cambria Math"/>
              </w:rPr>
              <w:t>—</w:t>
            </w:r>
          </w:p>
        </w:tc>
        <w:tc>
          <w:tcPr>
            <w:tcW w:w="542" w:type="pct"/>
            <w:shd w:val="clear" w:color="auto" w:fill="auto"/>
            <w:vAlign w:val="center"/>
          </w:tcPr>
          <w:p w14:paraId="22CBBF6D" w14:textId="77777777" w:rsidR="006730C9" w:rsidRPr="008A52F7" w:rsidRDefault="006730C9" w:rsidP="006730C9">
            <w:pPr>
              <w:pStyle w:val="TableText"/>
              <w:keepNext/>
              <w:rPr>
                <w:rFonts w:ascii="Cambria Math" w:hAnsi="Cambria Math"/>
              </w:rPr>
            </w:pPr>
            <w:r w:rsidRPr="008A52F7">
              <w:rPr>
                <w:rFonts w:ascii="Cambria Math" w:hAnsi="Cambria Math"/>
              </w:rPr>
              <w:t>—</w:t>
            </w:r>
          </w:p>
        </w:tc>
      </w:tr>
      <w:tr w:rsidR="006730C9" w:rsidRPr="00B17511" w14:paraId="592DDEE6" w14:textId="77777777" w:rsidTr="006730C9">
        <w:trPr>
          <w:trHeight w:val="283"/>
        </w:trPr>
        <w:tc>
          <w:tcPr>
            <w:tcW w:w="1016" w:type="pct"/>
            <w:vMerge w:val="restart"/>
            <w:shd w:val="clear" w:color="auto" w:fill="auto"/>
            <w:vAlign w:val="center"/>
          </w:tcPr>
          <w:p w14:paraId="04581648" w14:textId="77777777" w:rsidR="006730C9" w:rsidRPr="008A52F7" w:rsidRDefault="006730C9" w:rsidP="006730C9">
            <w:pPr>
              <w:pStyle w:val="TableText"/>
              <w:keepNext/>
              <w:rPr>
                <w:rFonts w:ascii="Cambria Math" w:hAnsi="Cambria Math"/>
              </w:rPr>
            </w:pPr>
            <w:r w:rsidRPr="008A52F7">
              <w:rPr>
                <w:rFonts w:ascii="Cambria Math" w:hAnsi="Cambria Math"/>
              </w:rPr>
              <w:t xml:space="preserve">0.1 </w:t>
            </w:r>
            <w:r w:rsidRPr="008A52F7">
              <w:rPr>
                <w:rFonts w:ascii="Cambria Math" w:hAnsi="Cambria Math"/>
                <w:i/>
              </w:rPr>
              <w:t>I</w:t>
            </w:r>
            <w:r w:rsidRPr="008A52F7">
              <w:rPr>
                <w:rFonts w:ascii="Cambria Math" w:hAnsi="Cambria Math"/>
                <w:vertAlign w:val="subscript"/>
              </w:rPr>
              <w:t>b</w:t>
            </w:r>
            <w:r w:rsidRPr="008A52F7">
              <w:rPr>
                <w:rFonts w:ascii="Cambria Math" w:hAnsi="Cambria Math"/>
              </w:rPr>
              <w:t xml:space="preserve"> ≤ </w:t>
            </w:r>
            <w:r w:rsidRPr="008A52F7">
              <w:rPr>
                <w:rFonts w:ascii="Cambria Math" w:hAnsi="Cambria Math"/>
                <w:i/>
              </w:rPr>
              <w:t>I</w:t>
            </w:r>
            <w:r w:rsidRPr="008A52F7">
              <w:rPr>
                <w:rFonts w:ascii="Cambria Math" w:hAnsi="Cambria Math"/>
              </w:rPr>
              <w:t xml:space="preserve"> &lt; 0.2 </w:t>
            </w:r>
            <w:r w:rsidRPr="008A52F7">
              <w:rPr>
                <w:rFonts w:ascii="Cambria Math" w:hAnsi="Cambria Math"/>
                <w:i/>
              </w:rPr>
              <w:t>I</w:t>
            </w:r>
            <w:r w:rsidRPr="008A52F7">
              <w:rPr>
                <w:rFonts w:ascii="Cambria Math" w:hAnsi="Cambria Math"/>
                <w:vertAlign w:val="subscript"/>
              </w:rPr>
              <w:t>b</w:t>
            </w:r>
          </w:p>
        </w:tc>
        <w:tc>
          <w:tcPr>
            <w:tcW w:w="946" w:type="pct"/>
            <w:vMerge w:val="restart"/>
            <w:shd w:val="clear" w:color="auto" w:fill="auto"/>
            <w:vAlign w:val="center"/>
          </w:tcPr>
          <w:p w14:paraId="425B8D04" w14:textId="77777777" w:rsidR="006730C9" w:rsidRPr="008A52F7" w:rsidRDefault="006730C9" w:rsidP="006730C9">
            <w:pPr>
              <w:pStyle w:val="TableText"/>
              <w:keepNext/>
              <w:rPr>
                <w:rFonts w:ascii="Cambria Math" w:hAnsi="Cambria Math"/>
              </w:rPr>
            </w:pPr>
            <w:r>
              <w:rPr>
                <w:rFonts w:ascii="Cambria Math" w:hAnsi="Cambria Math"/>
              </w:rPr>
              <w:t>0.05</w:t>
            </w:r>
            <w:r w:rsidRPr="008A52F7">
              <w:rPr>
                <w:rFonts w:ascii="Cambria Math" w:hAnsi="Cambria Math"/>
              </w:rPr>
              <w:t xml:space="preserve"> </w:t>
            </w:r>
            <w:r w:rsidRPr="008A52F7">
              <w:rPr>
                <w:rFonts w:ascii="Cambria Math" w:hAnsi="Cambria Math"/>
                <w:i/>
              </w:rPr>
              <w:t>I</w:t>
            </w:r>
            <w:r>
              <w:rPr>
                <w:rFonts w:ascii="Cambria Math" w:hAnsi="Cambria Math"/>
                <w:vertAlign w:val="subscript"/>
              </w:rPr>
              <w:t>n</w:t>
            </w:r>
            <w:r w:rsidRPr="008A52F7">
              <w:rPr>
                <w:rFonts w:ascii="Cambria Math" w:hAnsi="Cambria Math"/>
              </w:rPr>
              <w:t xml:space="preserve"> ≤ </w:t>
            </w:r>
            <w:r w:rsidRPr="008A52F7">
              <w:rPr>
                <w:rFonts w:ascii="Cambria Math" w:hAnsi="Cambria Math"/>
                <w:i/>
              </w:rPr>
              <w:t>I</w:t>
            </w:r>
            <w:r w:rsidRPr="008A52F7">
              <w:rPr>
                <w:rFonts w:ascii="Cambria Math" w:hAnsi="Cambria Math"/>
              </w:rPr>
              <w:t xml:space="preserve"> &lt; 0.</w:t>
            </w:r>
            <w:r>
              <w:rPr>
                <w:rFonts w:ascii="Cambria Math" w:hAnsi="Cambria Math"/>
              </w:rPr>
              <w:t>1</w:t>
            </w:r>
            <w:r w:rsidRPr="008A52F7">
              <w:rPr>
                <w:rFonts w:ascii="Cambria Math" w:hAnsi="Cambria Math"/>
              </w:rPr>
              <w:t xml:space="preserve"> </w:t>
            </w:r>
            <w:r w:rsidRPr="008A52F7">
              <w:rPr>
                <w:rFonts w:ascii="Cambria Math" w:hAnsi="Cambria Math"/>
                <w:i/>
              </w:rPr>
              <w:t>I</w:t>
            </w:r>
            <w:r>
              <w:rPr>
                <w:rFonts w:ascii="Cambria Math" w:hAnsi="Cambria Math"/>
                <w:vertAlign w:val="subscript"/>
              </w:rPr>
              <w:t>n</w:t>
            </w:r>
          </w:p>
        </w:tc>
        <w:tc>
          <w:tcPr>
            <w:tcW w:w="801" w:type="pct"/>
            <w:shd w:val="clear" w:color="auto" w:fill="auto"/>
            <w:vAlign w:val="center"/>
          </w:tcPr>
          <w:p w14:paraId="4D3DA985" w14:textId="77777777" w:rsidR="006730C9" w:rsidRPr="008A52F7" w:rsidRDefault="006730C9" w:rsidP="006730C9">
            <w:pPr>
              <w:pStyle w:val="TableText"/>
              <w:keepNext/>
              <w:rPr>
                <w:rFonts w:ascii="Cambria Math" w:hAnsi="Cambria Math"/>
              </w:rPr>
            </w:pPr>
            <w:r w:rsidRPr="008A52F7">
              <w:rPr>
                <w:rFonts w:ascii="Cambria Math" w:hAnsi="Cambria Math"/>
              </w:rPr>
              <w:t>0.5 inductive</w:t>
            </w:r>
          </w:p>
        </w:tc>
        <w:tc>
          <w:tcPr>
            <w:tcW w:w="655" w:type="pct"/>
            <w:shd w:val="clear" w:color="auto" w:fill="auto"/>
            <w:vAlign w:val="center"/>
          </w:tcPr>
          <w:p w14:paraId="519D2FB4" w14:textId="77777777" w:rsidR="006730C9" w:rsidRPr="008A52F7" w:rsidRDefault="006730C9" w:rsidP="006730C9">
            <w:pPr>
              <w:pStyle w:val="TableText"/>
              <w:keepNext/>
              <w:rPr>
                <w:rFonts w:ascii="Cambria Math" w:hAnsi="Cambria Math"/>
              </w:rPr>
            </w:pPr>
            <w:r w:rsidRPr="008A52F7">
              <w:rPr>
                <w:rFonts w:ascii="Cambria Math" w:hAnsi="Cambria Math"/>
              </w:rPr>
              <w:t>—</w:t>
            </w:r>
          </w:p>
        </w:tc>
        <w:tc>
          <w:tcPr>
            <w:tcW w:w="541" w:type="pct"/>
            <w:shd w:val="clear" w:color="auto" w:fill="auto"/>
            <w:vAlign w:val="center"/>
          </w:tcPr>
          <w:p w14:paraId="163BE4CF" w14:textId="77777777" w:rsidR="006730C9" w:rsidRPr="008A52F7" w:rsidRDefault="006730C9" w:rsidP="006730C9">
            <w:pPr>
              <w:pStyle w:val="TableText"/>
              <w:keepNext/>
              <w:rPr>
                <w:rFonts w:ascii="Cambria Math" w:hAnsi="Cambria Math"/>
              </w:rPr>
            </w:pPr>
            <w:r w:rsidRPr="008A52F7">
              <w:rPr>
                <w:rFonts w:ascii="Cambria Math" w:hAnsi="Cambria Math"/>
              </w:rPr>
              <w:t>—</w:t>
            </w:r>
          </w:p>
        </w:tc>
        <w:tc>
          <w:tcPr>
            <w:tcW w:w="499" w:type="pct"/>
            <w:shd w:val="clear" w:color="auto" w:fill="auto"/>
            <w:vAlign w:val="center"/>
          </w:tcPr>
          <w:p w14:paraId="12C59991" w14:textId="77777777" w:rsidR="006730C9" w:rsidRPr="008A52F7" w:rsidRDefault="006730C9" w:rsidP="006730C9">
            <w:pPr>
              <w:pStyle w:val="TableText"/>
              <w:keepNext/>
              <w:rPr>
                <w:rFonts w:ascii="Cambria Math" w:hAnsi="Cambria Math"/>
              </w:rPr>
            </w:pPr>
            <w:r w:rsidRPr="008A52F7">
              <w:rPr>
                <w:rFonts w:ascii="Cambria Math" w:hAnsi="Cambria Math"/>
              </w:rPr>
              <w:t>±1.5</w:t>
            </w:r>
          </w:p>
        </w:tc>
        <w:tc>
          <w:tcPr>
            <w:tcW w:w="542" w:type="pct"/>
            <w:shd w:val="clear" w:color="auto" w:fill="auto"/>
            <w:vAlign w:val="center"/>
          </w:tcPr>
          <w:p w14:paraId="41A10447" w14:textId="77777777" w:rsidR="006730C9" w:rsidRPr="008A52F7" w:rsidRDefault="006730C9" w:rsidP="006730C9">
            <w:pPr>
              <w:pStyle w:val="TableText"/>
              <w:keepNext/>
              <w:rPr>
                <w:rFonts w:ascii="Cambria Math" w:hAnsi="Cambria Math"/>
              </w:rPr>
            </w:pPr>
            <w:r w:rsidRPr="008A52F7">
              <w:rPr>
                <w:rFonts w:ascii="Cambria Math" w:hAnsi="Cambria Math"/>
              </w:rPr>
              <w:t>±</w:t>
            </w:r>
            <w:r>
              <w:rPr>
                <w:rFonts w:ascii="Cambria Math" w:hAnsi="Cambria Math"/>
              </w:rPr>
              <w:t>2</w:t>
            </w:r>
            <w:r w:rsidRPr="008A52F7">
              <w:rPr>
                <w:rFonts w:ascii="Cambria Math" w:hAnsi="Cambria Math"/>
              </w:rPr>
              <w:t>.5</w:t>
            </w:r>
          </w:p>
        </w:tc>
      </w:tr>
      <w:tr w:rsidR="006730C9" w:rsidRPr="00B17511" w14:paraId="3BA3F001" w14:textId="77777777" w:rsidTr="006730C9">
        <w:trPr>
          <w:trHeight w:val="283"/>
        </w:trPr>
        <w:tc>
          <w:tcPr>
            <w:tcW w:w="1016" w:type="pct"/>
            <w:vMerge/>
            <w:shd w:val="clear" w:color="auto" w:fill="auto"/>
            <w:vAlign w:val="center"/>
          </w:tcPr>
          <w:p w14:paraId="4FCD05DB" w14:textId="77777777" w:rsidR="006730C9" w:rsidRPr="008A52F7" w:rsidRDefault="006730C9" w:rsidP="006730C9">
            <w:pPr>
              <w:pStyle w:val="TableText"/>
              <w:keepNext/>
              <w:rPr>
                <w:rFonts w:ascii="Cambria Math" w:hAnsi="Cambria Math"/>
              </w:rPr>
            </w:pPr>
          </w:p>
        </w:tc>
        <w:tc>
          <w:tcPr>
            <w:tcW w:w="946" w:type="pct"/>
            <w:vMerge/>
            <w:shd w:val="clear" w:color="auto" w:fill="auto"/>
            <w:vAlign w:val="center"/>
          </w:tcPr>
          <w:p w14:paraId="07667668" w14:textId="77777777" w:rsidR="006730C9" w:rsidRPr="008A52F7" w:rsidRDefault="006730C9" w:rsidP="006730C9">
            <w:pPr>
              <w:pStyle w:val="TableText"/>
              <w:keepNext/>
              <w:rPr>
                <w:rFonts w:ascii="Cambria Math" w:hAnsi="Cambria Math"/>
              </w:rPr>
            </w:pPr>
          </w:p>
        </w:tc>
        <w:tc>
          <w:tcPr>
            <w:tcW w:w="801" w:type="pct"/>
            <w:shd w:val="clear" w:color="auto" w:fill="auto"/>
            <w:vAlign w:val="center"/>
          </w:tcPr>
          <w:p w14:paraId="00D93114" w14:textId="77777777" w:rsidR="006730C9" w:rsidRPr="008A52F7" w:rsidRDefault="006730C9" w:rsidP="006730C9">
            <w:pPr>
              <w:pStyle w:val="TableText"/>
              <w:keepNext/>
              <w:rPr>
                <w:rFonts w:ascii="Cambria Math" w:hAnsi="Cambria Math"/>
              </w:rPr>
            </w:pPr>
            <w:r w:rsidRPr="008A52F7">
              <w:rPr>
                <w:rFonts w:ascii="Cambria Math" w:hAnsi="Cambria Math"/>
              </w:rPr>
              <w:t>0.8 capacitive</w:t>
            </w:r>
          </w:p>
        </w:tc>
        <w:tc>
          <w:tcPr>
            <w:tcW w:w="655" w:type="pct"/>
            <w:shd w:val="clear" w:color="auto" w:fill="auto"/>
            <w:vAlign w:val="center"/>
          </w:tcPr>
          <w:p w14:paraId="273C6FB5" w14:textId="77777777" w:rsidR="006730C9" w:rsidRPr="008A52F7" w:rsidRDefault="006730C9" w:rsidP="006730C9">
            <w:pPr>
              <w:pStyle w:val="TableText"/>
              <w:keepNext/>
              <w:rPr>
                <w:rFonts w:ascii="Cambria Math" w:hAnsi="Cambria Math"/>
              </w:rPr>
            </w:pPr>
            <w:r w:rsidRPr="008A52F7">
              <w:rPr>
                <w:rFonts w:ascii="Cambria Math" w:hAnsi="Cambria Math"/>
              </w:rPr>
              <w:t>—</w:t>
            </w:r>
          </w:p>
        </w:tc>
        <w:tc>
          <w:tcPr>
            <w:tcW w:w="541" w:type="pct"/>
            <w:shd w:val="clear" w:color="auto" w:fill="auto"/>
            <w:vAlign w:val="center"/>
          </w:tcPr>
          <w:p w14:paraId="5496495F" w14:textId="77777777" w:rsidR="006730C9" w:rsidRPr="008A52F7" w:rsidRDefault="006730C9" w:rsidP="006730C9">
            <w:pPr>
              <w:pStyle w:val="TableText"/>
              <w:keepNext/>
              <w:rPr>
                <w:rFonts w:ascii="Cambria Math" w:hAnsi="Cambria Math"/>
              </w:rPr>
            </w:pPr>
            <w:r w:rsidRPr="008A52F7">
              <w:rPr>
                <w:rFonts w:ascii="Cambria Math" w:hAnsi="Cambria Math"/>
              </w:rPr>
              <w:t>—</w:t>
            </w:r>
          </w:p>
        </w:tc>
        <w:tc>
          <w:tcPr>
            <w:tcW w:w="499" w:type="pct"/>
            <w:shd w:val="clear" w:color="auto" w:fill="auto"/>
            <w:vAlign w:val="center"/>
          </w:tcPr>
          <w:p w14:paraId="2489A5F5" w14:textId="77777777" w:rsidR="006730C9" w:rsidRPr="008A52F7" w:rsidRDefault="006730C9" w:rsidP="006730C9">
            <w:pPr>
              <w:pStyle w:val="TableText"/>
              <w:keepNext/>
              <w:rPr>
                <w:rFonts w:ascii="Cambria Math" w:hAnsi="Cambria Math"/>
              </w:rPr>
            </w:pPr>
            <w:r w:rsidRPr="008A52F7">
              <w:rPr>
                <w:rFonts w:ascii="Cambria Math" w:hAnsi="Cambria Math"/>
              </w:rPr>
              <w:t>±1.5</w:t>
            </w:r>
          </w:p>
        </w:tc>
        <w:tc>
          <w:tcPr>
            <w:tcW w:w="542" w:type="pct"/>
            <w:shd w:val="clear" w:color="auto" w:fill="auto"/>
            <w:vAlign w:val="center"/>
          </w:tcPr>
          <w:p w14:paraId="4FB05B1B" w14:textId="77777777" w:rsidR="006730C9" w:rsidRPr="008A52F7" w:rsidRDefault="006730C9" w:rsidP="006730C9">
            <w:pPr>
              <w:pStyle w:val="TableText"/>
              <w:keepNext/>
              <w:rPr>
                <w:rFonts w:ascii="Cambria Math" w:hAnsi="Cambria Math"/>
              </w:rPr>
            </w:pPr>
            <w:r w:rsidRPr="008A52F7">
              <w:rPr>
                <w:rFonts w:ascii="Cambria Math" w:hAnsi="Cambria Math"/>
              </w:rPr>
              <w:t>—</w:t>
            </w:r>
          </w:p>
        </w:tc>
      </w:tr>
      <w:tr w:rsidR="006730C9" w:rsidRPr="00B17511" w14:paraId="07CA095C" w14:textId="77777777" w:rsidTr="006730C9">
        <w:trPr>
          <w:trHeight w:val="283"/>
        </w:trPr>
        <w:tc>
          <w:tcPr>
            <w:tcW w:w="1016" w:type="pct"/>
            <w:vMerge w:val="restart"/>
            <w:shd w:val="clear" w:color="auto" w:fill="auto"/>
            <w:vAlign w:val="center"/>
          </w:tcPr>
          <w:p w14:paraId="1B3B1DFF" w14:textId="77777777" w:rsidR="006730C9" w:rsidRPr="008A52F7" w:rsidRDefault="006730C9" w:rsidP="006730C9">
            <w:pPr>
              <w:pStyle w:val="TableText"/>
              <w:keepNext/>
              <w:rPr>
                <w:rFonts w:ascii="Cambria Math" w:hAnsi="Cambria Math"/>
              </w:rPr>
            </w:pPr>
            <w:r w:rsidRPr="008A52F7">
              <w:rPr>
                <w:rFonts w:ascii="Cambria Math" w:hAnsi="Cambria Math"/>
              </w:rPr>
              <w:t xml:space="preserve">0.2 </w:t>
            </w:r>
            <w:r w:rsidRPr="008A52F7">
              <w:rPr>
                <w:rFonts w:ascii="Cambria Math" w:hAnsi="Cambria Math"/>
                <w:i/>
              </w:rPr>
              <w:t>I</w:t>
            </w:r>
            <w:r w:rsidRPr="008A52F7">
              <w:rPr>
                <w:rFonts w:ascii="Cambria Math" w:hAnsi="Cambria Math"/>
                <w:vertAlign w:val="subscript"/>
              </w:rPr>
              <w:t>b</w:t>
            </w:r>
            <w:r w:rsidRPr="008A52F7">
              <w:rPr>
                <w:rFonts w:ascii="Cambria Math" w:hAnsi="Cambria Math"/>
              </w:rPr>
              <w:t xml:space="preserve"> ≤ </w:t>
            </w:r>
            <w:r w:rsidRPr="008A52F7">
              <w:rPr>
                <w:rFonts w:ascii="Cambria Math" w:hAnsi="Cambria Math"/>
                <w:i/>
              </w:rPr>
              <w:t>I</w:t>
            </w:r>
            <w:r w:rsidRPr="008A52F7">
              <w:rPr>
                <w:rFonts w:ascii="Cambria Math" w:hAnsi="Cambria Math"/>
              </w:rPr>
              <w:t xml:space="preserve"> ≤ </w:t>
            </w:r>
            <w:r w:rsidRPr="008A52F7">
              <w:rPr>
                <w:rFonts w:ascii="Cambria Math" w:hAnsi="Cambria Math"/>
                <w:i/>
              </w:rPr>
              <w:t>I</w:t>
            </w:r>
            <w:r w:rsidRPr="008A52F7">
              <w:rPr>
                <w:rFonts w:ascii="Cambria Math" w:hAnsi="Cambria Math"/>
                <w:vertAlign w:val="subscript"/>
              </w:rPr>
              <w:t>max</w:t>
            </w:r>
          </w:p>
        </w:tc>
        <w:tc>
          <w:tcPr>
            <w:tcW w:w="946" w:type="pct"/>
            <w:vMerge w:val="restart"/>
            <w:shd w:val="clear" w:color="auto" w:fill="auto"/>
            <w:vAlign w:val="center"/>
          </w:tcPr>
          <w:p w14:paraId="45FA8BFD" w14:textId="77777777" w:rsidR="006730C9" w:rsidRPr="008A52F7" w:rsidRDefault="006730C9" w:rsidP="006730C9">
            <w:pPr>
              <w:pStyle w:val="TableText"/>
              <w:keepNext/>
              <w:rPr>
                <w:rFonts w:ascii="Cambria Math" w:hAnsi="Cambria Math"/>
              </w:rPr>
            </w:pPr>
            <w:r w:rsidRPr="008A52F7">
              <w:rPr>
                <w:rFonts w:ascii="Cambria Math" w:hAnsi="Cambria Math"/>
              </w:rPr>
              <w:t>0.</w:t>
            </w:r>
            <w:r>
              <w:rPr>
                <w:rFonts w:ascii="Cambria Math" w:hAnsi="Cambria Math"/>
              </w:rPr>
              <w:t>1</w:t>
            </w:r>
            <w:r w:rsidRPr="008A52F7">
              <w:rPr>
                <w:rFonts w:ascii="Cambria Math" w:hAnsi="Cambria Math"/>
              </w:rPr>
              <w:t xml:space="preserve"> </w:t>
            </w:r>
            <w:r w:rsidRPr="008A52F7">
              <w:rPr>
                <w:rFonts w:ascii="Cambria Math" w:hAnsi="Cambria Math"/>
                <w:i/>
              </w:rPr>
              <w:t>I</w:t>
            </w:r>
            <w:r>
              <w:rPr>
                <w:rFonts w:ascii="Cambria Math" w:hAnsi="Cambria Math"/>
                <w:vertAlign w:val="subscript"/>
              </w:rPr>
              <w:t>n</w:t>
            </w:r>
            <w:r w:rsidRPr="008A52F7">
              <w:rPr>
                <w:rFonts w:ascii="Cambria Math" w:hAnsi="Cambria Math"/>
              </w:rPr>
              <w:t xml:space="preserve"> ≤ </w:t>
            </w:r>
            <w:r w:rsidRPr="008A52F7">
              <w:rPr>
                <w:rFonts w:ascii="Cambria Math" w:hAnsi="Cambria Math"/>
                <w:i/>
              </w:rPr>
              <w:t>I</w:t>
            </w:r>
            <w:r w:rsidRPr="008A52F7">
              <w:rPr>
                <w:rFonts w:ascii="Cambria Math" w:hAnsi="Cambria Math"/>
              </w:rPr>
              <w:t xml:space="preserve"> ≤ </w:t>
            </w:r>
            <w:r w:rsidRPr="008A52F7">
              <w:rPr>
                <w:rFonts w:ascii="Cambria Math" w:hAnsi="Cambria Math"/>
                <w:i/>
              </w:rPr>
              <w:t>I</w:t>
            </w:r>
            <w:r w:rsidRPr="008A52F7">
              <w:rPr>
                <w:rFonts w:ascii="Cambria Math" w:hAnsi="Cambria Math"/>
                <w:vertAlign w:val="subscript"/>
              </w:rPr>
              <w:t>max</w:t>
            </w:r>
          </w:p>
        </w:tc>
        <w:tc>
          <w:tcPr>
            <w:tcW w:w="801" w:type="pct"/>
            <w:shd w:val="clear" w:color="auto" w:fill="auto"/>
            <w:vAlign w:val="center"/>
          </w:tcPr>
          <w:p w14:paraId="37D94646" w14:textId="77777777" w:rsidR="006730C9" w:rsidRPr="008A52F7" w:rsidRDefault="006730C9" w:rsidP="006730C9">
            <w:pPr>
              <w:pStyle w:val="TableText"/>
              <w:keepNext/>
              <w:rPr>
                <w:rFonts w:ascii="Cambria Math" w:hAnsi="Cambria Math"/>
              </w:rPr>
            </w:pPr>
            <w:r w:rsidRPr="008A52F7">
              <w:rPr>
                <w:rFonts w:ascii="Cambria Math" w:hAnsi="Cambria Math"/>
              </w:rPr>
              <w:t>0.5 inductive</w:t>
            </w:r>
          </w:p>
        </w:tc>
        <w:tc>
          <w:tcPr>
            <w:tcW w:w="655" w:type="pct"/>
            <w:shd w:val="clear" w:color="auto" w:fill="auto"/>
            <w:vAlign w:val="center"/>
          </w:tcPr>
          <w:p w14:paraId="2569AB58" w14:textId="77777777" w:rsidR="006730C9" w:rsidRPr="008A52F7" w:rsidRDefault="006730C9" w:rsidP="006730C9">
            <w:pPr>
              <w:pStyle w:val="TableText"/>
              <w:keepNext/>
              <w:rPr>
                <w:rFonts w:ascii="Cambria Math" w:hAnsi="Cambria Math"/>
              </w:rPr>
            </w:pPr>
            <w:r w:rsidRPr="008A52F7">
              <w:rPr>
                <w:rFonts w:ascii="Cambria Math" w:hAnsi="Cambria Math"/>
              </w:rPr>
              <w:t>±</w:t>
            </w:r>
            <w:r>
              <w:rPr>
                <w:rFonts w:ascii="Cambria Math" w:hAnsi="Cambria Math"/>
              </w:rPr>
              <w:t>0</w:t>
            </w:r>
            <w:r w:rsidRPr="008A52F7">
              <w:rPr>
                <w:rFonts w:ascii="Cambria Math" w:hAnsi="Cambria Math"/>
              </w:rPr>
              <w:t>.</w:t>
            </w:r>
            <w:r>
              <w:rPr>
                <w:rFonts w:ascii="Cambria Math" w:hAnsi="Cambria Math"/>
              </w:rPr>
              <w:t>3</w:t>
            </w:r>
          </w:p>
        </w:tc>
        <w:tc>
          <w:tcPr>
            <w:tcW w:w="541" w:type="pct"/>
            <w:shd w:val="clear" w:color="auto" w:fill="auto"/>
            <w:vAlign w:val="center"/>
          </w:tcPr>
          <w:p w14:paraId="61DF267C" w14:textId="77777777" w:rsidR="006730C9" w:rsidRPr="008A52F7" w:rsidRDefault="006730C9" w:rsidP="006730C9">
            <w:pPr>
              <w:pStyle w:val="TableText"/>
              <w:keepNext/>
              <w:rPr>
                <w:rFonts w:ascii="Cambria Math" w:hAnsi="Cambria Math"/>
              </w:rPr>
            </w:pPr>
            <w:r w:rsidRPr="008A52F7">
              <w:rPr>
                <w:rFonts w:ascii="Cambria Math" w:hAnsi="Cambria Math"/>
              </w:rPr>
              <w:t>±</w:t>
            </w:r>
            <w:r>
              <w:rPr>
                <w:rFonts w:ascii="Cambria Math" w:hAnsi="Cambria Math"/>
              </w:rPr>
              <w:t>0.6</w:t>
            </w:r>
          </w:p>
        </w:tc>
        <w:tc>
          <w:tcPr>
            <w:tcW w:w="499" w:type="pct"/>
            <w:shd w:val="clear" w:color="auto" w:fill="auto"/>
            <w:vAlign w:val="center"/>
          </w:tcPr>
          <w:p w14:paraId="48D442E1" w14:textId="77777777" w:rsidR="006730C9" w:rsidRPr="008A52F7" w:rsidRDefault="006730C9" w:rsidP="006730C9">
            <w:pPr>
              <w:pStyle w:val="TableText"/>
              <w:keepNext/>
              <w:rPr>
                <w:rFonts w:ascii="Cambria Math" w:hAnsi="Cambria Math"/>
              </w:rPr>
            </w:pPr>
            <w:r w:rsidRPr="008A52F7">
              <w:rPr>
                <w:rFonts w:ascii="Cambria Math" w:hAnsi="Cambria Math"/>
              </w:rPr>
              <w:t>±1.0</w:t>
            </w:r>
          </w:p>
        </w:tc>
        <w:tc>
          <w:tcPr>
            <w:tcW w:w="542" w:type="pct"/>
            <w:shd w:val="clear" w:color="auto" w:fill="auto"/>
            <w:vAlign w:val="center"/>
          </w:tcPr>
          <w:p w14:paraId="121697CB" w14:textId="77777777" w:rsidR="006730C9" w:rsidRPr="008A52F7" w:rsidRDefault="006730C9" w:rsidP="006730C9">
            <w:pPr>
              <w:pStyle w:val="TableText"/>
              <w:keepNext/>
              <w:rPr>
                <w:rFonts w:ascii="Cambria Math" w:hAnsi="Cambria Math"/>
              </w:rPr>
            </w:pPr>
            <w:r w:rsidRPr="008A52F7">
              <w:rPr>
                <w:rFonts w:ascii="Cambria Math" w:hAnsi="Cambria Math"/>
              </w:rPr>
              <w:t>±</w:t>
            </w:r>
            <w:r>
              <w:rPr>
                <w:rFonts w:ascii="Cambria Math" w:hAnsi="Cambria Math"/>
              </w:rPr>
              <w:t>2.0</w:t>
            </w:r>
          </w:p>
        </w:tc>
      </w:tr>
      <w:tr w:rsidR="006730C9" w:rsidRPr="00B17511" w14:paraId="25B5E758" w14:textId="77777777" w:rsidTr="006730C9">
        <w:trPr>
          <w:trHeight w:val="283"/>
        </w:trPr>
        <w:tc>
          <w:tcPr>
            <w:tcW w:w="1016" w:type="pct"/>
            <w:vMerge/>
            <w:shd w:val="clear" w:color="auto" w:fill="auto"/>
            <w:vAlign w:val="center"/>
          </w:tcPr>
          <w:p w14:paraId="6CD5D441" w14:textId="77777777" w:rsidR="006730C9" w:rsidRPr="00B17511" w:rsidRDefault="006730C9" w:rsidP="006730C9">
            <w:pPr>
              <w:pStyle w:val="TableText"/>
              <w:keepNext/>
            </w:pPr>
          </w:p>
        </w:tc>
        <w:tc>
          <w:tcPr>
            <w:tcW w:w="946" w:type="pct"/>
            <w:vMerge/>
            <w:shd w:val="clear" w:color="auto" w:fill="auto"/>
            <w:vAlign w:val="center"/>
          </w:tcPr>
          <w:p w14:paraId="623CA68A" w14:textId="77777777" w:rsidR="006730C9" w:rsidRPr="008A52F7" w:rsidRDefault="006730C9" w:rsidP="006730C9">
            <w:pPr>
              <w:pStyle w:val="TableText"/>
              <w:keepNext/>
              <w:rPr>
                <w:rFonts w:ascii="Cambria Math" w:hAnsi="Cambria Math"/>
              </w:rPr>
            </w:pPr>
          </w:p>
        </w:tc>
        <w:tc>
          <w:tcPr>
            <w:tcW w:w="801" w:type="pct"/>
            <w:shd w:val="clear" w:color="auto" w:fill="auto"/>
            <w:vAlign w:val="center"/>
          </w:tcPr>
          <w:p w14:paraId="4BCDEFBF" w14:textId="77777777" w:rsidR="006730C9" w:rsidRPr="008A52F7" w:rsidRDefault="006730C9" w:rsidP="006730C9">
            <w:pPr>
              <w:pStyle w:val="TableText"/>
              <w:keepNext/>
              <w:rPr>
                <w:rFonts w:ascii="Cambria Math" w:hAnsi="Cambria Math"/>
              </w:rPr>
            </w:pPr>
            <w:r w:rsidRPr="008A52F7">
              <w:rPr>
                <w:rFonts w:ascii="Cambria Math" w:hAnsi="Cambria Math"/>
              </w:rPr>
              <w:t>0.8 capacitive</w:t>
            </w:r>
          </w:p>
        </w:tc>
        <w:tc>
          <w:tcPr>
            <w:tcW w:w="655" w:type="pct"/>
            <w:shd w:val="clear" w:color="auto" w:fill="auto"/>
            <w:vAlign w:val="center"/>
          </w:tcPr>
          <w:p w14:paraId="367356A4" w14:textId="77777777" w:rsidR="006730C9" w:rsidRPr="008A52F7" w:rsidRDefault="006730C9" w:rsidP="006730C9">
            <w:pPr>
              <w:pStyle w:val="TableText"/>
              <w:keepNext/>
              <w:rPr>
                <w:rFonts w:ascii="Cambria Math" w:hAnsi="Cambria Math"/>
              </w:rPr>
            </w:pPr>
            <w:r w:rsidRPr="008A52F7">
              <w:rPr>
                <w:rFonts w:ascii="Cambria Math" w:hAnsi="Cambria Math"/>
              </w:rPr>
              <w:t>±</w:t>
            </w:r>
            <w:r>
              <w:rPr>
                <w:rFonts w:ascii="Cambria Math" w:hAnsi="Cambria Math"/>
              </w:rPr>
              <w:t>0</w:t>
            </w:r>
            <w:r w:rsidRPr="008A52F7">
              <w:rPr>
                <w:rFonts w:ascii="Cambria Math" w:hAnsi="Cambria Math"/>
              </w:rPr>
              <w:t>.</w:t>
            </w:r>
            <w:r>
              <w:rPr>
                <w:rFonts w:ascii="Cambria Math" w:hAnsi="Cambria Math"/>
              </w:rPr>
              <w:t>3</w:t>
            </w:r>
          </w:p>
        </w:tc>
        <w:tc>
          <w:tcPr>
            <w:tcW w:w="541" w:type="pct"/>
            <w:shd w:val="clear" w:color="auto" w:fill="auto"/>
            <w:vAlign w:val="center"/>
          </w:tcPr>
          <w:p w14:paraId="01CFACC5" w14:textId="77777777" w:rsidR="006730C9" w:rsidRPr="008A52F7" w:rsidRDefault="006730C9" w:rsidP="006730C9">
            <w:pPr>
              <w:pStyle w:val="TableText"/>
              <w:keepNext/>
              <w:rPr>
                <w:rFonts w:ascii="Cambria Math" w:hAnsi="Cambria Math"/>
              </w:rPr>
            </w:pPr>
            <w:r w:rsidRPr="008A52F7">
              <w:rPr>
                <w:rFonts w:ascii="Cambria Math" w:hAnsi="Cambria Math"/>
              </w:rPr>
              <w:t>±</w:t>
            </w:r>
            <w:r>
              <w:rPr>
                <w:rFonts w:ascii="Cambria Math" w:hAnsi="Cambria Math"/>
              </w:rPr>
              <w:t>0.6</w:t>
            </w:r>
          </w:p>
        </w:tc>
        <w:tc>
          <w:tcPr>
            <w:tcW w:w="499" w:type="pct"/>
            <w:shd w:val="clear" w:color="auto" w:fill="auto"/>
            <w:vAlign w:val="center"/>
          </w:tcPr>
          <w:p w14:paraId="1723B738" w14:textId="77777777" w:rsidR="006730C9" w:rsidRPr="008A52F7" w:rsidRDefault="006730C9" w:rsidP="006730C9">
            <w:pPr>
              <w:pStyle w:val="TableText"/>
              <w:keepNext/>
              <w:rPr>
                <w:rFonts w:ascii="Cambria Math" w:hAnsi="Cambria Math"/>
              </w:rPr>
            </w:pPr>
            <w:r w:rsidRPr="008A52F7">
              <w:rPr>
                <w:rFonts w:ascii="Cambria Math" w:hAnsi="Cambria Math"/>
              </w:rPr>
              <w:t>±1.0</w:t>
            </w:r>
          </w:p>
        </w:tc>
        <w:tc>
          <w:tcPr>
            <w:tcW w:w="542" w:type="pct"/>
            <w:shd w:val="clear" w:color="auto" w:fill="auto"/>
            <w:vAlign w:val="center"/>
          </w:tcPr>
          <w:p w14:paraId="503894EB" w14:textId="77777777" w:rsidR="006730C9" w:rsidRPr="008A52F7" w:rsidRDefault="006730C9" w:rsidP="006730C9">
            <w:pPr>
              <w:pStyle w:val="TableText"/>
              <w:keepNext/>
              <w:rPr>
                <w:rFonts w:ascii="Cambria Math" w:hAnsi="Cambria Math"/>
              </w:rPr>
            </w:pPr>
            <w:r w:rsidRPr="008A52F7">
              <w:rPr>
                <w:rFonts w:ascii="Cambria Math" w:hAnsi="Cambria Math"/>
              </w:rPr>
              <w:t>—</w:t>
            </w:r>
          </w:p>
        </w:tc>
      </w:tr>
    </w:tbl>
    <w:p w14:paraId="4E78EAFE" w14:textId="1B6C51F4" w:rsidR="006730C9" w:rsidRDefault="006730C9" w:rsidP="006730C9">
      <w:pPr>
        <w:pStyle w:val="Caption"/>
      </w:pPr>
      <w:r>
        <w:t xml:space="preserve">Table </w:t>
      </w:r>
      <w:r>
        <w:rPr>
          <w:noProof/>
        </w:rPr>
        <w:t>2</w:t>
      </w:r>
      <w:r>
        <w:t>. Percentage error limits for polyphase meters carrying a single-phase load, but with balanced polyphase voltages applied to voltage circuits</w:t>
      </w:r>
    </w:p>
    <w:tbl>
      <w:tblPr>
        <w:tblStyle w:val="TableGrid"/>
        <w:tblW w:w="5000" w:type="pct"/>
        <w:tblCellMar>
          <w:left w:w="57" w:type="dxa"/>
          <w:right w:w="57" w:type="dxa"/>
        </w:tblCellMar>
        <w:tblLook w:val="0020" w:firstRow="1" w:lastRow="0" w:firstColumn="0" w:lastColumn="0" w:noHBand="0" w:noVBand="0"/>
      </w:tblPr>
      <w:tblGrid>
        <w:gridCol w:w="1980"/>
        <w:gridCol w:w="1843"/>
        <w:gridCol w:w="1561"/>
        <w:gridCol w:w="1276"/>
        <w:gridCol w:w="1054"/>
        <w:gridCol w:w="972"/>
        <w:gridCol w:w="1056"/>
      </w:tblGrid>
      <w:tr w:rsidR="006730C9" w:rsidRPr="00B17511" w14:paraId="60A53F5B" w14:textId="77777777" w:rsidTr="006730C9">
        <w:trPr>
          <w:trHeight w:val="283"/>
        </w:trPr>
        <w:tc>
          <w:tcPr>
            <w:tcW w:w="1962" w:type="pct"/>
            <w:gridSpan w:val="2"/>
            <w:shd w:val="clear" w:color="auto" w:fill="F0DCDC"/>
            <w:vAlign w:val="center"/>
          </w:tcPr>
          <w:p w14:paraId="0FDBEBD1" w14:textId="77777777" w:rsidR="006730C9" w:rsidRPr="00B17511" w:rsidRDefault="006730C9" w:rsidP="00A548E5">
            <w:pPr>
              <w:pStyle w:val="TableText"/>
            </w:pPr>
            <w:r>
              <w:t>Value of current</w:t>
            </w:r>
          </w:p>
        </w:tc>
        <w:tc>
          <w:tcPr>
            <w:tcW w:w="801" w:type="pct"/>
            <w:vMerge w:val="restart"/>
            <w:shd w:val="clear" w:color="auto" w:fill="F0DCDC"/>
            <w:vAlign w:val="center"/>
          </w:tcPr>
          <w:p w14:paraId="02F266BA" w14:textId="77777777" w:rsidR="006730C9" w:rsidRPr="00B17511" w:rsidRDefault="006730C9" w:rsidP="00A548E5">
            <w:pPr>
              <w:pStyle w:val="TableText"/>
            </w:pPr>
            <w:r w:rsidRPr="00B17511">
              <w:t>Power factor</w:t>
            </w:r>
          </w:p>
        </w:tc>
        <w:tc>
          <w:tcPr>
            <w:tcW w:w="2237" w:type="pct"/>
            <w:gridSpan w:val="4"/>
            <w:shd w:val="clear" w:color="auto" w:fill="F0DCDC"/>
            <w:vAlign w:val="center"/>
          </w:tcPr>
          <w:p w14:paraId="285BB115" w14:textId="77777777" w:rsidR="006730C9" w:rsidRPr="00B17511" w:rsidRDefault="006730C9" w:rsidP="00A548E5">
            <w:pPr>
              <w:pStyle w:val="TableText"/>
            </w:pPr>
            <w:r w:rsidRPr="00B17511">
              <w:t>Percentage error limits for meters of class</w:t>
            </w:r>
          </w:p>
        </w:tc>
      </w:tr>
      <w:tr w:rsidR="006730C9" w:rsidRPr="00B17511" w14:paraId="444E6AB3" w14:textId="77777777" w:rsidTr="006730C9">
        <w:trPr>
          <w:trHeight w:val="283"/>
        </w:trPr>
        <w:tc>
          <w:tcPr>
            <w:tcW w:w="1016" w:type="pct"/>
            <w:shd w:val="clear" w:color="auto" w:fill="F0DCDC"/>
            <w:vAlign w:val="center"/>
          </w:tcPr>
          <w:p w14:paraId="3E7C76E7" w14:textId="77777777" w:rsidR="006730C9" w:rsidRPr="00B17511" w:rsidRDefault="006730C9" w:rsidP="00A548E5">
            <w:pPr>
              <w:pStyle w:val="TableText"/>
            </w:pPr>
            <w:r>
              <w:t>For direct connected meters</w:t>
            </w:r>
          </w:p>
        </w:tc>
        <w:tc>
          <w:tcPr>
            <w:tcW w:w="946" w:type="pct"/>
            <w:shd w:val="clear" w:color="auto" w:fill="F0DCDC"/>
            <w:vAlign w:val="center"/>
          </w:tcPr>
          <w:p w14:paraId="47EA4486" w14:textId="77777777" w:rsidR="006730C9" w:rsidRPr="00B17511" w:rsidRDefault="006730C9" w:rsidP="00A548E5">
            <w:pPr>
              <w:pStyle w:val="TableText"/>
            </w:pPr>
            <w:r>
              <w:t>For transformer operated meters</w:t>
            </w:r>
          </w:p>
        </w:tc>
        <w:tc>
          <w:tcPr>
            <w:tcW w:w="801" w:type="pct"/>
            <w:vMerge/>
            <w:shd w:val="clear" w:color="auto" w:fill="F0DCDC"/>
            <w:vAlign w:val="center"/>
          </w:tcPr>
          <w:p w14:paraId="0153A2E6" w14:textId="77777777" w:rsidR="006730C9" w:rsidRPr="00B17511" w:rsidRDefault="006730C9" w:rsidP="00A548E5">
            <w:pPr>
              <w:pStyle w:val="TableText"/>
            </w:pPr>
          </w:p>
        </w:tc>
        <w:tc>
          <w:tcPr>
            <w:tcW w:w="655" w:type="pct"/>
            <w:shd w:val="clear" w:color="auto" w:fill="F0DCDC"/>
            <w:vAlign w:val="center"/>
          </w:tcPr>
          <w:p w14:paraId="009CF959" w14:textId="77777777" w:rsidR="006730C9" w:rsidRPr="00B17511" w:rsidRDefault="006730C9" w:rsidP="00A548E5">
            <w:pPr>
              <w:pStyle w:val="TableText"/>
            </w:pPr>
            <w:r>
              <w:t>0.2 S</w:t>
            </w:r>
          </w:p>
        </w:tc>
        <w:tc>
          <w:tcPr>
            <w:tcW w:w="541" w:type="pct"/>
            <w:shd w:val="clear" w:color="auto" w:fill="F0DCDC"/>
            <w:vAlign w:val="center"/>
          </w:tcPr>
          <w:p w14:paraId="211669C2" w14:textId="77777777" w:rsidR="006730C9" w:rsidRPr="00B17511" w:rsidRDefault="006730C9" w:rsidP="00A548E5">
            <w:pPr>
              <w:pStyle w:val="TableText"/>
            </w:pPr>
            <w:r>
              <w:t>0.5 S</w:t>
            </w:r>
          </w:p>
        </w:tc>
        <w:tc>
          <w:tcPr>
            <w:tcW w:w="499" w:type="pct"/>
            <w:shd w:val="clear" w:color="auto" w:fill="F0DCDC"/>
            <w:vAlign w:val="center"/>
          </w:tcPr>
          <w:p w14:paraId="73E3ECB5" w14:textId="77777777" w:rsidR="006730C9" w:rsidRPr="00B17511" w:rsidRDefault="006730C9" w:rsidP="00A548E5">
            <w:pPr>
              <w:pStyle w:val="TableText"/>
            </w:pPr>
            <w:r w:rsidRPr="00B17511">
              <w:t>1</w:t>
            </w:r>
          </w:p>
        </w:tc>
        <w:tc>
          <w:tcPr>
            <w:tcW w:w="542" w:type="pct"/>
            <w:shd w:val="clear" w:color="auto" w:fill="F0DCDC"/>
            <w:vAlign w:val="center"/>
          </w:tcPr>
          <w:p w14:paraId="09FCDA46" w14:textId="77777777" w:rsidR="006730C9" w:rsidRPr="00B17511" w:rsidRDefault="006730C9" w:rsidP="00A548E5">
            <w:pPr>
              <w:pStyle w:val="TableText"/>
            </w:pPr>
            <w:r>
              <w:t>2</w:t>
            </w:r>
          </w:p>
        </w:tc>
      </w:tr>
      <w:tr w:rsidR="006730C9" w:rsidRPr="00B17511" w14:paraId="6730134D" w14:textId="77777777" w:rsidTr="006730C9">
        <w:trPr>
          <w:trHeight w:val="283"/>
        </w:trPr>
        <w:tc>
          <w:tcPr>
            <w:tcW w:w="1016" w:type="pct"/>
            <w:vAlign w:val="center"/>
          </w:tcPr>
          <w:p w14:paraId="0F602282" w14:textId="77777777" w:rsidR="006730C9" w:rsidRPr="008A52F7" w:rsidRDefault="006730C9" w:rsidP="00A548E5">
            <w:pPr>
              <w:pStyle w:val="TableText"/>
              <w:rPr>
                <w:rFonts w:ascii="Cambria Math" w:hAnsi="Cambria Math"/>
              </w:rPr>
            </w:pPr>
            <w:r w:rsidRPr="008A52F7">
              <w:rPr>
                <w:rFonts w:ascii="Cambria Math" w:hAnsi="Cambria Math"/>
              </w:rPr>
              <w:t xml:space="preserve">0.1 </w:t>
            </w:r>
            <w:r w:rsidRPr="008A52F7">
              <w:rPr>
                <w:rFonts w:ascii="Cambria Math" w:hAnsi="Cambria Math"/>
                <w:i/>
              </w:rPr>
              <w:t>I</w:t>
            </w:r>
            <w:r w:rsidRPr="008A52F7">
              <w:rPr>
                <w:rFonts w:ascii="Cambria Math" w:hAnsi="Cambria Math"/>
                <w:vertAlign w:val="subscript"/>
              </w:rPr>
              <w:t>b</w:t>
            </w:r>
            <w:r w:rsidRPr="008A52F7">
              <w:rPr>
                <w:rFonts w:ascii="Cambria Math" w:hAnsi="Cambria Math"/>
              </w:rPr>
              <w:t xml:space="preserve"> ≤ </w:t>
            </w:r>
            <w:r w:rsidRPr="008A52F7">
              <w:rPr>
                <w:rFonts w:ascii="Cambria Math" w:hAnsi="Cambria Math"/>
                <w:i/>
              </w:rPr>
              <w:t>I</w:t>
            </w:r>
            <w:r w:rsidRPr="008A52F7">
              <w:rPr>
                <w:rFonts w:ascii="Cambria Math" w:hAnsi="Cambria Math"/>
              </w:rPr>
              <w:t xml:space="preserve"> ≤ </w:t>
            </w:r>
            <w:r w:rsidRPr="008A52F7">
              <w:rPr>
                <w:rFonts w:ascii="Cambria Math" w:hAnsi="Cambria Math"/>
                <w:i/>
              </w:rPr>
              <w:t>I</w:t>
            </w:r>
            <w:r w:rsidRPr="008A52F7">
              <w:rPr>
                <w:rFonts w:ascii="Cambria Math" w:hAnsi="Cambria Math"/>
                <w:vertAlign w:val="subscript"/>
              </w:rPr>
              <w:t>max</w:t>
            </w:r>
          </w:p>
        </w:tc>
        <w:tc>
          <w:tcPr>
            <w:tcW w:w="946" w:type="pct"/>
            <w:vAlign w:val="center"/>
          </w:tcPr>
          <w:p w14:paraId="761881A8" w14:textId="77777777" w:rsidR="006730C9" w:rsidRPr="008A52F7" w:rsidRDefault="006730C9" w:rsidP="00A548E5">
            <w:pPr>
              <w:pStyle w:val="TableText"/>
              <w:rPr>
                <w:rFonts w:ascii="Cambria Math" w:hAnsi="Cambria Math"/>
              </w:rPr>
            </w:pPr>
            <w:r w:rsidRPr="008A52F7">
              <w:rPr>
                <w:rFonts w:ascii="Cambria Math" w:hAnsi="Cambria Math"/>
              </w:rPr>
              <w:t xml:space="preserve">0.05 </w:t>
            </w:r>
            <w:r w:rsidRPr="008A52F7">
              <w:rPr>
                <w:rFonts w:ascii="Cambria Math" w:hAnsi="Cambria Math"/>
                <w:i/>
              </w:rPr>
              <w:t>I</w:t>
            </w:r>
            <w:r w:rsidRPr="008A52F7">
              <w:rPr>
                <w:rFonts w:ascii="Cambria Math" w:hAnsi="Cambria Math"/>
                <w:vertAlign w:val="subscript"/>
              </w:rPr>
              <w:t>n</w:t>
            </w:r>
            <w:r w:rsidRPr="008A52F7">
              <w:rPr>
                <w:rFonts w:ascii="Cambria Math" w:hAnsi="Cambria Math"/>
              </w:rPr>
              <w:t xml:space="preserve"> ≤ </w:t>
            </w:r>
            <w:r w:rsidRPr="008A52F7">
              <w:rPr>
                <w:rFonts w:ascii="Cambria Math" w:hAnsi="Cambria Math"/>
                <w:i/>
              </w:rPr>
              <w:t>I</w:t>
            </w:r>
            <w:r w:rsidRPr="008A52F7">
              <w:rPr>
                <w:rFonts w:ascii="Cambria Math" w:hAnsi="Cambria Math"/>
              </w:rPr>
              <w:t xml:space="preserve"> ≤ </w:t>
            </w:r>
            <w:r w:rsidRPr="008A52F7">
              <w:rPr>
                <w:rFonts w:ascii="Cambria Math" w:hAnsi="Cambria Math"/>
                <w:i/>
              </w:rPr>
              <w:t>I</w:t>
            </w:r>
            <w:r w:rsidRPr="008A52F7">
              <w:rPr>
                <w:rFonts w:ascii="Cambria Math" w:hAnsi="Cambria Math"/>
                <w:vertAlign w:val="subscript"/>
              </w:rPr>
              <w:t>max</w:t>
            </w:r>
          </w:p>
        </w:tc>
        <w:tc>
          <w:tcPr>
            <w:tcW w:w="801" w:type="pct"/>
            <w:vAlign w:val="center"/>
          </w:tcPr>
          <w:p w14:paraId="2532FF39" w14:textId="77777777" w:rsidR="006730C9" w:rsidRPr="008A52F7" w:rsidRDefault="006730C9" w:rsidP="00A548E5">
            <w:pPr>
              <w:pStyle w:val="TableText"/>
              <w:rPr>
                <w:rFonts w:ascii="Cambria Math" w:hAnsi="Cambria Math"/>
              </w:rPr>
            </w:pPr>
            <w:r w:rsidRPr="008A52F7">
              <w:rPr>
                <w:rFonts w:ascii="Cambria Math" w:hAnsi="Cambria Math"/>
              </w:rPr>
              <w:t>1</w:t>
            </w:r>
          </w:p>
        </w:tc>
        <w:tc>
          <w:tcPr>
            <w:tcW w:w="655" w:type="pct"/>
            <w:shd w:val="clear" w:color="auto" w:fill="auto"/>
            <w:vAlign w:val="center"/>
          </w:tcPr>
          <w:p w14:paraId="3075E47B" w14:textId="77777777" w:rsidR="006730C9" w:rsidRPr="008A52F7" w:rsidRDefault="006730C9" w:rsidP="00A548E5">
            <w:pPr>
              <w:pStyle w:val="TableText"/>
              <w:rPr>
                <w:rFonts w:ascii="Cambria Math" w:hAnsi="Cambria Math"/>
              </w:rPr>
            </w:pPr>
            <w:r w:rsidRPr="008A52F7">
              <w:rPr>
                <w:rFonts w:ascii="Cambria Math" w:hAnsi="Cambria Math"/>
              </w:rPr>
              <w:t>±</w:t>
            </w:r>
            <w:r>
              <w:rPr>
                <w:rFonts w:ascii="Cambria Math" w:hAnsi="Cambria Math"/>
              </w:rPr>
              <w:t>0.3</w:t>
            </w:r>
          </w:p>
        </w:tc>
        <w:tc>
          <w:tcPr>
            <w:tcW w:w="541" w:type="pct"/>
            <w:shd w:val="clear" w:color="auto" w:fill="auto"/>
            <w:vAlign w:val="center"/>
          </w:tcPr>
          <w:p w14:paraId="35CB140F" w14:textId="77777777" w:rsidR="006730C9" w:rsidRPr="008A52F7" w:rsidRDefault="006730C9" w:rsidP="00A548E5">
            <w:pPr>
              <w:pStyle w:val="TableText"/>
              <w:rPr>
                <w:rFonts w:ascii="Cambria Math" w:hAnsi="Cambria Math"/>
              </w:rPr>
            </w:pPr>
            <w:r>
              <w:rPr>
                <w:rFonts w:ascii="Cambria Math" w:hAnsi="Cambria Math"/>
              </w:rPr>
              <w:t>±0.6</w:t>
            </w:r>
          </w:p>
        </w:tc>
        <w:tc>
          <w:tcPr>
            <w:tcW w:w="499" w:type="pct"/>
            <w:shd w:val="clear" w:color="auto" w:fill="auto"/>
            <w:vAlign w:val="center"/>
          </w:tcPr>
          <w:p w14:paraId="4ACD40F7" w14:textId="77777777" w:rsidR="006730C9" w:rsidRPr="008A52F7" w:rsidRDefault="006730C9" w:rsidP="00A548E5">
            <w:pPr>
              <w:pStyle w:val="TableText"/>
              <w:rPr>
                <w:rFonts w:ascii="Cambria Math" w:hAnsi="Cambria Math"/>
              </w:rPr>
            </w:pPr>
            <w:r w:rsidRPr="008A52F7">
              <w:rPr>
                <w:rFonts w:ascii="Cambria Math" w:hAnsi="Cambria Math"/>
              </w:rPr>
              <w:t>±</w:t>
            </w:r>
            <w:r>
              <w:rPr>
                <w:rFonts w:ascii="Cambria Math" w:hAnsi="Cambria Math"/>
              </w:rPr>
              <w:t>2.0</w:t>
            </w:r>
          </w:p>
        </w:tc>
        <w:tc>
          <w:tcPr>
            <w:tcW w:w="542" w:type="pct"/>
            <w:shd w:val="clear" w:color="auto" w:fill="auto"/>
            <w:vAlign w:val="center"/>
          </w:tcPr>
          <w:p w14:paraId="3F422271" w14:textId="77777777" w:rsidR="006730C9" w:rsidRPr="008A52F7" w:rsidRDefault="006730C9" w:rsidP="00A548E5">
            <w:pPr>
              <w:pStyle w:val="TableText"/>
              <w:rPr>
                <w:rFonts w:ascii="Cambria Math" w:hAnsi="Cambria Math"/>
              </w:rPr>
            </w:pPr>
            <w:r w:rsidRPr="008A52F7">
              <w:rPr>
                <w:rFonts w:ascii="Cambria Math" w:hAnsi="Cambria Math"/>
              </w:rPr>
              <w:t>±</w:t>
            </w:r>
            <w:r>
              <w:rPr>
                <w:rFonts w:ascii="Cambria Math" w:hAnsi="Cambria Math"/>
              </w:rPr>
              <w:t>3</w:t>
            </w:r>
            <w:r w:rsidRPr="008A52F7">
              <w:rPr>
                <w:rFonts w:ascii="Cambria Math" w:hAnsi="Cambria Math"/>
              </w:rPr>
              <w:t>.</w:t>
            </w:r>
            <w:r>
              <w:rPr>
                <w:rFonts w:ascii="Cambria Math" w:hAnsi="Cambria Math"/>
              </w:rPr>
              <w:t>0</w:t>
            </w:r>
          </w:p>
        </w:tc>
      </w:tr>
      <w:tr w:rsidR="006730C9" w:rsidRPr="00B17511" w14:paraId="628A5FDD" w14:textId="77777777" w:rsidTr="006730C9">
        <w:trPr>
          <w:trHeight w:val="283"/>
        </w:trPr>
        <w:tc>
          <w:tcPr>
            <w:tcW w:w="1016" w:type="pct"/>
            <w:vAlign w:val="center"/>
          </w:tcPr>
          <w:p w14:paraId="3A617167" w14:textId="77777777" w:rsidR="006730C9" w:rsidRPr="008A52F7" w:rsidRDefault="006730C9" w:rsidP="00A548E5">
            <w:pPr>
              <w:pStyle w:val="TableText"/>
              <w:rPr>
                <w:rFonts w:ascii="Cambria Math" w:hAnsi="Cambria Math"/>
              </w:rPr>
            </w:pPr>
            <w:r w:rsidRPr="008A52F7">
              <w:rPr>
                <w:rFonts w:ascii="Cambria Math" w:hAnsi="Cambria Math"/>
              </w:rPr>
              <w:t xml:space="preserve">0.2 </w:t>
            </w:r>
            <w:r w:rsidRPr="008A52F7">
              <w:rPr>
                <w:rFonts w:ascii="Cambria Math" w:hAnsi="Cambria Math"/>
                <w:i/>
              </w:rPr>
              <w:t>I</w:t>
            </w:r>
            <w:r w:rsidRPr="008A52F7">
              <w:rPr>
                <w:rFonts w:ascii="Cambria Math" w:hAnsi="Cambria Math"/>
                <w:vertAlign w:val="subscript"/>
              </w:rPr>
              <w:t>b</w:t>
            </w:r>
            <w:r w:rsidRPr="008A52F7">
              <w:rPr>
                <w:rFonts w:ascii="Cambria Math" w:hAnsi="Cambria Math"/>
              </w:rPr>
              <w:t xml:space="preserve"> ≤ </w:t>
            </w:r>
            <w:r w:rsidRPr="008A52F7">
              <w:rPr>
                <w:rFonts w:ascii="Cambria Math" w:hAnsi="Cambria Math"/>
                <w:i/>
              </w:rPr>
              <w:t>I</w:t>
            </w:r>
            <w:r w:rsidRPr="008A52F7">
              <w:rPr>
                <w:rFonts w:ascii="Cambria Math" w:hAnsi="Cambria Math"/>
              </w:rPr>
              <w:t xml:space="preserve"> ≤ </w:t>
            </w:r>
            <w:r w:rsidRPr="008A52F7">
              <w:rPr>
                <w:rFonts w:ascii="Cambria Math" w:hAnsi="Cambria Math"/>
                <w:i/>
              </w:rPr>
              <w:t>I</w:t>
            </w:r>
            <w:r w:rsidRPr="008A52F7">
              <w:rPr>
                <w:rFonts w:ascii="Cambria Math" w:hAnsi="Cambria Math"/>
                <w:vertAlign w:val="subscript"/>
              </w:rPr>
              <w:t>max</w:t>
            </w:r>
          </w:p>
        </w:tc>
        <w:tc>
          <w:tcPr>
            <w:tcW w:w="946" w:type="pct"/>
            <w:vAlign w:val="center"/>
          </w:tcPr>
          <w:p w14:paraId="47483CA2" w14:textId="77777777" w:rsidR="006730C9" w:rsidRPr="008A52F7" w:rsidRDefault="006730C9" w:rsidP="00A548E5">
            <w:pPr>
              <w:pStyle w:val="TableText"/>
              <w:rPr>
                <w:rFonts w:ascii="Cambria Math" w:hAnsi="Cambria Math"/>
              </w:rPr>
            </w:pPr>
            <w:r w:rsidRPr="008A52F7">
              <w:rPr>
                <w:rFonts w:ascii="Cambria Math" w:hAnsi="Cambria Math"/>
              </w:rPr>
              <w:t xml:space="preserve">0.1 </w:t>
            </w:r>
            <w:r w:rsidRPr="008A52F7">
              <w:rPr>
                <w:rFonts w:ascii="Cambria Math" w:hAnsi="Cambria Math"/>
                <w:i/>
              </w:rPr>
              <w:t>I</w:t>
            </w:r>
            <w:r w:rsidRPr="008A52F7">
              <w:rPr>
                <w:rFonts w:ascii="Cambria Math" w:hAnsi="Cambria Math"/>
                <w:vertAlign w:val="subscript"/>
              </w:rPr>
              <w:t>n</w:t>
            </w:r>
            <w:r w:rsidRPr="008A52F7">
              <w:rPr>
                <w:rFonts w:ascii="Cambria Math" w:hAnsi="Cambria Math"/>
              </w:rPr>
              <w:t xml:space="preserve"> ≤ </w:t>
            </w:r>
            <w:r w:rsidRPr="008A52F7">
              <w:rPr>
                <w:rFonts w:ascii="Cambria Math" w:hAnsi="Cambria Math"/>
                <w:i/>
              </w:rPr>
              <w:t>I</w:t>
            </w:r>
            <w:r w:rsidRPr="008A52F7">
              <w:rPr>
                <w:rFonts w:ascii="Cambria Math" w:hAnsi="Cambria Math"/>
              </w:rPr>
              <w:t xml:space="preserve"> ≤ </w:t>
            </w:r>
            <w:r w:rsidRPr="008A52F7">
              <w:rPr>
                <w:rFonts w:ascii="Cambria Math" w:hAnsi="Cambria Math"/>
                <w:i/>
              </w:rPr>
              <w:t>I</w:t>
            </w:r>
            <w:r w:rsidRPr="008A52F7">
              <w:rPr>
                <w:rFonts w:ascii="Cambria Math" w:hAnsi="Cambria Math"/>
                <w:vertAlign w:val="subscript"/>
              </w:rPr>
              <w:t>max</w:t>
            </w:r>
          </w:p>
        </w:tc>
        <w:tc>
          <w:tcPr>
            <w:tcW w:w="801" w:type="pct"/>
            <w:vAlign w:val="center"/>
          </w:tcPr>
          <w:p w14:paraId="394ADFE1" w14:textId="77777777" w:rsidR="006730C9" w:rsidRPr="008A52F7" w:rsidRDefault="006730C9" w:rsidP="00A548E5">
            <w:pPr>
              <w:pStyle w:val="TableText"/>
              <w:rPr>
                <w:rFonts w:ascii="Cambria Math" w:hAnsi="Cambria Math"/>
              </w:rPr>
            </w:pPr>
            <w:r w:rsidRPr="008A52F7">
              <w:rPr>
                <w:rFonts w:ascii="Cambria Math" w:hAnsi="Cambria Math"/>
              </w:rPr>
              <w:t>0.5 inductive</w:t>
            </w:r>
          </w:p>
        </w:tc>
        <w:tc>
          <w:tcPr>
            <w:tcW w:w="655" w:type="pct"/>
            <w:shd w:val="clear" w:color="auto" w:fill="auto"/>
            <w:vAlign w:val="center"/>
          </w:tcPr>
          <w:p w14:paraId="087B8A17" w14:textId="77777777" w:rsidR="006730C9" w:rsidRPr="008A52F7" w:rsidRDefault="006730C9" w:rsidP="00A548E5">
            <w:pPr>
              <w:pStyle w:val="TableText"/>
              <w:rPr>
                <w:rFonts w:ascii="Cambria Math" w:hAnsi="Cambria Math"/>
              </w:rPr>
            </w:pPr>
            <w:r w:rsidRPr="008A52F7">
              <w:rPr>
                <w:rFonts w:ascii="Cambria Math" w:hAnsi="Cambria Math"/>
              </w:rPr>
              <w:t>±</w:t>
            </w:r>
            <w:r>
              <w:rPr>
                <w:rFonts w:ascii="Cambria Math" w:hAnsi="Cambria Math"/>
              </w:rPr>
              <w:t>0.4</w:t>
            </w:r>
          </w:p>
        </w:tc>
        <w:tc>
          <w:tcPr>
            <w:tcW w:w="541" w:type="pct"/>
            <w:shd w:val="clear" w:color="auto" w:fill="auto"/>
            <w:vAlign w:val="center"/>
          </w:tcPr>
          <w:p w14:paraId="066D558C" w14:textId="77777777" w:rsidR="006730C9" w:rsidRPr="008A52F7" w:rsidRDefault="006730C9" w:rsidP="00A548E5">
            <w:pPr>
              <w:pStyle w:val="TableText"/>
              <w:rPr>
                <w:rFonts w:ascii="Cambria Math" w:hAnsi="Cambria Math"/>
              </w:rPr>
            </w:pPr>
            <w:r w:rsidRPr="008A52F7">
              <w:rPr>
                <w:rFonts w:ascii="Cambria Math" w:hAnsi="Cambria Math"/>
              </w:rPr>
              <w:t>±</w:t>
            </w:r>
            <w:r>
              <w:rPr>
                <w:rFonts w:ascii="Cambria Math" w:hAnsi="Cambria Math"/>
              </w:rPr>
              <w:t>1.0</w:t>
            </w:r>
          </w:p>
        </w:tc>
        <w:tc>
          <w:tcPr>
            <w:tcW w:w="499" w:type="pct"/>
            <w:shd w:val="clear" w:color="auto" w:fill="auto"/>
            <w:vAlign w:val="center"/>
          </w:tcPr>
          <w:p w14:paraId="2B779063" w14:textId="77777777" w:rsidR="006730C9" w:rsidRPr="008A52F7" w:rsidRDefault="006730C9" w:rsidP="00A548E5">
            <w:pPr>
              <w:pStyle w:val="TableText"/>
              <w:rPr>
                <w:rFonts w:ascii="Cambria Math" w:hAnsi="Cambria Math"/>
              </w:rPr>
            </w:pPr>
            <w:r w:rsidRPr="008A52F7">
              <w:rPr>
                <w:rFonts w:ascii="Cambria Math" w:hAnsi="Cambria Math"/>
              </w:rPr>
              <w:t>±</w:t>
            </w:r>
            <w:r>
              <w:rPr>
                <w:rFonts w:ascii="Cambria Math" w:hAnsi="Cambria Math"/>
              </w:rPr>
              <w:t>2</w:t>
            </w:r>
            <w:r w:rsidRPr="008A52F7">
              <w:rPr>
                <w:rFonts w:ascii="Cambria Math" w:hAnsi="Cambria Math"/>
              </w:rPr>
              <w:t>.0</w:t>
            </w:r>
          </w:p>
        </w:tc>
        <w:tc>
          <w:tcPr>
            <w:tcW w:w="542" w:type="pct"/>
            <w:shd w:val="clear" w:color="auto" w:fill="auto"/>
            <w:vAlign w:val="center"/>
          </w:tcPr>
          <w:p w14:paraId="24EAE61B" w14:textId="77777777" w:rsidR="006730C9" w:rsidRPr="008A52F7" w:rsidRDefault="006730C9" w:rsidP="00A548E5">
            <w:pPr>
              <w:pStyle w:val="TableText"/>
              <w:rPr>
                <w:rFonts w:ascii="Cambria Math" w:hAnsi="Cambria Math"/>
              </w:rPr>
            </w:pPr>
            <w:r w:rsidRPr="008A52F7">
              <w:rPr>
                <w:rFonts w:ascii="Cambria Math" w:hAnsi="Cambria Math"/>
              </w:rPr>
              <w:t>±</w:t>
            </w:r>
            <w:r>
              <w:rPr>
                <w:rFonts w:ascii="Cambria Math" w:hAnsi="Cambria Math"/>
              </w:rPr>
              <w:t>3</w:t>
            </w:r>
            <w:r w:rsidRPr="008A52F7">
              <w:rPr>
                <w:rFonts w:ascii="Cambria Math" w:hAnsi="Cambria Math"/>
              </w:rPr>
              <w:t>.</w:t>
            </w:r>
            <w:r>
              <w:rPr>
                <w:rFonts w:ascii="Cambria Math" w:hAnsi="Cambria Math"/>
              </w:rPr>
              <w:t>0</w:t>
            </w:r>
          </w:p>
        </w:tc>
      </w:tr>
    </w:tbl>
    <w:p w14:paraId="16913692" w14:textId="77777777" w:rsidR="00FF3AE1" w:rsidRDefault="00FF3AE1">
      <w:pPr>
        <w:spacing w:after="200"/>
        <w:rPr>
          <w:rFonts w:asciiTheme="majorHAnsi" w:eastAsiaTheme="majorEastAsia" w:hAnsiTheme="majorHAnsi" w:cstheme="majorBidi"/>
          <w:b/>
          <w:bCs/>
          <w:color w:val="7C1222" w:themeColor="accent1" w:themeShade="BF"/>
          <w:sz w:val="28"/>
          <w:szCs w:val="28"/>
        </w:rPr>
      </w:pPr>
      <w:r>
        <w:br w:type="page"/>
      </w:r>
    </w:p>
    <w:p w14:paraId="44C8541B" w14:textId="51F3F1D4" w:rsidR="006A4658" w:rsidRDefault="006A4658" w:rsidP="006A4658">
      <w:pPr>
        <w:pStyle w:val="Heading1"/>
      </w:pPr>
      <w:bookmarkStart w:id="19" w:name="_Toc78473795"/>
      <w:r>
        <w:lastRenderedPageBreak/>
        <w:t xml:space="preserve">Assessment of </w:t>
      </w:r>
      <w:r w:rsidR="00262661">
        <w:t>R</w:t>
      </w:r>
      <w:r>
        <w:t>equirements in the Australian Standards</w:t>
      </w:r>
      <w:bookmarkEnd w:id="19"/>
    </w:p>
    <w:p w14:paraId="544F7A48" w14:textId="44B91BAF" w:rsidR="006A4658" w:rsidRDefault="00D4258D" w:rsidP="006A4658">
      <w:r>
        <w:t xml:space="preserve">Tables 3 to 9 specify </w:t>
      </w:r>
      <w:r w:rsidR="005D486B">
        <w:t xml:space="preserve">the </w:t>
      </w:r>
      <w:r w:rsidR="006A4658">
        <w:t>requirements in the Australia Standards</w:t>
      </w:r>
      <w:r w:rsidR="005D486B">
        <w:t xml:space="preserve"> that are assessed for pattern approval. The Australian Standards are</w:t>
      </w:r>
      <w:r w:rsidR="006A4658">
        <w:t>:</w:t>
      </w:r>
    </w:p>
    <w:p w14:paraId="0812FA45" w14:textId="77777777" w:rsidR="006A4658" w:rsidRDefault="006A4658" w:rsidP="00347BB7">
      <w:pPr>
        <w:pStyle w:val="ListParagraph"/>
        <w:numPr>
          <w:ilvl w:val="0"/>
          <w:numId w:val="17"/>
        </w:numPr>
      </w:pPr>
      <w:r>
        <w:t>AS 62052.11 (2018) [2]</w:t>
      </w:r>
    </w:p>
    <w:p w14:paraId="5B17E1F0" w14:textId="77777777" w:rsidR="006A4658" w:rsidRDefault="006A4658" w:rsidP="00347BB7">
      <w:pPr>
        <w:pStyle w:val="ListParagraph"/>
        <w:numPr>
          <w:ilvl w:val="0"/>
          <w:numId w:val="17"/>
        </w:numPr>
      </w:pPr>
      <w:r>
        <w:t>AS 62053.21 (2018) [3]</w:t>
      </w:r>
    </w:p>
    <w:p w14:paraId="3E4388DB" w14:textId="77777777" w:rsidR="006A4658" w:rsidRDefault="006A4658" w:rsidP="00347BB7">
      <w:pPr>
        <w:pStyle w:val="ListParagraph"/>
        <w:numPr>
          <w:ilvl w:val="0"/>
          <w:numId w:val="17"/>
        </w:numPr>
      </w:pPr>
      <w:r>
        <w:t>AS 62053.22 (2018) [4]</w:t>
      </w:r>
    </w:p>
    <w:p w14:paraId="79F8B0E9" w14:textId="25778590" w:rsidR="006A4658" w:rsidRDefault="006A4658" w:rsidP="006A4658">
      <w:r>
        <w:t xml:space="preserve">These standards </w:t>
      </w:r>
      <w:r w:rsidR="005D486B">
        <w:t xml:space="preserve">also </w:t>
      </w:r>
      <w:r>
        <w:t xml:space="preserve">make reference </w:t>
      </w:r>
      <w:r w:rsidR="002B26A7">
        <w:t xml:space="preserve">to </w:t>
      </w:r>
      <w:r>
        <w:t>AS 62052.31 (2017) [5] for safety requirements.</w:t>
      </w:r>
      <w:r w:rsidR="005D486B">
        <w:t xml:space="preserve"> </w:t>
      </w:r>
      <w:r>
        <w:t xml:space="preserve">However, the objective of pattern approval is to assess metrological performance, so NMI does not require full compliance with the Australian Standards. In particular, safety requirements that are not also related to metrology will not be required or assessed for pattern approval. </w:t>
      </w:r>
    </w:p>
    <w:p w14:paraId="46A60707" w14:textId="069CC2BF" w:rsidR="006A4658" w:rsidRDefault="006A4658" w:rsidP="006A4658">
      <w:pPr>
        <w:pStyle w:val="Caption"/>
        <w:keepNext/>
      </w:pPr>
      <w:r>
        <w:t xml:space="preserve">Table </w:t>
      </w:r>
      <w:r w:rsidR="00D4258D">
        <w:t>3</w:t>
      </w:r>
      <w:r>
        <w:t xml:space="preserve"> Terms and definitions, and, Standard electrical values</w:t>
      </w:r>
    </w:p>
    <w:tbl>
      <w:tblPr>
        <w:tblStyle w:val="TableGrid"/>
        <w:tblW w:w="0" w:type="auto"/>
        <w:tblCellMar>
          <w:top w:w="28" w:type="dxa"/>
          <w:bottom w:w="28" w:type="dxa"/>
        </w:tblCellMar>
        <w:tblLook w:val="04A0" w:firstRow="1" w:lastRow="0" w:firstColumn="1" w:lastColumn="0" w:noHBand="0" w:noVBand="1"/>
      </w:tblPr>
      <w:tblGrid>
        <w:gridCol w:w="2122"/>
        <w:gridCol w:w="6095"/>
        <w:gridCol w:w="1525"/>
      </w:tblGrid>
      <w:tr w:rsidR="006A4658" w14:paraId="4562E625" w14:textId="77777777" w:rsidTr="005E1F5E">
        <w:tc>
          <w:tcPr>
            <w:tcW w:w="2122" w:type="dxa"/>
            <w:shd w:val="clear" w:color="auto" w:fill="F0DCDC"/>
            <w:vAlign w:val="center"/>
          </w:tcPr>
          <w:p w14:paraId="6A686CCF" w14:textId="11F0F1D6" w:rsidR="006A4658" w:rsidRDefault="005D486B" w:rsidP="005D486B">
            <w:pPr>
              <w:spacing w:after="0"/>
            </w:pPr>
            <w:r>
              <w:t>AS 62052.11 [2</w:t>
            </w:r>
            <w:r w:rsidR="006A4658">
              <w:t>]</w:t>
            </w:r>
          </w:p>
        </w:tc>
        <w:tc>
          <w:tcPr>
            <w:tcW w:w="6095" w:type="dxa"/>
            <w:shd w:val="clear" w:color="auto" w:fill="F0DCDC"/>
            <w:vAlign w:val="center"/>
          </w:tcPr>
          <w:p w14:paraId="4323362A" w14:textId="77777777" w:rsidR="006A4658" w:rsidRDefault="006A4658" w:rsidP="005E1F5E">
            <w:pPr>
              <w:spacing w:after="0"/>
            </w:pPr>
            <w:r>
              <w:t>Description</w:t>
            </w:r>
          </w:p>
        </w:tc>
        <w:tc>
          <w:tcPr>
            <w:tcW w:w="1525" w:type="dxa"/>
            <w:shd w:val="clear" w:color="auto" w:fill="F0DCDC"/>
            <w:vAlign w:val="center"/>
          </w:tcPr>
          <w:p w14:paraId="38E1B17D" w14:textId="77777777" w:rsidR="006A4658" w:rsidRDefault="006A4658" w:rsidP="005E1F5E">
            <w:pPr>
              <w:spacing w:after="0"/>
            </w:pPr>
            <w:r>
              <w:t>Assessed?</w:t>
            </w:r>
          </w:p>
        </w:tc>
      </w:tr>
      <w:tr w:rsidR="006A4658" w14:paraId="4FC56401" w14:textId="77777777" w:rsidTr="005E1F5E">
        <w:tc>
          <w:tcPr>
            <w:tcW w:w="2122" w:type="dxa"/>
            <w:vAlign w:val="center"/>
          </w:tcPr>
          <w:p w14:paraId="7E23FC32" w14:textId="77777777" w:rsidR="006A4658" w:rsidRDefault="006A4658" w:rsidP="005E1F5E">
            <w:pPr>
              <w:spacing w:after="0"/>
            </w:pPr>
            <w:r>
              <w:t>3</w:t>
            </w:r>
          </w:p>
        </w:tc>
        <w:tc>
          <w:tcPr>
            <w:tcW w:w="6095" w:type="dxa"/>
            <w:vAlign w:val="center"/>
          </w:tcPr>
          <w:p w14:paraId="458EF370" w14:textId="77777777" w:rsidR="006A4658" w:rsidRDefault="006A4658" w:rsidP="005E1F5E">
            <w:pPr>
              <w:spacing w:after="0"/>
            </w:pPr>
            <w:r>
              <w:t>Terms and definitions</w:t>
            </w:r>
          </w:p>
        </w:tc>
        <w:tc>
          <w:tcPr>
            <w:tcW w:w="1525" w:type="dxa"/>
            <w:vAlign w:val="center"/>
          </w:tcPr>
          <w:p w14:paraId="181DF179" w14:textId="77777777" w:rsidR="006A4658" w:rsidRDefault="006A4658" w:rsidP="005E1F5E">
            <w:pPr>
              <w:spacing w:after="0"/>
            </w:pPr>
            <w:r>
              <w:t>Yes</w:t>
            </w:r>
          </w:p>
        </w:tc>
      </w:tr>
      <w:tr w:rsidR="006A4658" w14:paraId="23A5FF12" w14:textId="77777777" w:rsidTr="005E1F5E">
        <w:tc>
          <w:tcPr>
            <w:tcW w:w="2122" w:type="dxa"/>
            <w:vAlign w:val="center"/>
          </w:tcPr>
          <w:p w14:paraId="629A6B47" w14:textId="77777777" w:rsidR="006A4658" w:rsidRDefault="006A4658" w:rsidP="005E1F5E">
            <w:pPr>
              <w:spacing w:after="0"/>
            </w:pPr>
            <w:r>
              <w:t>4</w:t>
            </w:r>
          </w:p>
        </w:tc>
        <w:tc>
          <w:tcPr>
            <w:tcW w:w="6095" w:type="dxa"/>
            <w:vAlign w:val="center"/>
          </w:tcPr>
          <w:p w14:paraId="591278BB" w14:textId="77777777" w:rsidR="006A4658" w:rsidRPr="00201A80" w:rsidRDefault="006A4658" w:rsidP="005E1F5E">
            <w:pPr>
              <w:spacing w:after="0"/>
            </w:pPr>
            <w:r>
              <w:t>Standard electrical values</w:t>
            </w:r>
          </w:p>
        </w:tc>
        <w:tc>
          <w:tcPr>
            <w:tcW w:w="1525" w:type="dxa"/>
          </w:tcPr>
          <w:p w14:paraId="34AE7407" w14:textId="77777777" w:rsidR="006A4658" w:rsidRDefault="006A4658" w:rsidP="005E1F5E">
            <w:pPr>
              <w:spacing w:after="0"/>
            </w:pPr>
            <w:r>
              <w:t>Yes</w:t>
            </w:r>
          </w:p>
        </w:tc>
      </w:tr>
    </w:tbl>
    <w:p w14:paraId="323716CE" w14:textId="460FA76E" w:rsidR="006A4658" w:rsidRDefault="006A4658" w:rsidP="006A4658">
      <w:pPr>
        <w:pStyle w:val="Caption"/>
        <w:keepNext/>
      </w:pPr>
      <w:r>
        <w:t xml:space="preserve">Table </w:t>
      </w:r>
      <w:r w:rsidR="00D4258D">
        <w:t>4</w:t>
      </w:r>
      <w:r>
        <w:t xml:space="preserve"> Mechanical requirements and Tests</w:t>
      </w:r>
    </w:p>
    <w:tbl>
      <w:tblPr>
        <w:tblStyle w:val="TableGrid"/>
        <w:tblW w:w="0" w:type="auto"/>
        <w:tblCellMar>
          <w:top w:w="28" w:type="dxa"/>
          <w:bottom w:w="28" w:type="dxa"/>
        </w:tblCellMar>
        <w:tblLook w:val="04A0" w:firstRow="1" w:lastRow="0" w:firstColumn="1" w:lastColumn="0" w:noHBand="0" w:noVBand="1"/>
      </w:tblPr>
      <w:tblGrid>
        <w:gridCol w:w="2122"/>
        <w:gridCol w:w="6095"/>
        <w:gridCol w:w="1525"/>
      </w:tblGrid>
      <w:tr w:rsidR="005D486B" w14:paraId="09FE12DD" w14:textId="77777777" w:rsidTr="005E1F5E">
        <w:tc>
          <w:tcPr>
            <w:tcW w:w="2122" w:type="dxa"/>
            <w:shd w:val="clear" w:color="auto" w:fill="F0DCDC"/>
            <w:vAlign w:val="center"/>
          </w:tcPr>
          <w:p w14:paraId="06729855" w14:textId="0B90798F" w:rsidR="005D486B" w:rsidRDefault="005D486B" w:rsidP="005D486B">
            <w:pPr>
              <w:spacing w:after="0"/>
            </w:pPr>
            <w:r>
              <w:t>AS 62052.11 [2]</w:t>
            </w:r>
          </w:p>
        </w:tc>
        <w:tc>
          <w:tcPr>
            <w:tcW w:w="6095" w:type="dxa"/>
            <w:shd w:val="clear" w:color="auto" w:fill="F0DCDC"/>
            <w:vAlign w:val="center"/>
          </w:tcPr>
          <w:p w14:paraId="754AB0E5" w14:textId="77777777" w:rsidR="005D486B" w:rsidRDefault="005D486B" w:rsidP="005D486B">
            <w:pPr>
              <w:spacing w:after="0"/>
            </w:pPr>
            <w:r>
              <w:t>Description</w:t>
            </w:r>
          </w:p>
        </w:tc>
        <w:tc>
          <w:tcPr>
            <w:tcW w:w="1525" w:type="dxa"/>
            <w:shd w:val="clear" w:color="auto" w:fill="F0DCDC"/>
            <w:vAlign w:val="center"/>
          </w:tcPr>
          <w:p w14:paraId="4D712DFD" w14:textId="77777777" w:rsidR="005D486B" w:rsidRDefault="005D486B" w:rsidP="005D486B">
            <w:pPr>
              <w:spacing w:after="0"/>
            </w:pPr>
            <w:r>
              <w:t>Assessed?</w:t>
            </w:r>
          </w:p>
        </w:tc>
      </w:tr>
      <w:tr w:rsidR="006A4658" w14:paraId="136EDA9D" w14:textId="77777777" w:rsidTr="005E1F5E">
        <w:tc>
          <w:tcPr>
            <w:tcW w:w="2122" w:type="dxa"/>
            <w:vAlign w:val="center"/>
          </w:tcPr>
          <w:p w14:paraId="7326547D" w14:textId="77777777" w:rsidR="006A4658" w:rsidRDefault="006A4658" w:rsidP="005E1F5E">
            <w:pPr>
              <w:spacing w:after="0"/>
            </w:pPr>
            <w:r>
              <w:t>5.1</w:t>
            </w:r>
          </w:p>
        </w:tc>
        <w:tc>
          <w:tcPr>
            <w:tcW w:w="6095" w:type="dxa"/>
            <w:vAlign w:val="center"/>
          </w:tcPr>
          <w:p w14:paraId="2084460F" w14:textId="77777777" w:rsidR="006A4658" w:rsidRDefault="006A4658" w:rsidP="005E1F5E">
            <w:pPr>
              <w:spacing w:after="0"/>
            </w:pPr>
            <w:r>
              <w:t>General Mechanical Requirements</w:t>
            </w:r>
          </w:p>
        </w:tc>
        <w:tc>
          <w:tcPr>
            <w:tcW w:w="1525" w:type="dxa"/>
            <w:vAlign w:val="center"/>
          </w:tcPr>
          <w:p w14:paraId="0D8070AA" w14:textId="77777777" w:rsidR="006A4658" w:rsidRDefault="006A4658" w:rsidP="005E1F5E">
            <w:pPr>
              <w:spacing w:after="0"/>
            </w:pPr>
            <w:r>
              <w:t>Not Assessed</w:t>
            </w:r>
          </w:p>
        </w:tc>
      </w:tr>
      <w:tr w:rsidR="006A4658" w14:paraId="165C9EC5" w14:textId="77777777" w:rsidTr="005E1F5E">
        <w:tc>
          <w:tcPr>
            <w:tcW w:w="2122" w:type="dxa"/>
            <w:vAlign w:val="center"/>
          </w:tcPr>
          <w:p w14:paraId="1EC57CFF" w14:textId="77777777" w:rsidR="006A4658" w:rsidRDefault="006A4658" w:rsidP="005E1F5E">
            <w:pPr>
              <w:spacing w:after="0"/>
            </w:pPr>
            <w:r>
              <w:t>5.2.1</w:t>
            </w:r>
          </w:p>
        </w:tc>
        <w:tc>
          <w:tcPr>
            <w:tcW w:w="6095" w:type="dxa"/>
            <w:vAlign w:val="center"/>
          </w:tcPr>
          <w:p w14:paraId="195912D0" w14:textId="77777777" w:rsidR="006A4658" w:rsidRPr="00201A80" w:rsidRDefault="006A4658" w:rsidP="005E1F5E">
            <w:pPr>
              <w:spacing w:after="0"/>
              <w:rPr>
                <w:vertAlign w:val="superscript"/>
              </w:rPr>
            </w:pPr>
            <w:r>
              <w:t>Sealing</w:t>
            </w:r>
            <w:r>
              <w:rPr>
                <w:vertAlign w:val="superscript"/>
              </w:rPr>
              <w:t>1</w:t>
            </w:r>
          </w:p>
        </w:tc>
        <w:tc>
          <w:tcPr>
            <w:tcW w:w="1525" w:type="dxa"/>
          </w:tcPr>
          <w:p w14:paraId="093376AE" w14:textId="77777777" w:rsidR="006A4658" w:rsidRDefault="006A4658" w:rsidP="005E1F5E">
            <w:pPr>
              <w:spacing w:after="0"/>
            </w:pPr>
            <w:r w:rsidRPr="00F6423F">
              <w:t>Not Assessed</w:t>
            </w:r>
          </w:p>
        </w:tc>
      </w:tr>
      <w:tr w:rsidR="006A4658" w14:paraId="0A9CDBFB" w14:textId="77777777" w:rsidTr="005E1F5E">
        <w:tc>
          <w:tcPr>
            <w:tcW w:w="2122" w:type="dxa"/>
            <w:vAlign w:val="center"/>
          </w:tcPr>
          <w:p w14:paraId="7A43AFD3" w14:textId="77777777" w:rsidR="006A4658" w:rsidRDefault="006A4658" w:rsidP="005E1F5E">
            <w:pPr>
              <w:spacing w:after="0"/>
            </w:pPr>
            <w:r>
              <w:t>5.2.2.1</w:t>
            </w:r>
          </w:p>
        </w:tc>
        <w:tc>
          <w:tcPr>
            <w:tcW w:w="6095" w:type="dxa"/>
            <w:vAlign w:val="center"/>
          </w:tcPr>
          <w:p w14:paraId="11BD1DB4" w14:textId="77777777" w:rsidR="006A4658" w:rsidRDefault="006A4658" w:rsidP="005E1F5E">
            <w:pPr>
              <w:spacing w:after="0"/>
            </w:pPr>
            <w:r>
              <w:t>Spring Hammer Test</w:t>
            </w:r>
          </w:p>
        </w:tc>
        <w:tc>
          <w:tcPr>
            <w:tcW w:w="1525" w:type="dxa"/>
          </w:tcPr>
          <w:p w14:paraId="1F29332C" w14:textId="77777777" w:rsidR="006A4658" w:rsidRDefault="006A4658" w:rsidP="005E1F5E">
            <w:pPr>
              <w:spacing w:after="0"/>
            </w:pPr>
            <w:r w:rsidRPr="00F6423F">
              <w:t>Not Assessed</w:t>
            </w:r>
          </w:p>
        </w:tc>
      </w:tr>
      <w:tr w:rsidR="006A4658" w14:paraId="469472F9" w14:textId="77777777" w:rsidTr="005E1F5E">
        <w:tc>
          <w:tcPr>
            <w:tcW w:w="2122" w:type="dxa"/>
            <w:vAlign w:val="center"/>
          </w:tcPr>
          <w:p w14:paraId="3EAFDA1D" w14:textId="77777777" w:rsidR="006A4658" w:rsidRDefault="006A4658" w:rsidP="005E1F5E">
            <w:pPr>
              <w:spacing w:after="0"/>
            </w:pPr>
            <w:r>
              <w:t>5.2.2.2</w:t>
            </w:r>
          </w:p>
        </w:tc>
        <w:tc>
          <w:tcPr>
            <w:tcW w:w="6095" w:type="dxa"/>
            <w:vAlign w:val="center"/>
          </w:tcPr>
          <w:p w14:paraId="7B4F71A2" w14:textId="77777777" w:rsidR="006A4658" w:rsidRDefault="006A4658" w:rsidP="005E1F5E">
            <w:pPr>
              <w:spacing w:after="0"/>
            </w:pPr>
            <w:r>
              <w:t>Shock Test</w:t>
            </w:r>
          </w:p>
        </w:tc>
        <w:tc>
          <w:tcPr>
            <w:tcW w:w="1525" w:type="dxa"/>
            <w:vAlign w:val="center"/>
          </w:tcPr>
          <w:p w14:paraId="31C751A8" w14:textId="77777777" w:rsidR="006A4658" w:rsidRDefault="006A4658" w:rsidP="005E1F5E">
            <w:pPr>
              <w:spacing w:after="0"/>
            </w:pPr>
            <w:r>
              <w:t>Yes</w:t>
            </w:r>
          </w:p>
        </w:tc>
      </w:tr>
      <w:tr w:rsidR="006A4658" w14:paraId="7DFB8853" w14:textId="77777777" w:rsidTr="005E1F5E">
        <w:tc>
          <w:tcPr>
            <w:tcW w:w="2122" w:type="dxa"/>
            <w:vAlign w:val="center"/>
          </w:tcPr>
          <w:p w14:paraId="480B853C" w14:textId="77777777" w:rsidR="006A4658" w:rsidRDefault="006A4658" w:rsidP="005E1F5E">
            <w:pPr>
              <w:spacing w:after="0"/>
            </w:pPr>
            <w:r>
              <w:t>5.2.2.3</w:t>
            </w:r>
          </w:p>
        </w:tc>
        <w:tc>
          <w:tcPr>
            <w:tcW w:w="6095" w:type="dxa"/>
            <w:vAlign w:val="center"/>
          </w:tcPr>
          <w:p w14:paraId="7D033346" w14:textId="77777777" w:rsidR="006A4658" w:rsidRDefault="006A4658" w:rsidP="005E1F5E">
            <w:pPr>
              <w:spacing w:after="0"/>
            </w:pPr>
            <w:r>
              <w:t>Vibration Test</w:t>
            </w:r>
          </w:p>
        </w:tc>
        <w:tc>
          <w:tcPr>
            <w:tcW w:w="1525" w:type="dxa"/>
          </w:tcPr>
          <w:p w14:paraId="7ED2F485" w14:textId="77777777" w:rsidR="006A4658" w:rsidRDefault="006A4658" w:rsidP="005E1F5E">
            <w:pPr>
              <w:spacing w:after="0"/>
            </w:pPr>
            <w:r w:rsidRPr="00CE4AEC">
              <w:t>Yes</w:t>
            </w:r>
          </w:p>
        </w:tc>
      </w:tr>
      <w:tr w:rsidR="006A4658" w14:paraId="29EAC031" w14:textId="77777777" w:rsidTr="005E1F5E">
        <w:tc>
          <w:tcPr>
            <w:tcW w:w="2122" w:type="dxa"/>
            <w:vAlign w:val="center"/>
          </w:tcPr>
          <w:p w14:paraId="35A9DBA7" w14:textId="77777777" w:rsidR="006A4658" w:rsidRDefault="006A4658" w:rsidP="005E1F5E">
            <w:pPr>
              <w:spacing w:after="0"/>
            </w:pPr>
            <w:r>
              <w:t>5.3</w:t>
            </w:r>
          </w:p>
        </w:tc>
        <w:tc>
          <w:tcPr>
            <w:tcW w:w="6095" w:type="dxa"/>
            <w:vAlign w:val="center"/>
          </w:tcPr>
          <w:p w14:paraId="505C671D" w14:textId="77777777" w:rsidR="006A4658" w:rsidRDefault="006A4658" w:rsidP="005E1F5E">
            <w:pPr>
              <w:spacing w:after="0"/>
            </w:pPr>
            <w:r>
              <w:t>Window</w:t>
            </w:r>
          </w:p>
        </w:tc>
        <w:tc>
          <w:tcPr>
            <w:tcW w:w="1525" w:type="dxa"/>
          </w:tcPr>
          <w:p w14:paraId="03ECAE63" w14:textId="77777777" w:rsidR="006A4658" w:rsidRDefault="006A4658" w:rsidP="005E1F5E">
            <w:pPr>
              <w:spacing w:after="0"/>
            </w:pPr>
            <w:r w:rsidRPr="00CE4AEC">
              <w:t>Yes</w:t>
            </w:r>
          </w:p>
        </w:tc>
      </w:tr>
      <w:tr w:rsidR="006A4658" w14:paraId="4CE97AA4" w14:textId="77777777" w:rsidTr="005E1F5E">
        <w:tc>
          <w:tcPr>
            <w:tcW w:w="2122" w:type="dxa"/>
            <w:vAlign w:val="center"/>
          </w:tcPr>
          <w:p w14:paraId="2DDBE26E" w14:textId="77777777" w:rsidR="006A4658" w:rsidRDefault="006A4658" w:rsidP="005E1F5E">
            <w:pPr>
              <w:spacing w:after="0"/>
            </w:pPr>
            <w:r>
              <w:t>5.4</w:t>
            </w:r>
          </w:p>
        </w:tc>
        <w:tc>
          <w:tcPr>
            <w:tcW w:w="6095" w:type="dxa"/>
            <w:vAlign w:val="center"/>
          </w:tcPr>
          <w:p w14:paraId="678A6C80" w14:textId="77777777" w:rsidR="006A4658" w:rsidRDefault="006A4658" w:rsidP="005E1F5E">
            <w:pPr>
              <w:spacing w:after="0"/>
            </w:pPr>
            <w:r w:rsidRPr="00E47FB1">
              <w:t>Terminals - Terminal block(s) - Protective earth terminal</w:t>
            </w:r>
          </w:p>
        </w:tc>
        <w:tc>
          <w:tcPr>
            <w:tcW w:w="1525" w:type="dxa"/>
          </w:tcPr>
          <w:p w14:paraId="447162D6" w14:textId="77777777" w:rsidR="006A4658" w:rsidRDefault="006A4658" w:rsidP="005E1F5E">
            <w:pPr>
              <w:spacing w:after="0"/>
            </w:pPr>
            <w:r w:rsidRPr="00BC6805">
              <w:t>Not Assessed</w:t>
            </w:r>
          </w:p>
        </w:tc>
      </w:tr>
      <w:tr w:rsidR="006A4658" w14:paraId="0D1E7C79" w14:textId="77777777" w:rsidTr="005E1F5E">
        <w:tc>
          <w:tcPr>
            <w:tcW w:w="2122" w:type="dxa"/>
            <w:vAlign w:val="center"/>
          </w:tcPr>
          <w:p w14:paraId="3412C9AF" w14:textId="77777777" w:rsidR="006A4658" w:rsidRDefault="006A4658" w:rsidP="005E1F5E">
            <w:pPr>
              <w:spacing w:after="0"/>
            </w:pPr>
            <w:r>
              <w:t>5.5</w:t>
            </w:r>
          </w:p>
        </w:tc>
        <w:tc>
          <w:tcPr>
            <w:tcW w:w="6095" w:type="dxa"/>
            <w:vAlign w:val="center"/>
          </w:tcPr>
          <w:p w14:paraId="4FD00BD3" w14:textId="77777777" w:rsidR="006A4658" w:rsidRDefault="006A4658" w:rsidP="005E1F5E">
            <w:pPr>
              <w:spacing w:after="0"/>
            </w:pPr>
            <w:r w:rsidRPr="00E47FB1">
              <w:t xml:space="preserve">Terminal </w:t>
            </w:r>
            <w:r>
              <w:t>cover</w:t>
            </w:r>
            <w:r w:rsidRPr="00E47FB1">
              <w:t>(s)</w:t>
            </w:r>
          </w:p>
        </w:tc>
        <w:tc>
          <w:tcPr>
            <w:tcW w:w="1525" w:type="dxa"/>
          </w:tcPr>
          <w:p w14:paraId="7B6281E7" w14:textId="77777777" w:rsidR="006A4658" w:rsidRDefault="006A4658" w:rsidP="005E1F5E">
            <w:pPr>
              <w:spacing w:after="0"/>
            </w:pPr>
            <w:r w:rsidRPr="00BC6805">
              <w:t>Not Assessed</w:t>
            </w:r>
          </w:p>
        </w:tc>
      </w:tr>
      <w:tr w:rsidR="006A4658" w14:paraId="6FBBC0D9" w14:textId="77777777" w:rsidTr="005E1F5E">
        <w:tc>
          <w:tcPr>
            <w:tcW w:w="2122" w:type="dxa"/>
            <w:vAlign w:val="center"/>
          </w:tcPr>
          <w:p w14:paraId="6599E3AE" w14:textId="77777777" w:rsidR="006A4658" w:rsidRDefault="006A4658" w:rsidP="005E1F5E">
            <w:pPr>
              <w:spacing w:after="0"/>
            </w:pPr>
            <w:r>
              <w:t>5.6</w:t>
            </w:r>
          </w:p>
        </w:tc>
        <w:tc>
          <w:tcPr>
            <w:tcW w:w="6095" w:type="dxa"/>
            <w:vAlign w:val="center"/>
          </w:tcPr>
          <w:p w14:paraId="5BC06D1D" w14:textId="77777777" w:rsidR="006A4658" w:rsidRDefault="006A4658" w:rsidP="005E1F5E">
            <w:pPr>
              <w:spacing w:after="0"/>
            </w:pPr>
            <w:r w:rsidRPr="00E47FB1">
              <w:t>Clearance and creepage distances</w:t>
            </w:r>
          </w:p>
        </w:tc>
        <w:tc>
          <w:tcPr>
            <w:tcW w:w="1525" w:type="dxa"/>
          </w:tcPr>
          <w:p w14:paraId="0026E8C0" w14:textId="77777777" w:rsidR="006A4658" w:rsidRDefault="006A4658" w:rsidP="005E1F5E">
            <w:pPr>
              <w:spacing w:after="0"/>
            </w:pPr>
            <w:r w:rsidRPr="00BC6805">
              <w:t>Not Assessed</w:t>
            </w:r>
          </w:p>
        </w:tc>
      </w:tr>
      <w:tr w:rsidR="006A4658" w14:paraId="198D051B" w14:textId="77777777" w:rsidTr="005E1F5E">
        <w:tc>
          <w:tcPr>
            <w:tcW w:w="2122" w:type="dxa"/>
            <w:vAlign w:val="center"/>
          </w:tcPr>
          <w:p w14:paraId="10E24065" w14:textId="77777777" w:rsidR="006A4658" w:rsidRDefault="006A4658" w:rsidP="005E1F5E">
            <w:pPr>
              <w:spacing w:after="0"/>
            </w:pPr>
            <w:r>
              <w:t>5.7</w:t>
            </w:r>
          </w:p>
        </w:tc>
        <w:tc>
          <w:tcPr>
            <w:tcW w:w="6095" w:type="dxa"/>
            <w:vAlign w:val="center"/>
          </w:tcPr>
          <w:p w14:paraId="52CD126B" w14:textId="77777777" w:rsidR="006A4658" w:rsidRDefault="006A4658" w:rsidP="005E1F5E">
            <w:pPr>
              <w:spacing w:after="0"/>
            </w:pPr>
            <w:r w:rsidRPr="00E47FB1">
              <w:t>Insulating encased meter of protective class II</w:t>
            </w:r>
          </w:p>
        </w:tc>
        <w:tc>
          <w:tcPr>
            <w:tcW w:w="1525" w:type="dxa"/>
          </w:tcPr>
          <w:p w14:paraId="204887C3" w14:textId="77777777" w:rsidR="006A4658" w:rsidRDefault="006A4658" w:rsidP="005E1F5E">
            <w:pPr>
              <w:spacing w:after="0"/>
            </w:pPr>
            <w:r w:rsidRPr="00BC6805">
              <w:t>Not Assessed</w:t>
            </w:r>
          </w:p>
        </w:tc>
      </w:tr>
      <w:tr w:rsidR="006A4658" w14:paraId="22269AB9" w14:textId="77777777" w:rsidTr="005E1F5E">
        <w:tc>
          <w:tcPr>
            <w:tcW w:w="2122" w:type="dxa"/>
            <w:vAlign w:val="center"/>
          </w:tcPr>
          <w:p w14:paraId="5209984D" w14:textId="77777777" w:rsidR="006A4658" w:rsidRDefault="006A4658" w:rsidP="005E1F5E">
            <w:pPr>
              <w:spacing w:after="0"/>
            </w:pPr>
            <w:r>
              <w:t>5.8</w:t>
            </w:r>
          </w:p>
        </w:tc>
        <w:tc>
          <w:tcPr>
            <w:tcW w:w="6095" w:type="dxa"/>
            <w:vAlign w:val="center"/>
          </w:tcPr>
          <w:p w14:paraId="5524A45A" w14:textId="77777777" w:rsidR="006A4658" w:rsidRDefault="006A4658" w:rsidP="005E1F5E">
            <w:pPr>
              <w:spacing w:after="0"/>
            </w:pPr>
            <w:r w:rsidRPr="00E47FB1">
              <w:t>Resistance to heat and fire</w:t>
            </w:r>
          </w:p>
        </w:tc>
        <w:tc>
          <w:tcPr>
            <w:tcW w:w="1525" w:type="dxa"/>
          </w:tcPr>
          <w:p w14:paraId="79C1FD7D" w14:textId="77777777" w:rsidR="006A4658" w:rsidRDefault="006A4658" w:rsidP="005E1F5E">
            <w:pPr>
              <w:spacing w:after="0"/>
            </w:pPr>
            <w:r w:rsidRPr="00BC6805">
              <w:t>Not Assessed</w:t>
            </w:r>
          </w:p>
        </w:tc>
      </w:tr>
      <w:tr w:rsidR="006A4658" w14:paraId="4099215F" w14:textId="77777777" w:rsidTr="005E1F5E">
        <w:tc>
          <w:tcPr>
            <w:tcW w:w="2122" w:type="dxa"/>
            <w:vAlign w:val="center"/>
          </w:tcPr>
          <w:p w14:paraId="3E0A7DDA" w14:textId="77777777" w:rsidR="006A4658" w:rsidRPr="00900E8E" w:rsidRDefault="006A4658" w:rsidP="005E1F5E">
            <w:pPr>
              <w:spacing w:after="0"/>
            </w:pPr>
            <w:r w:rsidRPr="00900E8E">
              <w:t>5.9</w:t>
            </w:r>
          </w:p>
        </w:tc>
        <w:tc>
          <w:tcPr>
            <w:tcW w:w="6095" w:type="dxa"/>
            <w:vAlign w:val="center"/>
          </w:tcPr>
          <w:p w14:paraId="338AFB73" w14:textId="77777777" w:rsidR="006A4658" w:rsidRPr="00900E8E" w:rsidRDefault="006A4658" w:rsidP="005E1F5E">
            <w:pPr>
              <w:spacing w:after="0"/>
            </w:pPr>
            <w:r w:rsidRPr="00900E8E">
              <w:t>Protection against penetration of dust and water</w:t>
            </w:r>
          </w:p>
        </w:tc>
        <w:tc>
          <w:tcPr>
            <w:tcW w:w="1525" w:type="dxa"/>
          </w:tcPr>
          <w:p w14:paraId="75DD29CA" w14:textId="77777777" w:rsidR="006A4658" w:rsidRPr="00900E8E" w:rsidRDefault="006A4658" w:rsidP="005E1F5E">
            <w:pPr>
              <w:spacing w:after="0"/>
            </w:pPr>
            <w:r w:rsidRPr="00900E8E">
              <w:t>Not Assessed</w:t>
            </w:r>
          </w:p>
        </w:tc>
      </w:tr>
      <w:tr w:rsidR="006A4658" w14:paraId="7BFAF2C5" w14:textId="77777777" w:rsidTr="005E1F5E">
        <w:tc>
          <w:tcPr>
            <w:tcW w:w="2122" w:type="dxa"/>
            <w:vAlign w:val="center"/>
          </w:tcPr>
          <w:p w14:paraId="4DA1FE12" w14:textId="77777777" w:rsidR="006A4658" w:rsidRDefault="006A4658" w:rsidP="005E1F5E">
            <w:pPr>
              <w:spacing w:after="0"/>
            </w:pPr>
            <w:r>
              <w:t>5.10</w:t>
            </w:r>
          </w:p>
        </w:tc>
        <w:tc>
          <w:tcPr>
            <w:tcW w:w="6095" w:type="dxa"/>
            <w:vAlign w:val="center"/>
          </w:tcPr>
          <w:p w14:paraId="5A9CDA18" w14:textId="77777777" w:rsidR="006A4658" w:rsidRDefault="006A4658" w:rsidP="005E1F5E">
            <w:pPr>
              <w:spacing w:after="0"/>
            </w:pPr>
            <w:r>
              <w:t>Display of measured values</w:t>
            </w:r>
          </w:p>
        </w:tc>
        <w:tc>
          <w:tcPr>
            <w:tcW w:w="1525" w:type="dxa"/>
          </w:tcPr>
          <w:p w14:paraId="4E67B797" w14:textId="77777777" w:rsidR="006A4658" w:rsidRDefault="006A4658" w:rsidP="005E1F5E">
            <w:pPr>
              <w:spacing w:after="0"/>
            </w:pPr>
            <w:r w:rsidRPr="00623D39">
              <w:t>Yes</w:t>
            </w:r>
          </w:p>
        </w:tc>
      </w:tr>
      <w:tr w:rsidR="006A4658" w14:paraId="7C171DAA" w14:textId="77777777" w:rsidTr="005E1F5E">
        <w:tc>
          <w:tcPr>
            <w:tcW w:w="2122" w:type="dxa"/>
            <w:vAlign w:val="center"/>
          </w:tcPr>
          <w:p w14:paraId="65406461" w14:textId="77777777" w:rsidR="006A4658" w:rsidRDefault="006A4658" w:rsidP="005E1F5E">
            <w:pPr>
              <w:spacing w:after="0"/>
            </w:pPr>
            <w:r>
              <w:t>5.11</w:t>
            </w:r>
          </w:p>
        </w:tc>
        <w:tc>
          <w:tcPr>
            <w:tcW w:w="6095" w:type="dxa"/>
            <w:vAlign w:val="center"/>
          </w:tcPr>
          <w:p w14:paraId="7257BDF8" w14:textId="77777777" w:rsidR="006A4658" w:rsidRDefault="006A4658" w:rsidP="005E1F5E">
            <w:pPr>
              <w:spacing w:after="0"/>
            </w:pPr>
            <w:r>
              <w:t>Output device</w:t>
            </w:r>
          </w:p>
        </w:tc>
        <w:tc>
          <w:tcPr>
            <w:tcW w:w="1525" w:type="dxa"/>
          </w:tcPr>
          <w:p w14:paraId="2B1FC00B" w14:textId="77777777" w:rsidR="006A4658" w:rsidRDefault="006A4658" w:rsidP="005E1F5E">
            <w:pPr>
              <w:spacing w:after="0"/>
            </w:pPr>
            <w:r w:rsidRPr="00623D39">
              <w:t>Yes</w:t>
            </w:r>
          </w:p>
        </w:tc>
      </w:tr>
      <w:tr w:rsidR="006A4658" w14:paraId="4DCBB9ED" w14:textId="77777777" w:rsidTr="005E1F5E">
        <w:tc>
          <w:tcPr>
            <w:tcW w:w="2122" w:type="dxa"/>
            <w:vAlign w:val="center"/>
          </w:tcPr>
          <w:p w14:paraId="1DDA0164" w14:textId="5A0D19B9" w:rsidR="006A4658" w:rsidRDefault="006A4658" w:rsidP="005E1F5E">
            <w:pPr>
              <w:spacing w:after="0"/>
            </w:pPr>
            <w:r>
              <w:t>5.12</w:t>
            </w:r>
            <w:r w:rsidR="00755292">
              <w:t>.1</w:t>
            </w:r>
          </w:p>
        </w:tc>
        <w:tc>
          <w:tcPr>
            <w:tcW w:w="6095" w:type="dxa"/>
            <w:vAlign w:val="center"/>
          </w:tcPr>
          <w:p w14:paraId="4F740BE7" w14:textId="53C8A4AF" w:rsidR="006A4658" w:rsidRPr="00201A80" w:rsidRDefault="006A4658" w:rsidP="005E1F5E">
            <w:pPr>
              <w:spacing w:after="0"/>
              <w:rPr>
                <w:vertAlign w:val="superscript"/>
              </w:rPr>
            </w:pPr>
            <w:r>
              <w:t>Marking of meter</w:t>
            </w:r>
            <w:r w:rsidR="00755292">
              <w:t xml:space="preserve"> – Name plates</w:t>
            </w:r>
            <w:r>
              <w:rPr>
                <w:vertAlign w:val="superscript"/>
              </w:rPr>
              <w:t>2</w:t>
            </w:r>
          </w:p>
        </w:tc>
        <w:tc>
          <w:tcPr>
            <w:tcW w:w="1525" w:type="dxa"/>
          </w:tcPr>
          <w:p w14:paraId="31F98E10" w14:textId="276B4A46" w:rsidR="006A4658" w:rsidRPr="00755292" w:rsidRDefault="006A4658" w:rsidP="005E1F5E">
            <w:pPr>
              <w:spacing w:after="0"/>
            </w:pPr>
            <w:r w:rsidRPr="00623D39">
              <w:t>Yes</w:t>
            </w:r>
          </w:p>
        </w:tc>
      </w:tr>
      <w:tr w:rsidR="00755292" w14:paraId="38D64EEF" w14:textId="77777777" w:rsidTr="005E1F5E">
        <w:tc>
          <w:tcPr>
            <w:tcW w:w="2122" w:type="dxa"/>
            <w:vAlign w:val="center"/>
          </w:tcPr>
          <w:p w14:paraId="727DB856" w14:textId="109EFA39" w:rsidR="00755292" w:rsidRDefault="00755292" w:rsidP="005E1F5E">
            <w:pPr>
              <w:spacing w:after="0"/>
            </w:pPr>
            <w:r>
              <w:t>5.12.2</w:t>
            </w:r>
          </w:p>
        </w:tc>
        <w:tc>
          <w:tcPr>
            <w:tcW w:w="6095" w:type="dxa"/>
            <w:vAlign w:val="center"/>
          </w:tcPr>
          <w:p w14:paraId="5C15ADF5" w14:textId="2C7E6CE0" w:rsidR="00755292" w:rsidRDefault="00755292" w:rsidP="005E1F5E">
            <w:pPr>
              <w:spacing w:after="0"/>
            </w:pPr>
            <w:r>
              <w:t>Marking of meter – Connection diagrams and terminal marking</w:t>
            </w:r>
          </w:p>
        </w:tc>
        <w:tc>
          <w:tcPr>
            <w:tcW w:w="1525" w:type="dxa"/>
          </w:tcPr>
          <w:p w14:paraId="46BF6D70" w14:textId="37B8DBD1" w:rsidR="00755292" w:rsidRPr="00623D39" w:rsidRDefault="00755292" w:rsidP="005E1F5E">
            <w:pPr>
              <w:spacing w:after="0"/>
            </w:pPr>
            <w:r>
              <w:t>Not Assessed</w:t>
            </w:r>
          </w:p>
        </w:tc>
      </w:tr>
    </w:tbl>
    <w:p w14:paraId="1BA8A931" w14:textId="77777777" w:rsidR="006A4658" w:rsidRDefault="006A4658" w:rsidP="006A4658">
      <w:pPr>
        <w:pStyle w:val="Note"/>
      </w:pPr>
      <w:r>
        <w:t>Note 1:</w:t>
      </w:r>
      <w:r>
        <w:tab/>
        <w:t>Refer to clause 3.6 of this document.</w:t>
      </w:r>
    </w:p>
    <w:p w14:paraId="426BF4D7" w14:textId="7A56DB03" w:rsidR="006A4658" w:rsidRDefault="006A4658" w:rsidP="00D4258D">
      <w:pPr>
        <w:pStyle w:val="Note"/>
      </w:pPr>
      <w:r>
        <w:t>Note 2:</w:t>
      </w:r>
      <w:r>
        <w:tab/>
        <w:t xml:space="preserve">Safety related markings are not assessed. Also refer to clause 3.4 of this document. </w:t>
      </w:r>
    </w:p>
    <w:p w14:paraId="429CA682" w14:textId="7D10F20E" w:rsidR="006A4658" w:rsidRDefault="006A4658" w:rsidP="006A4658">
      <w:pPr>
        <w:pStyle w:val="Caption"/>
        <w:keepNext/>
      </w:pPr>
      <w:r>
        <w:t xml:space="preserve">Table </w:t>
      </w:r>
      <w:r w:rsidR="00D4258D">
        <w:t>5</w:t>
      </w:r>
      <w:r>
        <w:t xml:space="preserve"> Climatic Conditions</w:t>
      </w:r>
    </w:p>
    <w:tbl>
      <w:tblPr>
        <w:tblStyle w:val="TableGrid"/>
        <w:tblW w:w="0" w:type="auto"/>
        <w:tblCellMar>
          <w:top w:w="28" w:type="dxa"/>
          <w:bottom w:w="28" w:type="dxa"/>
        </w:tblCellMar>
        <w:tblLook w:val="04A0" w:firstRow="1" w:lastRow="0" w:firstColumn="1" w:lastColumn="0" w:noHBand="0" w:noVBand="1"/>
      </w:tblPr>
      <w:tblGrid>
        <w:gridCol w:w="2122"/>
        <w:gridCol w:w="6095"/>
        <w:gridCol w:w="1525"/>
      </w:tblGrid>
      <w:tr w:rsidR="005D486B" w14:paraId="214BE942" w14:textId="77777777" w:rsidTr="005E1F5E">
        <w:tc>
          <w:tcPr>
            <w:tcW w:w="2122" w:type="dxa"/>
            <w:shd w:val="clear" w:color="auto" w:fill="F0DCDC"/>
            <w:vAlign w:val="center"/>
          </w:tcPr>
          <w:p w14:paraId="0EACB13B" w14:textId="2CAD51CF" w:rsidR="005D486B" w:rsidRDefault="005D486B" w:rsidP="005D486B">
            <w:pPr>
              <w:spacing w:after="0"/>
            </w:pPr>
            <w:r>
              <w:t>AS 62052.11 [2]</w:t>
            </w:r>
          </w:p>
        </w:tc>
        <w:tc>
          <w:tcPr>
            <w:tcW w:w="6095" w:type="dxa"/>
            <w:shd w:val="clear" w:color="auto" w:fill="F0DCDC"/>
            <w:vAlign w:val="center"/>
          </w:tcPr>
          <w:p w14:paraId="1217DC68" w14:textId="77777777" w:rsidR="005D486B" w:rsidRDefault="005D486B" w:rsidP="005D486B">
            <w:pPr>
              <w:spacing w:after="0"/>
            </w:pPr>
            <w:r>
              <w:t>Description</w:t>
            </w:r>
          </w:p>
        </w:tc>
        <w:tc>
          <w:tcPr>
            <w:tcW w:w="1525" w:type="dxa"/>
            <w:shd w:val="clear" w:color="auto" w:fill="F0DCDC"/>
            <w:vAlign w:val="center"/>
          </w:tcPr>
          <w:p w14:paraId="386F4F8F" w14:textId="77777777" w:rsidR="005D486B" w:rsidRDefault="005D486B" w:rsidP="005D486B">
            <w:pPr>
              <w:spacing w:after="0"/>
            </w:pPr>
            <w:r>
              <w:t>Assessed?</w:t>
            </w:r>
          </w:p>
        </w:tc>
      </w:tr>
      <w:tr w:rsidR="006A4658" w14:paraId="00815724" w14:textId="77777777" w:rsidTr="005E1F5E">
        <w:tc>
          <w:tcPr>
            <w:tcW w:w="2122" w:type="dxa"/>
            <w:vAlign w:val="center"/>
          </w:tcPr>
          <w:p w14:paraId="78404750" w14:textId="77777777" w:rsidR="006A4658" w:rsidRDefault="006A4658" w:rsidP="005E1F5E">
            <w:pPr>
              <w:spacing w:after="0"/>
            </w:pPr>
            <w:r>
              <w:t>6.1</w:t>
            </w:r>
          </w:p>
        </w:tc>
        <w:tc>
          <w:tcPr>
            <w:tcW w:w="6095" w:type="dxa"/>
            <w:vAlign w:val="center"/>
          </w:tcPr>
          <w:p w14:paraId="54FCCD0F" w14:textId="77777777" w:rsidR="006A4658" w:rsidRDefault="006A4658" w:rsidP="005E1F5E">
            <w:pPr>
              <w:spacing w:after="0"/>
            </w:pPr>
            <w:r>
              <w:t>Temperature range</w:t>
            </w:r>
          </w:p>
        </w:tc>
        <w:tc>
          <w:tcPr>
            <w:tcW w:w="1525" w:type="dxa"/>
            <w:vAlign w:val="center"/>
          </w:tcPr>
          <w:p w14:paraId="0153A22D" w14:textId="77777777" w:rsidR="006A4658" w:rsidRDefault="006A4658" w:rsidP="005E1F5E">
            <w:pPr>
              <w:spacing w:after="0"/>
            </w:pPr>
            <w:r>
              <w:t>Yes</w:t>
            </w:r>
          </w:p>
        </w:tc>
      </w:tr>
      <w:tr w:rsidR="006A4658" w14:paraId="3FEE797B" w14:textId="77777777" w:rsidTr="005E1F5E">
        <w:tc>
          <w:tcPr>
            <w:tcW w:w="2122" w:type="dxa"/>
            <w:vAlign w:val="center"/>
          </w:tcPr>
          <w:p w14:paraId="7CF8BBCB" w14:textId="77777777" w:rsidR="006A4658" w:rsidRDefault="006A4658" w:rsidP="005E1F5E">
            <w:pPr>
              <w:spacing w:after="0"/>
            </w:pPr>
            <w:r>
              <w:t>6.2</w:t>
            </w:r>
          </w:p>
        </w:tc>
        <w:tc>
          <w:tcPr>
            <w:tcW w:w="6095" w:type="dxa"/>
            <w:vAlign w:val="center"/>
          </w:tcPr>
          <w:p w14:paraId="6D495D87" w14:textId="77777777" w:rsidR="006A4658" w:rsidRPr="00CB1D88" w:rsidRDefault="006A4658" w:rsidP="005E1F5E">
            <w:pPr>
              <w:spacing w:after="0"/>
              <w:rPr>
                <w:vertAlign w:val="superscript"/>
              </w:rPr>
            </w:pPr>
            <w:r>
              <w:t>Relative Humidity</w:t>
            </w:r>
          </w:p>
        </w:tc>
        <w:tc>
          <w:tcPr>
            <w:tcW w:w="1525" w:type="dxa"/>
            <w:vAlign w:val="center"/>
          </w:tcPr>
          <w:p w14:paraId="32960299" w14:textId="77777777" w:rsidR="006A4658" w:rsidRDefault="006A4658" w:rsidP="005E1F5E">
            <w:pPr>
              <w:spacing w:after="0"/>
            </w:pPr>
            <w:r>
              <w:t>Not Assessed</w:t>
            </w:r>
          </w:p>
        </w:tc>
      </w:tr>
      <w:tr w:rsidR="006A4658" w14:paraId="0D053EC2" w14:textId="77777777" w:rsidTr="005E1F5E">
        <w:tc>
          <w:tcPr>
            <w:tcW w:w="2122" w:type="dxa"/>
            <w:vAlign w:val="center"/>
          </w:tcPr>
          <w:p w14:paraId="3AB72B9E" w14:textId="77777777" w:rsidR="006A4658" w:rsidRDefault="006A4658" w:rsidP="005E1F5E">
            <w:pPr>
              <w:spacing w:after="0"/>
            </w:pPr>
            <w:r>
              <w:t>6.3.1</w:t>
            </w:r>
          </w:p>
        </w:tc>
        <w:tc>
          <w:tcPr>
            <w:tcW w:w="6095" w:type="dxa"/>
            <w:vAlign w:val="center"/>
          </w:tcPr>
          <w:p w14:paraId="20110E43" w14:textId="77777777" w:rsidR="006A4658" w:rsidRDefault="006A4658" w:rsidP="005E1F5E">
            <w:pPr>
              <w:spacing w:after="0"/>
            </w:pPr>
            <w:r>
              <w:t>Dry Heat Test</w:t>
            </w:r>
          </w:p>
        </w:tc>
        <w:tc>
          <w:tcPr>
            <w:tcW w:w="1525" w:type="dxa"/>
          </w:tcPr>
          <w:p w14:paraId="495CED37" w14:textId="77777777" w:rsidR="006A4658" w:rsidRDefault="006A4658" w:rsidP="005E1F5E">
            <w:pPr>
              <w:spacing w:after="0"/>
            </w:pPr>
            <w:r w:rsidRPr="009121BC">
              <w:t>Yes</w:t>
            </w:r>
          </w:p>
        </w:tc>
      </w:tr>
      <w:tr w:rsidR="006A4658" w14:paraId="5C5222C6" w14:textId="77777777" w:rsidTr="005E1F5E">
        <w:tc>
          <w:tcPr>
            <w:tcW w:w="2122" w:type="dxa"/>
            <w:vAlign w:val="center"/>
          </w:tcPr>
          <w:p w14:paraId="1D4561E9" w14:textId="77777777" w:rsidR="006A4658" w:rsidRDefault="006A4658" w:rsidP="005E1F5E">
            <w:pPr>
              <w:spacing w:after="0"/>
            </w:pPr>
            <w:r>
              <w:t>6.3.2</w:t>
            </w:r>
          </w:p>
        </w:tc>
        <w:tc>
          <w:tcPr>
            <w:tcW w:w="6095" w:type="dxa"/>
            <w:vAlign w:val="center"/>
          </w:tcPr>
          <w:p w14:paraId="09C9DB6C" w14:textId="77777777" w:rsidR="006A4658" w:rsidRDefault="006A4658" w:rsidP="005E1F5E">
            <w:pPr>
              <w:spacing w:after="0"/>
            </w:pPr>
            <w:r>
              <w:t>Cold test</w:t>
            </w:r>
          </w:p>
        </w:tc>
        <w:tc>
          <w:tcPr>
            <w:tcW w:w="1525" w:type="dxa"/>
          </w:tcPr>
          <w:p w14:paraId="1FF3856B" w14:textId="77777777" w:rsidR="006A4658" w:rsidRDefault="006A4658" w:rsidP="005E1F5E">
            <w:pPr>
              <w:spacing w:after="0"/>
            </w:pPr>
            <w:r w:rsidRPr="009121BC">
              <w:t>Yes</w:t>
            </w:r>
          </w:p>
        </w:tc>
      </w:tr>
      <w:tr w:rsidR="006A4658" w14:paraId="1A009EE5" w14:textId="77777777" w:rsidTr="005E1F5E">
        <w:tc>
          <w:tcPr>
            <w:tcW w:w="2122" w:type="dxa"/>
            <w:vAlign w:val="center"/>
          </w:tcPr>
          <w:p w14:paraId="560CFC04" w14:textId="77777777" w:rsidR="006A4658" w:rsidRDefault="006A4658" w:rsidP="005E1F5E">
            <w:pPr>
              <w:spacing w:after="0"/>
            </w:pPr>
            <w:r>
              <w:t>6.3.3</w:t>
            </w:r>
          </w:p>
        </w:tc>
        <w:tc>
          <w:tcPr>
            <w:tcW w:w="6095" w:type="dxa"/>
            <w:vAlign w:val="center"/>
          </w:tcPr>
          <w:p w14:paraId="4B2D097B" w14:textId="77777777" w:rsidR="006A4658" w:rsidRDefault="006A4658" w:rsidP="005E1F5E">
            <w:pPr>
              <w:spacing w:after="0"/>
            </w:pPr>
            <w:r>
              <w:t>Damp Heat Cyclic</w:t>
            </w:r>
          </w:p>
        </w:tc>
        <w:tc>
          <w:tcPr>
            <w:tcW w:w="1525" w:type="dxa"/>
          </w:tcPr>
          <w:p w14:paraId="19D1A055" w14:textId="77777777" w:rsidR="006A4658" w:rsidRDefault="006A4658" w:rsidP="005E1F5E">
            <w:pPr>
              <w:spacing w:after="0"/>
            </w:pPr>
            <w:r w:rsidRPr="009121BC">
              <w:t>Yes</w:t>
            </w:r>
          </w:p>
        </w:tc>
      </w:tr>
      <w:tr w:rsidR="006A4658" w14:paraId="5BA1FB93" w14:textId="77777777" w:rsidTr="005E1F5E">
        <w:tc>
          <w:tcPr>
            <w:tcW w:w="2122" w:type="dxa"/>
            <w:vAlign w:val="center"/>
          </w:tcPr>
          <w:p w14:paraId="24DC6BA5" w14:textId="77777777" w:rsidR="006A4658" w:rsidRDefault="006A4658" w:rsidP="005E1F5E">
            <w:pPr>
              <w:spacing w:after="0"/>
            </w:pPr>
            <w:r>
              <w:t>6.3.4 / Appendix ZA</w:t>
            </w:r>
          </w:p>
        </w:tc>
        <w:tc>
          <w:tcPr>
            <w:tcW w:w="6095" w:type="dxa"/>
            <w:vAlign w:val="center"/>
          </w:tcPr>
          <w:p w14:paraId="371A521D" w14:textId="77777777" w:rsidR="006A4658" w:rsidRDefault="006A4658" w:rsidP="005E1F5E">
            <w:pPr>
              <w:spacing w:after="0"/>
            </w:pPr>
            <w:r>
              <w:t>Protection Against Solar Radiation</w:t>
            </w:r>
          </w:p>
        </w:tc>
        <w:tc>
          <w:tcPr>
            <w:tcW w:w="1525" w:type="dxa"/>
          </w:tcPr>
          <w:p w14:paraId="07CCECB8" w14:textId="77777777" w:rsidR="006A4658" w:rsidRDefault="006A4658" w:rsidP="005E1F5E">
            <w:pPr>
              <w:spacing w:after="0"/>
            </w:pPr>
            <w:r w:rsidRPr="009121BC">
              <w:t>Yes</w:t>
            </w:r>
          </w:p>
        </w:tc>
      </w:tr>
    </w:tbl>
    <w:p w14:paraId="7D980F79" w14:textId="77777777" w:rsidR="00D4258D" w:rsidRDefault="00D4258D" w:rsidP="006A4658">
      <w:pPr>
        <w:pStyle w:val="Caption"/>
        <w:keepNext/>
      </w:pPr>
    </w:p>
    <w:p w14:paraId="26608692" w14:textId="77777777" w:rsidR="00D4258D" w:rsidRDefault="00D4258D">
      <w:pPr>
        <w:spacing w:after="200"/>
        <w:rPr>
          <w:bCs/>
          <w:color w:val="A6192E" w:themeColor="accent1"/>
          <w:szCs w:val="18"/>
        </w:rPr>
      </w:pPr>
      <w:r>
        <w:br w:type="page"/>
      </w:r>
    </w:p>
    <w:p w14:paraId="703D2119" w14:textId="6D877EFA" w:rsidR="006A4658" w:rsidRDefault="006A4658" w:rsidP="006A4658">
      <w:pPr>
        <w:pStyle w:val="Caption"/>
        <w:keepNext/>
      </w:pPr>
      <w:r>
        <w:lastRenderedPageBreak/>
        <w:t xml:space="preserve">Table </w:t>
      </w:r>
      <w:r w:rsidR="00D4258D">
        <w:t>6</w:t>
      </w:r>
      <w:r>
        <w:t xml:space="preserve"> Electrical Requirements</w:t>
      </w:r>
    </w:p>
    <w:tbl>
      <w:tblPr>
        <w:tblStyle w:val="TableGrid"/>
        <w:tblW w:w="0" w:type="auto"/>
        <w:tblCellMar>
          <w:top w:w="28" w:type="dxa"/>
          <w:bottom w:w="28" w:type="dxa"/>
        </w:tblCellMar>
        <w:tblLook w:val="04A0" w:firstRow="1" w:lastRow="0" w:firstColumn="1" w:lastColumn="0" w:noHBand="0" w:noVBand="1"/>
      </w:tblPr>
      <w:tblGrid>
        <w:gridCol w:w="2122"/>
        <w:gridCol w:w="6095"/>
        <w:gridCol w:w="1525"/>
      </w:tblGrid>
      <w:tr w:rsidR="005D486B" w14:paraId="0C1E171B" w14:textId="77777777" w:rsidTr="005E1F5E">
        <w:tc>
          <w:tcPr>
            <w:tcW w:w="2122" w:type="dxa"/>
            <w:shd w:val="clear" w:color="auto" w:fill="F0DCDC"/>
            <w:vAlign w:val="center"/>
          </w:tcPr>
          <w:p w14:paraId="742BAF18" w14:textId="0D464120" w:rsidR="005D486B" w:rsidRDefault="005D486B" w:rsidP="005D486B">
            <w:pPr>
              <w:spacing w:after="0"/>
            </w:pPr>
            <w:r>
              <w:t>AS 62052.11 [2]</w:t>
            </w:r>
          </w:p>
        </w:tc>
        <w:tc>
          <w:tcPr>
            <w:tcW w:w="6095" w:type="dxa"/>
            <w:shd w:val="clear" w:color="auto" w:fill="F0DCDC"/>
            <w:vAlign w:val="center"/>
          </w:tcPr>
          <w:p w14:paraId="4AE92507" w14:textId="77777777" w:rsidR="005D486B" w:rsidRDefault="005D486B" w:rsidP="005D486B">
            <w:pPr>
              <w:spacing w:after="0"/>
            </w:pPr>
            <w:r>
              <w:t>Description</w:t>
            </w:r>
          </w:p>
        </w:tc>
        <w:tc>
          <w:tcPr>
            <w:tcW w:w="1525" w:type="dxa"/>
            <w:shd w:val="clear" w:color="auto" w:fill="F0DCDC"/>
            <w:vAlign w:val="center"/>
          </w:tcPr>
          <w:p w14:paraId="6D3E5A60" w14:textId="77777777" w:rsidR="005D486B" w:rsidRDefault="005D486B" w:rsidP="005D486B">
            <w:pPr>
              <w:spacing w:after="0"/>
            </w:pPr>
            <w:r>
              <w:t>Assessed?</w:t>
            </w:r>
          </w:p>
        </w:tc>
      </w:tr>
      <w:tr w:rsidR="006A4658" w14:paraId="6573A722" w14:textId="77777777" w:rsidTr="005E1F5E">
        <w:tc>
          <w:tcPr>
            <w:tcW w:w="2122" w:type="dxa"/>
            <w:vAlign w:val="center"/>
          </w:tcPr>
          <w:p w14:paraId="79690E98" w14:textId="77777777" w:rsidR="006A4658" w:rsidRDefault="006A4658" w:rsidP="005E1F5E">
            <w:pPr>
              <w:spacing w:after="0"/>
            </w:pPr>
            <w:r>
              <w:t>7.1.2</w:t>
            </w:r>
          </w:p>
        </w:tc>
        <w:tc>
          <w:tcPr>
            <w:tcW w:w="6095" w:type="dxa"/>
            <w:vAlign w:val="center"/>
          </w:tcPr>
          <w:p w14:paraId="4E61C85E" w14:textId="41CE9FBA" w:rsidR="006A4658" w:rsidRDefault="006A4658" w:rsidP="005E1F5E">
            <w:pPr>
              <w:spacing w:after="0"/>
            </w:pPr>
            <w:r>
              <w:t>Voltage dips and short interrupt</w:t>
            </w:r>
            <w:r w:rsidR="004526F5">
              <w:t>ion</w:t>
            </w:r>
            <w:r>
              <w:t>s</w:t>
            </w:r>
          </w:p>
        </w:tc>
        <w:tc>
          <w:tcPr>
            <w:tcW w:w="1525" w:type="dxa"/>
            <w:vAlign w:val="center"/>
          </w:tcPr>
          <w:p w14:paraId="18508E66" w14:textId="77777777" w:rsidR="006A4658" w:rsidRDefault="006A4658" w:rsidP="005E1F5E">
            <w:pPr>
              <w:spacing w:after="0"/>
            </w:pPr>
            <w:r>
              <w:t>Yes</w:t>
            </w:r>
          </w:p>
        </w:tc>
      </w:tr>
      <w:tr w:rsidR="006A4658" w14:paraId="676B0233" w14:textId="77777777" w:rsidTr="005E1F5E">
        <w:tc>
          <w:tcPr>
            <w:tcW w:w="2122" w:type="dxa"/>
            <w:vAlign w:val="center"/>
          </w:tcPr>
          <w:p w14:paraId="20DFB984" w14:textId="77777777" w:rsidR="006A4658" w:rsidRDefault="006A4658" w:rsidP="005E1F5E">
            <w:pPr>
              <w:spacing w:after="0"/>
            </w:pPr>
            <w:r>
              <w:t>7.2</w:t>
            </w:r>
          </w:p>
        </w:tc>
        <w:tc>
          <w:tcPr>
            <w:tcW w:w="6095" w:type="dxa"/>
            <w:vAlign w:val="center"/>
          </w:tcPr>
          <w:p w14:paraId="41DCC196" w14:textId="77777777" w:rsidR="006A4658" w:rsidRPr="00CB1D88" w:rsidRDefault="006A4658" w:rsidP="005E1F5E">
            <w:pPr>
              <w:spacing w:after="0"/>
              <w:rPr>
                <w:vertAlign w:val="superscript"/>
              </w:rPr>
            </w:pPr>
            <w:r>
              <w:t>Heating</w:t>
            </w:r>
          </w:p>
        </w:tc>
        <w:tc>
          <w:tcPr>
            <w:tcW w:w="1525" w:type="dxa"/>
            <w:vAlign w:val="center"/>
          </w:tcPr>
          <w:p w14:paraId="4CFB8004" w14:textId="77777777" w:rsidR="006A4658" w:rsidRDefault="006A4658" w:rsidP="005E1F5E">
            <w:pPr>
              <w:spacing w:after="0"/>
            </w:pPr>
            <w:r>
              <w:t>Not Assessed</w:t>
            </w:r>
          </w:p>
        </w:tc>
      </w:tr>
      <w:tr w:rsidR="006A4658" w14:paraId="546F865C" w14:textId="77777777" w:rsidTr="005E1F5E">
        <w:tc>
          <w:tcPr>
            <w:tcW w:w="2122" w:type="dxa"/>
            <w:vAlign w:val="center"/>
          </w:tcPr>
          <w:p w14:paraId="0F405C2F" w14:textId="77777777" w:rsidR="006A4658" w:rsidRDefault="006A4658" w:rsidP="005E1F5E">
            <w:pPr>
              <w:spacing w:after="0"/>
            </w:pPr>
            <w:r>
              <w:t>7.3</w:t>
            </w:r>
          </w:p>
        </w:tc>
        <w:tc>
          <w:tcPr>
            <w:tcW w:w="6095" w:type="dxa"/>
            <w:vAlign w:val="center"/>
          </w:tcPr>
          <w:p w14:paraId="331D4201" w14:textId="62B4D1C7" w:rsidR="006A4658" w:rsidRDefault="00D4258D" w:rsidP="00D4258D">
            <w:pPr>
              <w:spacing w:after="0"/>
            </w:pPr>
            <w:r>
              <w:t xml:space="preserve">Insulation. </w:t>
            </w:r>
            <w:r w:rsidR="006A4658">
              <w:t>Reference to [</w:t>
            </w:r>
            <w:r>
              <w:t>5</w:t>
            </w:r>
            <w:r w:rsidR="006A4658">
              <w:t>] clauses 6.7, 6.8 and 6.10</w:t>
            </w:r>
          </w:p>
        </w:tc>
        <w:tc>
          <w:tcPr>
            <w:tcW w:w="1525" w:type="dxa"/>
            <w:vAlign w:val="center"/>
          </w:tcPr>
          <w:p w14:paraId="0479EC6B" w14:textId="77777777" w:rsidR="006A4658" w:rsidRDefault="006A4658" w:rsidP="005E1F5E">
            <w:pPr>
              <w:spacing w:after="0"/>
            </w:pPr>
            <w:r>
              <w:t>Not Assessed</w:t>
            </w:r>
          </w:p>
        </w:tc>
      </w:tr>
      <w:tr w:rsidR="006A4658" w14:paraId="4FDEB05D" w14:textId="77777777" w:rsidTr="005E1F5E">
        <w:tc>
          <w:tcPr>
            <w:tcW w:w="2122" w:type="dxa"/>
            <w:vAlign w:val="center"/>
          </w:tcPr>
          <w:p w14:paraId="558247D2" w14:textId="77777777" w:rsidR="006A4658" w:rsidRDefault="006A4658" w:rsidP="005E1F5E">
            <w:pPr>
              <w:spacing w:after="0"/>
            </w:pPr>
            <w:r>
              <w:t>7.3 / Appendix ZZ</w:t>
            </w:r>
          </w:p>
        </w:tc>
        <w:tc>
          <w:tcPr>
            <w:tcW w:w="6095" w:type="dxa"/>
            <w:vAlign w:val="center"/>
          </w:tcPr>
          <w:p w14:paraId="020A1950" w14:textId="3F7BBB33" w:rsidR="006A4658" w:rsidRDefault="006A4658" w:rsidP="00D4258D">
            <w:pPr>
              <w:spacing w:after="0"/>
            </w:pPr>
            <w:r>
              <w:t>Impulse test for robustness, [</w:t>
            </w:r>
            <w:r w:rsidR="00D4258D">
              <w:t>5</w:t>
            </w:r>
            <w:r>
              <w:t>] Appendix ZZ</w:t>
            </w:r>
          </w:p>
        </w:tc>
        <w:tc>
          <w:tcPr>
            <w:tcW w:w="1525" w:type="dxa"/>
            <w:vAlign w:val="center"/>
          </w:tcPr>
          <w:p w14:paraId="5879B341" w14:textId="77777777" w:rsidR="006A4658" w:rsidRDefault="006A4658" w:rsidP="005E1F5E">
            <w:pPr>
              <w:spacing w:after="0"/>
            </w:pPr>
            <w:r>
              <w:t>Yes</w:t>
            </w:r>
          </w:p>
        </w:tc>
      </w:tr>
      <w:tr w:rsidR="006A4658" w14:paraId="740196D6" w14:textId="77777777" w:rsidTr="005E1F5E">
        <w:tc>
          <w:tcPr>
            <w:tcW w:w="2122" w:type="dxa"/>
            <w:vAlign w:val="center"/>
          </w:tcPr>
          <w:p w14:paraId="2D20B1E8" w14:textId="77777777" w:rsidR="006A4658" w:rsidRDefault="006A4658" w:rsidP="005E1F5E">
            <w:pPr>
              <w:spacing w:after="0"/>
            </w:pPr>
            <w:r>
              <w:t>7.4</w:t>
            </w:r>
          </w:p>
        </w:tc>
        <w:tc>
          <w:tcPr>
            <w:tcW w:w="6095" w:type="dxa"/>
            <w:vAlign w:val="center"/>
          </w:tcPr>
          <w:p w14:paraId="5A55EE1E" w14:textId="77777777" w:rsidR="006A4658" w:rsidRDefault="006A4658" w:rsidP="005E1F5E">
            <w:pPr>
              <w:spacing w:after="0"/>
            </w:pPr>
            <w:r>
              <w:t>Immunity to earth fault</w:t>
            </w:r>
          </w:p>
        </w:tc>
        <w:tc>
          <w:tcPr>
            <w:tcW w:w="1525" w:type="dxa"/>
            <w:vAlign w:val="center"/>
          </w:tcPr>
          <w:p w14:paraId="2D9CD0C3" w14:textId="77777777" w:rsidR="006A4658" w:rsidRDefault="006A4658" w:rsidP="005E1F5E">
            <w:pPr>
              <w:spacing w:after="0"/>
            </w:pPr>
            <w:r>
              <w:t>Yes</w:t>
            </w:r>
          </w:p>
        </w:tc>
      </w:tr>
      <w:tr w:rsidR="006A4658" w14:paraId="639C1452" w14:textId="77777777" w:rsidTr="005E1F5E">
        <w:tc>
          <w:tcPr>
            <w:tcW w:w="2122" w:type="dxa"/>
            <w:vAlign w:val="center"/>
          </w:tcPr>
          <w:p w14:paraId="7C049350" w14:textId="77777777" w:rsidR="006A4658" w:rsidRDefault="006A4658" w:rsidP="005E1F5E">
            <w:pPr>
              <w:spacing w:after="0"/>
            </w:pPr>
            <w:r>
              <w:t>7.4</w:t>
            </w:r>
          </w:p>
        </w:tc>
        <w:tc>
          <w:tcPr>
            <w:tcW w:w="6095" w:type="dxa"/>
            <w:vAlign w:val="center"/>
          </w:tcPr>
          <w:p w14:paraId="569462C4" w14:textId="5AB04CB8" w:rsidR="006A4658" w:rsidRDefault="006A4658">
            <w:pPr>
              <w:spacing w:after="0"/>
            </w:pPr>
            <w:r>
              <w:t>Reference to [</w:t>
            </w:r>
            <w:r w:rsidR="00D4258D">
              <w:t>5</w:t>
            </w:r>
            <w:r>
              <w:t xml:space="preserve">] </w:t>
            </w:r>
            <w:r w:rsidR="002B26A7">
              <w:t xml:space="preserve">clause </w:t>
            </w:r>
            <w:r>
              <w:t>6.10.3.2</w:t>
            </w:r>
          </w:p>
        </w:tc>
        <w:tc>
          <w:tcPr>
            <w:tcW w:w="1525" w:type="dxa"/>
            <w:vAlign w:val="center"/>
          </w:tcPr>
          <w:p w14:paraId="159DD90A" w14:textId="77777777" w:rsidR="006A4658" w:rsidRDefault="006A4658" w:rsidP="005E1F5E">
            <w:pPr>
              <w:spacing w:after="0"/>
            </w:pPr>
            <w:r>
              <w:t>Not Assessed</w:t>
            </w:r>
          </w:p>
        </w:tc>
      </w:tr>
      <w:tr w:rsidR="005D486B" w14:paraId="23E352B5" w14:textId="77777777" w:rsidTr="005E1F5E">
        <w:tc>
          <w:tcPr>
            <w:tcW w:w="2122" w:type="dxa"/>
            <w:shd w:val="clear" w:color="auto" w:fill="F0DCDC"/>
            <w:vAlign w:val="center"/>
          </w:tcPr>
          <w:p w14:paraId="75C476C3" w14:textId="6FB7E7EF" w:rsidR="005D486B" w:rsidRDefault="005D486B" w:rsidP="005D486B">
            <w:pPr>
              <w:spacing w:after="0"/>
            </w:pPr>
            <w:r>
              <w:t>AS 62053.21 [3] or</w:t>
            </w:r>
            <w:r>
              <w:br/>
              <w:t>AS 62053.22</w:t>
            </w:r>
          </w:p>
        </w:tc>
        <w:tc>
          <w:tcPr>
            <w:tcW w:w="6095" w:type="dxa"/>
            <w:shd w:val="clear" w:color="auto" w:fill="F0DCDC"/>
            <w:vAlign w:val="center"/>
          </w:tcPr>
          <w:p w14:paraId="0D0D030A" w14:textId="77777777" w:rsidR="005D486B" w:rsidRDefault="005D486B" w:rsidP="005D486B">
            <w:pPr>
              <w:spacing w:after="0"/>
            </w:pPr>
            <w:r>
              <w:t>Description</w:t>
            </w:r>
          </w:p>
        </w:tc>
        <w:tc>
          <w:tcPr>
            <w:tcW w:w="1525" w:type="dxa"/>
            <w:shd w:val="clear" w:color="auto" w:fill="F0DCDC"/>
            <w:vAlign w:val="center"/>
          </w:tcPr>
          <w:p w14:paraId="473A5533" w14:textId="77777777" w:rsidR="005D486B" w:rsidRDefault="005D486B" w:rsidP="005D486B">
            <w:pPr>
              <w:spacing w:after="0"/>
            </w:pPr>
            <w:r>
              <w:t>Assessed?</w:t>
            </w:r>
          </w:p>
        </w:tc>
      </w:tr>
      <w:tr w:rsidR="006A4658" w14:paraId="72E5CF14" w14:textId="77777777" w:rsidTr="005E1F5E">
        <w:tc>
          <w:tcPr>
            <w:tcW w:w="2122" w:type="dxa"/>
            <w:vAlign w:val="center"/>
          </w:tcPr>
          <w:p w14:paraId="62E8A0AD" w14:textId="77777777" w:rsidR="006A4658" w:rsidRPr="00900E8E" w:rsidRDefault="006A4658" w:rsidP="005E1F5E">
            <w:pPr>
              <w:spacing w:after="0"/>
            </w:pPr>
            <w:r w:rsidRPr="00900E8E">
              <w:t>7.1</w:t>
            </w:r>
          </w:p>
        </w:tc>
        <w:tc>
          <w:tcPr>
            <w:tcW w:w="6095" w:type="dxa"/>
            <w:vAlign w:val="center"/>
          </w:tcPr>
          <w:p w14:paraId="1168EC29" w14:textId="77777777" w:rsidR="006A4658" w:rsidRPr="00900E8E" w:rsidRDefault="006A4658" w:rsidP="005E1F5E">
            <w:pPr>
              <w:spacing w:after="0"/>
            </w:pPr>
            <w:r w:rsidRPr="00900E8E">
              <w:t>Power consumption</w:t>
            </w:r>
          </w:p>
        </w:tc>
        <w:tc>
          <w:tcPr>
            <w:tcW w:w="1525" w:type="dxa"/>
            <w:vAlign w:val="center"/>
          </w:tcPr>
          <w:p w14:paraId="0138962C" w14:textId="77777777" w:rsidR="006A4658" w:rsidRPr="00900E8E" w:rsidRDefault="006A4658" w:rsidP="005E1F5E">
            <w:pPr>
              <w:spacing w:after="0"/>
            </w:pPr>
            <w:r w:rsidRPr="00900E8E">
              <w:t>Yes</w:t>
            </w:r>
          </w:p>
        </w:tc>
      </w:tr>
      <w:tr w:rsidR="006A4658" w14:paraId="118057A3" w14:textId="77777777" w:rsidTr="005E1F5E">
        <w:tc>
          <w:tcPr>
            <w:tcW w:w="2122" w:type="dxa"/>
            <w:vAlign w:val="center"/>
          </w:tcPr>
          <w:p w14:paraId="75461BD6" w14:textId="77777777" w:rsidR="006A4658" w:rsidRPr="00900E8E" w:rsidRDefault="006A4658" w:rsidP="005E1F5E">
            <w:pPr>
              <w:spacing w:after="0"/>
            </w:pPr>
            <w:r w:rsidRPr="00900E8E">
              <w:t>7.2</w:t>
            </w:r>
          </w:p>
        </w:tc>
        <w:tc>
          <w:tcPr>
            <w:tcW w:w="6095" w:type="dxa"/>
            <w:vAlign w:val="center"/>
          </w:tcPr>
          <w:p w14:paraId="1DA6E9F0" w14:textId="77777777" w:rsidR="006A4658" w:rsidRPr="00900E8E" w:rsidRDefault="006A4658" w:rsidP="005E1F5E">
            <w:pPr>
              <w:spacing w:after="0"/>
            </w:pPr>
            <w:r w:rsidRPr="00900E8E">
              <w:t>Influence of short-time overcurrents</w:t>
            </w:r>
          </w:p>
        </w:tc>
        <w:tc>
          <w:tcPr>
            <w:tcW w:w="1525" w:type="dxa"/>
            <w:vAlign w:val="center"/>
          </w:tcPr>
          <w:p w14:paraId="27696625" w14:textId="77777777" w:rsidR="006A4658" w:rsidRPr="00900E8E" w:rsidRDefault="006A4658" w:rsidP="005E1F5E">
            <w:pPr>
              <w:spacing w:after="0"/>
            </w:pPr>
            <w:r w:rsidRPr="00900E8E">
              <w:t>Yes</w:t>
            </w:r>
          </w:p>
        </w:tc>
      </w:tr>
      <w:tr w:rsidR="006A4658" w14:paraId="57BDF552" w14:textId="77777777" w:rsidTr="005E1F5E">
        <w:tc>
          <w:tcPr>
            <w:tcW w:w="2122" w:type="dxa"/>
            <w:vAlign w:val="center"/>
          </w:tcPr>
          <w:p w14:paraId="03AEB28E" w14:textId="77777777" w:rsidR="006A4658" w:rsidRPr="00900E8E" w:rsidRDefault="006A4658" w:rsidP="005E1F5E">
            <w:pPr>
              <w:spacing w:after="0"/>
            </w:pPr>
            <w:r w:rsidRPr="00900E8E">
              <w:t>7.2</w:t>
            </w:r>
          </w:p>
        </w:tc>
        <w:tc>
          <w:tcPr>
            <w:tcW w:w="6095" w:type="dxa"/>
            <w:vAlign w:val="center"/>
          </w:tcPr>
          <w:p w14:paraId="600496C0" w14:textId="74811690" w:rsidR="006A4658" w:rsidRPr="00900E8E" w:rsidRDefault="006A4658" w:rsidP="00D4258D">
            <w:pPr>
              <w:spacing w:after="0"/>
            </w:pPr>
            <w:r w:rsidRPr="00900E8E">
              <w:t>Reference to [</w:t>
            </w:r>
            <w:r w:rsidR="00D4258D">
              <w:t>5</w:t>
            </w:r>
            <w:r w:rsidRPr="00900E8E">
              <w:t>] clauses 6.9.8, 6.10.5 and 6.10.6.</w:t>
            </w:r>
          </w:p>
        </w:tc>
        <w:tc>
          <w:tcPr>
            <w:tcW w:w="1525" w:type="dxa"/>
            <w:vAlign w:val="center"/>
          </w:tcPr>
          <w:p w14:paraId="2B182130" w14:textId="77777777" w:rsidR="006A4658" w:rsidRPr="00900E8E" w:rsidRDefault="006A4658" w:rsidP="005E1F5E">
            <w:pPr>
              <w:spacing w:after="0"/>
            </w:pPr>
            <w:r w:rsidRPr="00900E8E">
              <w:t>Not Assessed</w:t>
            </w:r>
          </w:p>
        </w:tc>
      </w:tr>
      <w:tr w:rsidR="006A4658" w14:paraId="7F38C94E" w14:textId="77777777" w:rsidTr="005E1F5E">
        <w:tc>
          <w:tcPr>
            <w:tcW w:w="2122" w:type="dxa"/>
            <w:vAlign w:val="center"/>
          </w:tcPr>
          <w:p w14:paraId="2D791E30" w14:textId="77777777" w:rsidR="006A4658" w:rsidRPr="00900E8E" w:rsidRDefault="006A4658" w:rsidP="005E1F5E">
            <w:pPr>
              <w:spacing w:after="0"/>
            </w:pPr>
            <w:r w:rsidRPr="00900E8E">
              <w:t>7.3</w:t>
            </w:r>
          </w:p>
        </w:tc>
        <w:tc>
          <w:tcPr>
            <w:tcW w:w="6095" w:type="dxa"/>
            <w:vAlign w:val="center"/>
          </w:tcPr>
          <w:p w14:paraId="1A87D149" w14:textId="77777777" w:rsidR="006A4658" w:rsidRPr="00900E8E" w:rsidRDefault="006A4658" w:rsidP="005E1F5E">
            <w:pPr>
              <w:spacing w:after="0"/>
            </w:pPr>
            <w:r w:rsidRPr="00900E8E">
              <w:t>Influence of self-heating</w:t>
            </w:r>
          </w:p>
        </w:tc>
        <w:tc>
          <w:tcPr>
            <w:tcW w:w="1525" w:type="dxa"/>
            <w:vAlign w:val="center"/>
          </w:tcPr>
          <w:p w14:paraId="677499AF" w14:textId="77777777" w:rsidR="006A4658" w:rsidRPr="00900E8E" w:rsidRDefault="006A4658" w:rsidP="005E1F5E">
            <w:pPr>
              <w:spacing w:after="0"/>
            </w:pPr>
            <w:r w:rsidRPr="00900E8E">
              <w:t>Yes</w:t>
            </w:r>
          </w:p>
        </w:tc>
      </w:tr>
      <w:tr w:rsidR="006A4658" w14:paraId="47B0301E" w14:textId="77777777" w:rsidTr="005E1F5E">
        <w:tc>
          <w:tcPr>
            <w:tcW w:w="2122" w:type="dxa"/>
            <w:vAlign w:val="center"/>
          </w:tcPr>
          <w:p w14:paraId="408FA368" w14:textId="77777777" w:rsidR="006A4658" w:rsidRPr="00900E8E" w:rsidRDefault="006A4658" w:rsidP="005E1F5E">
            <w:pPr>
              <w:spacing w:after="0"/>
            </w:pPr>
            <w:r w:rsidRPr="00900E8E">
              <w:t>7.4</w:t>
            </w:r>
          </w:p>
        </w:tc>
        <w:tc>
          <w:tcPr>
            <w:tcW w:w="6095" w:type="dxa"/>
            <w:vAlign w:val="center"/>
          </w:tcPr>
          <w:p w14:paraId="617CA02D" w14:textId="77777777" w:rsidR="006A4658" w:rsidRPr="00900E8E" w:rsidRDefault="006A4658" w:rsidP="005E1F5E">
            <w:pPr>
              <w:spacing w:after="0"/>
            </w:pPr>
            <w:r w:rsidRPr="00900E8E">
              <w:t>AC Voltage test</w:t>
            </w:r>
          </w:p>
        </w:tc>
        <w:tc>
          <w:tcPr>
            <w:tcW w:w="1525" w:type="dxa"/>
            <w:vAlign w:val="center"/>
          </w:tcPr>
          <w:p w14:paraId="0519BE8F" w14:textId="77777777" w:rsidR="006A4658" w:rsidRPr="00900E8E" w:rsidRDefault="006A4658" w:rsidP="005E1F5E">
            <w:pPr>
              <w:spacing w:after="0"/>
            </w:pPr>
            <w:r w:rsidRPr="00900E8E">
              <w:t>Not Assessed</w:t>
            </w:r>
          </w:p>
        </w:tc>
      </w:tr>
    </w:tbl>
    <w:p w14:paraId="4D32C344" w14:textId="4794570B" w:rsidR="006A4658" w:rsidRDefault="006A4658" w:rsidP="006A4658">
      <w:pPr>
        <w:pStyle w:val="Caption"/>
        <w:keepNext/>
      </w:pPr>
      <w:r>
        <w:t xml:space="preserve">Table </w:t>
      </w:r>
      <w:r w:rsidR="00D4258D">
        <w:t>7</w:t>
      </w:r>
      <w:r>
        <w:t xml:space="preserve"> Electrical Requirements – Electromagnetic compatibility (EMC)</w:t>
      </w:r>
    </w:p>
    <w:tbl>
      <w:tblPr>
        <w:tblStyle w:val="TableGrid"/>
        <w:tblW w:w="0" w:type="auto"/>
        <w:tblCellMar>
          <w:top w:w="28" w:type="dxa"/>
          <w:bottom w:w="28" w:type="dxa"/>
        </w:tblCellMar>
        <w:tblLook w:val="04A0" w:firstRow="1" w:lastRow="0" w:firstColumn="1" w:lastColumn="0" w:noHBand="0" w:noVBand="1"/>
      </w:tblPr>
      <w:tblGrid>
        <w:gridCol w:w="2122"/>
        <w:gridCol w:w="6095"/>
        <w:gridCol w:w="1525"/>
      </w:tblGrid>
      <w:tr w:rsidR="005D486B" w14:paraId="5FD0D223" w14:textId="77777777" w:rsidTr="005E1F5E">
        <w:tc>
          <w:tcPr>
            <w:tcW w:w="2122" w:type="dxa"/>
            <w:shd w:val="clear" w:color="auto" w:fill="F0DCDC"/>
            <w:vAlign w:val="center"/>
          </w:tcPr>
          <w:p w14:paraId="2F79F5C6" w14:textId="06BB3A1C" w:rsidR="005D486B" w:rsidRDefault="005D486B" w:rsidP="005D486B">
            <w:pPr>
              <w:spacing w:after="0"/>
            </w:pPr>
            <w:r>
              <w:t>AS 62052.11 [2]</w:t>
            </w:r>
          </w:p>
        </w:tc>
        <w:tc>
          <w:tcPr>
            <w:tcW w:w="6095" w:type="dxa"/>
            <w:shd w:val="clear" w:color="auto" w:fill="F0DCDC"/>
            <w:vAlign w:val="center"/>
          </w:tcPr>
          <w:p w14:paraId="74D6803F" w14:textId="77777777" w:rsidR="005D486B" w:rsidRDefault="005D486B" w:rsidP="005D486B">
            <w:pPr>
              <w:spacing w:after="0"/>
            </w:pPr>
            <w:r>
              <w:t>Description</w:t>
            </w:r>
          </w:p>
        </w:tc>
        <w:tc>
          <w:tcPr>
            <w:tcW w:w="1525" w:type="dxa"/>
            <w:shd w:val="clear" w:color="auto" w:fill="F0DCDC"/>
            <w:vAlign w:val="center"/>
          </w:tcPr>
          <w:p w14:paraId="6402F07D" w14:textId="77777777" w:rsidR="005D486B" w:rsidRDefault="005D486B" w:rsidP="005D486B">
            <w:pPr>
              <w:spacing w:after="0"/>
            </w:pPr>
            <w:r>
              <w:t>Assessed?</w:t>
            </w:r>
          </w:p>
        </w:tc>
      </w:tr>
      <w:tr w:rsidR="006A4658" w14:paraId="1532CB6B" w14:textId="77777777" w:rsidTr="005E1F5E">
        <w:tc>
          <w:tcPr>
            <w:tcW w:w="2122" w:type="dxa"/>
            <w:vAlign w:val="center"/>
          </w:tcPr>
          <w:p w14:paraId="691A63AD" w14:textId="77777777" w:rsidR="006A4658" w:rsidRDefault="006A4658" w:rsidP="005E1F5E">
            <w:pPr>
              <w:spacing w:after="0"/>
            </w:pPr>
            <w:r>
              <w:t>7.5.1</w:t>
            </w:r>
          </w:p>
        </w:tc>
        <w:tc>
          <w:tcPr>
            <w:tcW w:w="6095" w:type="dxa"/>
            <w:vAlign w:val="center"/>
          </w:tcPr>
          <w:p w14:paraId="346ED152" w14:textId="77777777" w:rsidR="006A4658" w:rsidRDefault="006A4658" w:rsidP="005E1F5E">
            <w:pPr>
              <w:spacing w:after="0"/>
            </w:pPr>
            <w:r>
              <w:t>General</w:t>
            </w:r>
          </w:p>
        </w:tc>
        <w:tc>
          <w:tcPr>
            <w:tcW w:w="1525" w:type="dxa"/>
            <w:vAlign w:val="center"/>
          </w:tcPr>
          <w:p w14:paraId="1A60F8BB" w14:textId="77777777" w:rsidR="006A4658" w:rsidRDefault="006A4658" w:rsidP="005E1F5E">
            <w:pPr>
              <w:spacing w:after="0"/>
            </w:pPr>
            <w:r>
              <w:t>Yes</w:t>
            </w:r>
          </w:p>
        </w:tc>
      </w:tr>
      <w:tr w:rsidR="006A4658" w14:paraId="086F36E8" w14:textId="77777777" w:rsidTr="005E1F5E">
        <w:tc>
          <w:tcPr>
            <w:tcW w:w="2122" w:type="dxa"/>
            <w:vAlign w:val="center"/>
          </w:tcPr>
          <w:p w14:paraId="58B28529" w14:textId="77777777" w:rsidR="006A4658" w:rsidRDefault="006A4658" w:rsidP="005E1F5E">
            <w:pPr>
              <w:spacing w:after="0"/>
            </w:pPr>
            <w:r>
              <w:t>7.5.2</w:t>
            </w:r>
          </w:p>
        </w:tc>
        <w:tc>
          <w:tcPr>
            <w:tcW w:w="6095" w:type="dxa"/>
            <w:vAlign w:val="center"/>
          </w:tcPr>
          <w:p w14:paraId="53AB6610" w14:textId="77777777" w:rsidR="006A4658" w:rsidRPr="00CB1D88" w:rsidRDefault="006A4658" w:rsidP="005E1F5E">
            <w:pPr>
              <w:spacing w:after="0"/>
              <w:rPr>
                <w:vertAlign w:val="superscript"/>
              </w:rPr>
            </w:pPr>
            <w:r w:rsidRPr="00A74695">
              <w:t>Test of immunity to electrostatic discharges (ESD)</w:t>
            </w:r>
          </w:p>
        </w:tc>
        <w:tc>
          <w:tcPr>
            <w:tcW w:w="1525" w:type="dxa"/>
            <w:vAlign w:val="center"/>
          </w:tcPr>
          <w:p w14:paraId="71774A6D" w14:textId="77777777" w:rsidR="006A4658" w:rsidRDefault="006A4658" w:rsidP="005E1F5E">
            <w:pPr>
              <w:spacing w:after="0"/>
            </w:pPr>
            <w:r>
              <w:t>Yes</w:t>
            </w:r>
          </w:p>
        </w:tc>
      </w:tr>
      <w:tr w:rsidR="006A4658" w14:paraId="0E768FD7" w14:textId="77777777" w:rsidTr="005E1F5E">
        <w:tc>
          <w:tcPr>
            <w:tcW w:w="2122" w:type="dxa"/>
            <w:vAlign w:val="center"/>
          </w:tcPr>
          <w:p w14:paraId="2D9A06C6" w14:textId="77777777" w:rsidR="006A4658" w:rsidRDefault="006A4658" w:rsidP="005E1F5E">
            <w:pPr>
              <w:spacing w:after="0"/>
            </w:pPr>
            <w:r>
              <w:t>7.5.3</w:t>
            </w:r>
          </w:p>
        </w:tc>
        <w:tc>
          <w:tcPr>
            <w:tcW w:w="6095" w:type="dxa"/>
            <w:vAlign w:val="center"/>
          </w:tcPr>
          <w:p w14:paraId="09029F04" w14:textId="77777777" w:rsidR="006A4658" w:rsidRDefault="006A4658" w:rsidP="005E1F5E">
            <w:pPr>
              <w:spacing w:after="0"/>
            </w:pPr>
            <w:r w:rsidRPr="00A74695">
              <w:t>Test of immunity to electromagnetic RF field</w:t>
            </w:r>
            <w:r>
              <w:t>s</w:t>
            </w:r>
          </w:p>
        </w:tc>
        <w:tc>
          <w:tcPr>
            <w:tcW w:w="1525" w:type="dxa"/>
            <w:vAlign w:val="center"/>
          </w:tcPr>
          <w:p w14:paraId="449B2210" w14:textId="77777777" w:rsidR="006A4658" w:rsidRDefault="006A4658" w:rsidP="005E1F5E">
            <w:pPr>
              <w:spacing w:after="0"/>
            </w:pPr>
            <w:r>
              <w:t>Yes</w:t>
            </w:r>
          </w:p>
        </w:tc>
      </w:tr>
      <w:tr w:rsidR="006A4658" w14:paraId="73117B70" w14:textId="77777777" w:rsidTr="005E1F5E">
        <w:tc>
          <w:tcPr>
            <w:tcW w:w="2122" w:type="dxa"/>
            <w:vAlign w:val="center"/>
          </w:tcPr>
          <w:p w14:paraId="7578DE47" w14:textId="77777777" w:rsidR="006A4658" w:rsidRDefault="006A4658" w:rsidP="005E1F5E">
            <w:pPr>
              <w:spacing w:after="0"/>
            </w:pPr>
            <w:r>
              <w:t>7.5.4</w:t>
            </w:r>
          </w:p>
        </w:tc>
        <w:tc>
          <w:tcPr>
            <w:tcW w:w="6095" w:type="dxa"/>
            <w:vAlign w:val="center"/>
          </w:tcPr>
          <w:p w14:paraId="38F44C52" w14:textId="77777777" w:rsidR="006A4658" w:rsidRDefault="006A4658" w:rsidP="005E1F5E">
            <w:pPr>
              <w:spacing w:after="0"/>
            </w:pPr>
            <w:r w:rsidRPr="00A74695">
              <w:t>Fast transient burst test</w:t>
            </w:r>
          </w:p>
        </w:tc>
        <w:tc>
          <w:tcPr>
            <w:tcW w:w="1525" w:type="dxa"/>
            <w:vAlign w:val="center"/>
          </w:tcPr>
          <w:p w14:paraId="0F20A974" w14:textId="77777777" w:rsidR="006A4658" w:rsidRDefault="006A4658" w:rsidP="005E1F5E">
            <w:pPr>
              <w:spacing w:after="0"/>
            </w:pPr>
            <w:r>
              <w:t>Yes</w:t>
            </w:r>
          </w:p>
        </w:tc>
      </w:tr>
      <w:tr w:rsidR="006A4658" w14:paraId="43DEB21B" w14:textId="77777777" w:rsidTr="005E1F5E">
        <w:tc>
          <w:tcPr>
            <w:tcW w:w="2122" w:type="dxa"/>
            <w:vAlign w:val="center"/>
          </w:tcPr>
          <w:p w14:paraId="00B96FA7" w14:textId="77777777" w:rsidR="006A4658" w:rsidRDefault="006A4658" w:rsidP="005E1F5E">
            <w:pPr>
              <w:spacing w:after="0"/>
            </w:pPr>
            <w:r>
              <w:t>7.5.5</w:t>
            </w:r>
          </w:p>
        </w:tc>
        <w:tc>
          <w:tcPr>
            <w:tcW w:w="6095" w:type="dxa"/>
            <w:vAlign w:val="center"/>
          </w:tcPr>
          <w:p w14:paraId="64FD05CC" w14:textId="77777777" w:rsidR="006A4658" w:rsidRDefault="006A4658" w:rsidP="005E1F5E">
            <w:pPr>
              <w:spacing w:after="0"/>
            </w:pPr>
            <w:r w:rsidRPr="00A74695">
              <w:t>Test of immunity to conducted disturbances, induced by RF fields</w:t>
            </w:r>
          </w:p>
        </w:tc>
        <w:tc>
          <w:tcPr>
            <w:tcW w:w="1525" w:type="dxa"/>
            <w:vAlign w:val="center"/>
          </w:tcPr>
          <w:p w14:paraId="59D462C9" w14:textId="77777777" w:rsidR="006A4658" w:rsidRDefault="006A4658" w:rsidP="005E1F5E">
            <w:pPr>
              <w:spacing w:after="0"/>
            </w:pPr>
            <w:r>
              <w:t>Yes</w:t>
            </w:r>
          </w:p>
        </w:tc>
      </w:tr>
      <w:tr w:rsidR="006A4658" w14:paraId="4B9F8941" w14:textId="77777777" w:rsidTr="005E1F5E">
        <w:tc>
          <w:tcPr>
            <w:tcW w:w="2122" w:type="dxa"/>
            <w:vAlign w:val="center"/>
          </w:tcPr>
          <w:p w14:paraId="51637DAA" w14:textId="77777777" w:rsidR="006A4658" w:rsidRDefault="006A4658" w:rsidP="005E1F5E">
            <w:pPr>
              <w:spacing w:after="0"/>
            </w:pPr>
            <w:r>
              <w:t>7.5.6</w:t>
            </w:r>
          </w:p>
        </w:tc>
        <w:tc>
          <w:tcPr>
            <w:tcW w:w="6095" w:type="dxa"/>
            <w:vAlign w:val="center"/>
          </w:tcPr>
          <w:p w14:paraId="70D8C403" w14:textId="77777777" w:rsidR="006A4658" w:rsidRDefault="006A4658" w:rsidP="005E1F5E">
            <w:pPr>
              <w:spacing w:after="0"/>
            </w:pPr>
            <w:r w:rsidRPr="00A74695">
              <w:t>Surge immunity test</w:t>
            </w:r>
          </w:p>
        </w:tc>
        <w:tc>
          <w:tcPr>
            <w:tcW w:w="1525" w:type="dxa"/>
            <w:vAlign w:val="center"/>
          </w:tcPr>
          <w:p w14:paraId="46E49E73" w14:textId="77777777" w:rsidR="006A4658" w:rsidRDefault="006A4658" w:rsidP="005E1F5E">
            <w:pPr>
              <w:spacing w:after="0"/>
            </w:pPr>
            <w:r>
              <w:t>Yes</w:t>
            </w:r>
          </w:p>
        </w:tc>
      </w:tr>
      <w:tr w:rsidR="006A4658" w14:paraId="515DE9D9" w14:textId="77777777" w:rsidTr="005E1F5E">
        <w:tc>
          <w:tcPr>
            <w:tcW w:w="2122" w:type="dxa"/>
            <w:vAlign w:val="center"/>
          </w:tcPr>
          <w:p w14:paraId="42615688" w14:textId="77777777" w:rsidR="006A4658" w:rsidRDefault="006A4658" w:rsidP="005E1F5E">
            <w:pPr>
              <w:spacing w:after="0"/>
            </w:pPr>
            <w:r>
              <w:t>7.5.7</w:t>
            </w:r>
          </w:p>
        </w:tc>
        <w:tc>
          <w:tcPr>
            <w:tcW w:w="6095" w:type="dxa"/>
            <w:vAlign w:val="center"/>
          </w:tcPr>
          <w:p w14:paraId="2B418A08" w14:textId="77777777" w:rsidR="006A4658" w:rsidRDefault="006A4658" w:rsidP="005E1F5E">
            <w:pPr>
              <w:spacing w:after="0"/>
            </w:pPr>
            <w:r w:rsidRPr="00A74695">
              <w:t>Damped oscillatory waves immunity test</w:t>
            </w:r>
          </w:p>
        </w:tc>
        <w:tc>
          <w:tcPr>
            <w:tcW w:w="1525" w:type="dxa"/>
            <w:vAlign w:val="center"/>
          </w:tcPr>
          <w:p w14:paraId="0C591A98" w14:textId="77777777" w:rsidR="006A4658" w:rsidRDefault="006A4658" w:rsidP="005E1F5E">
            <w:pPr>
              <w:spacing w:after="0"/>
            </w:pPr>
            <w:r>
              <w:t>Yes</w:t>
            </w:r>
          </w:p>
        </w:tc>
      </w:tr>
      <w:tr w:rsidR="006A4658" w14:paraId="7B9E31FE" w14:textId="77777777" w:rsidTr="005E1F5E">
        <w:tc>
          <w:tcPr>
            <w:tcW w:w="2122" w:type="dxa"/>
            <w:vAlign w:val="center"/>
          </w:tcPr>
          <w:p w14:paraId="1AE0FF41" w14:textId="77777777" w:rsidR="006A4658" w:rsidRDefault="006A4658" w:rsidP="005E1F5E">
            <w:pPr>
              <w:spacing w:after="0"/>
            </w:pPr>
            <w:r>
              <w:t>7.5.8</w:t>
            </w:r>
          </w:p>
        </w:tc>
        <w:tc>
          <w:tcPr>
            <w:tcW w:w="6095" w:type="dxa"/>
            <w:vAlign w:val="center"/>
          </w:tcPr>
          <w:p w14:paraId="44AD16C9" w14:textId="77777777" w:rsidR="006A4658" w:rsidRDefault="006A4658" w:rsidP="005E1F5E">
            <w:pPr>
              <w:spacing w:after="0"/>
            </w:pPr>
            <w:r w:rsidRPr="00A74695">
              <w:t>Radio interference suppression</w:t>
            </w:r>
          </w:p>
        </w:tc>
        <w:tc>
          <w:tcPr>
            <w:tcW w:w="1525" w:type="dxa"/>
            <w:vAlign w:val="center"/>
          </w:tcPr>
          <w:p w14:paraId="3F50035F" w14:textId="77777777" w:rsidR="006A4658" w:rsidRDefault="006A4658" w:rsidP="005E1F5E">
            <w:pPr>
              <w:spacing w:after="0"/>
            </w:pPr>
            <w:r>
              <w:t>Not Assessed</w:t>
            </w:r>
          </w:p>
        </w:tc>
      </w:tr>
    </w:tbl>
    <w:p w14:paraId="7EF0DF58" w14:textId="390C5DC0" w:rsidR="006A4658" w:rsidRDefault="006A4658" w:rsidP="006A4658">
      <w:pPr>
        <w:pStyle w:val="Caption"/>
        <w:keepNext/>
      </w:pPr>
      <w:r>
        <w:t xml:space="preserve">Table </w:t>
      </w:r>
      <w:r w:rsidR="00D4258D">
        <w:t>8</w:t>
      </w:r>
      <w:r>
        <w:t xml:space="preserve"> Accuracy Requirements</w:t>
      </w:r>
    </w:p>
    <w:tbl>
      <w:tblPr>
        <w:tblStyle w:val="TableGrid"/>
        <w:tblW w:w="0" w:type="auto"/>
        <w:tblCellMar>
          <w:top w:w="28" w:type="dxa"/>
          <w:bottom w:w="28" w:type="dxa"/>
        </w:tblCellMar>
        <w:tblLook w:val="04A0" w:firstRow="1" w:lastRow="0" w:firstColumn="1" w:lastColumn="0" w:noHBand="0" w:noVBand="1"/>
      </w:tblPr>
      <w:tblGrid>
        <w:gridCol w:w="2122"/>
        <w:gridCol w:w="6095"/>
        <w:gridCol w:w="1525"/>
      </w:tblGrid>
      <w:tr w:rsidR="006A4658" w14:paraId="1C53874A" w14:textId="77777777" w:rsidTr="005E1F5E">
        <w:tc>
          <w:tcPr>
            <w:tcW w:w="2122" w:type="dxa"/>
            <w:shd w:val="clear" w:color="auto" w:fill="F0DCDC"/>
            <w:vAlign w:val="center"/>
          </w:tcPr>
          <w:p w14:paraId="79B53FC1" w14:textId="4E2A1D6F" w:rsidR="006A4658" w:rsidRDefault="005D486B" w:rsidP="005E1F5E">
            <w:pPr>
              <w:spacing w:after="0"/>
            </w:pPr>
            <w:r>
              <w:t>AS 62053.21 [3] or</w:t>
            </w:r>
            <w:r>
              <w:br/>
              <w:t>AS 62053.22</w:t>
            </w:r>
          </w:p>
        </w:tc>
        <w:tc>
          <w:tcPr>
            <w:tcW w:w="6095" w:type="dxa"/>
            <w:shd w:val="clear" w:color="auto" w:fill="F0DCDC"/>
            <w:vAlign w:val="center"/>
          </w:tcPr>
          <w:p w14:paraId="395BDB01" w14:textId="77777777" w:rsidR="006A4658" w:rsidRDefault="006A4658" w:rsidP="005E1F5E">
            <w:pPr>
              <w:spacing w:after="0"/>
            </w:pPr>
            <w:r>
              <w:t>Description</w:t>
            </w:r>
          </w:p>
        </w:tc>
        <w:tc>
          <w:tcPr>
            <w:tcW w:w="1525" w:type="dxa"/>
            <w:shd w:val="clear" w:color="auto" w:fill="F0DCDC"/>
            <w:vAlign w:val="center"/>
          </w:tcPr>
          <w:p w14:paraId="13ED9400" w14:textId="77777777" w:rsidR="006A4658" w:rsidRDefault="006A4658" w:rsidP="005E1F5E">
            <w:pPr>
              <w:spacing w:after="0"/>
            </w:pPr>
            <w:r>
              <w:t>Assessed?</w:t>
            </w:r>
          </w:p>
        </w:tc>
      </w:tr>
      <w:tr w:rsidR="006A4658" w14:paraId="685C7228" w14:textId="77777777" w:rsidTr="005E1F5E">
        <w:tc>
          <w:tcPr>
            <w:tcW w:w="2122" w:type="dxa"/>
            <w:vAlign w:val="center"/>
          </w:tcPr>
          <w:p w14:paraId="4B79D9B4" w14:textId="77777777" w:rsidR="006A4658" w:rsidRDefault="006A4658" w:rsidP="005E1F5E">
            <w:pPr>
              <w:spacing w:after="0"/>
            </w:pPr>
            <w:r>
              <w:t>8.1</w:t>
            </w:r>
          </w:p>
        </w:tc>
        <w:tc>
          <w:tcPr>
            <w:tcW w:w="6095" w:type="dxa"/>
            <w:vAlign w:val="center"/>
          </w:tcPr>
          <w:p w14:paraId="1CA1B498" w14:textId="77777777" w:rsidR="006A4658" w:rsidRDefault="006A4658" w:rsidP="005E1F5E">
            <w:pPr>
              <w:spacing w:after="0"/>
            </w:pPr>
            <w:r>
              <w:t>Limits of error due to variation of the current</w:t>
            </w:r>
          </w:p>
        </w:tc>
        <w:tc>
          <w:tcPr>
            <w:tcW w:w="1525" w:type="dxa"/>
            <w:vAlign w:val="center"/>
          </w:tcPr>
          <w:p w14:paraId="0299FBC5" w14:textId="77777777" w:rsidR="006A4658" w:rsidRDefault="006A4658" w:rsidP="005E1F5E">
            <w:pPr>
              <w:spacing w:after="0"/>
            </w:pPr>
            <w:r>
              <w:t>Yes</w:t>
            </w:r>
          </w:p>
        </w:tc>
      </w:tr>
      <w:tr w:rsidR="006A4658" w14:paraId="4DC43C13" w14:textId="77777777" w:rsidTr="005E1F5E">
        <w:tc>
          <w:tcPr>
            <w:tcW w:w="2122" w:type="dxa"/>
            <w:vAlign w:val="center"/>
          </w:tcPr>
          <w:p w14:paraId="3D944E36" w14:textId="77777777" w:rsidR="006A4658" w:rsidRDefault="006A4658" w:rsidP="005E1F5E">
            <w:pPr>
              <w:spacing w:after="0"/>
            </w:pPr>
            <w:r>
              <w:t>8.2</w:t>
            </w:r>
          </w:p>
        </w:tc>
        <w:tc>
          <w:tcPr>
            <w:tcW w:w="6095" w:type="dxa"/>
            <w:vAlign w:val="center"/>
          </w:tcPr>
          <w:p w14:paraId="7D894AC0" w14:textId="611E35B1" w:rsidR="006A4658" w:rsidRPr="00755292" w:rsidRDefault="006A4658" w:rsidP="005E1F5E">
            <w:pPr>
              <w:spacing w:after="0"/>
              <w:rPr>
                <w:vertAlign w:val="superscript"/>
              </w:rPr>
            </w:pPr>
            <w:r>
              <w:t>Limits of error due to influence quantities</w:t>
            </w:r>
            <w:r w:rsidR="00755292">
              <w:rPr>
                <w:vertAlign w:val="superscript"/>
              </w:rPr>
              <w:t>1</w:t>
            </w:r>
          </w:p>
        </w:tc>
        <w:tc>
          <w:tcPr>
            <w:tcW w:w="1525" w:type="dxa"/>
            <w:vAlign w:val="center"/>
          </w:tcPr>
          <w:p w14:paraId="17059F7D" w14:textId="77777777" w:rsidR="006A4658" w:rsidRDefault="006A4658" w:rsidP="005E1F5E">
            <w:pPr>
              <w:spacing w:after="0"/>
            </w:pPr>
            <w:r>
              <w:t>Yes</w:t>
            </w:r>
          </w:p>
        </w:tc>
      </w:tr>
      <w:tr w:rsidR="006A4658" w14:paraId="08E8A828" w14:textId="77777777" w:rsidTr="005E1F5E">
        <w:tc>
          <w:tcPr>
            <w:tcW w:w="2122" w:type="dxa"/>
            <w:vAlign w:val="center"/>
          </w:tcPr>
          <w:p w14:paraId="7C41918C" w14:textId="77777777" w:rsidR="006A4658" w:rsidRDefault="006A4658" w:rsidP="005E1F5E">
            <w:pPr>
              <w:spacing w:after="0"/>
            </w:pPr>
            <w:r>
              <w:t>8.3</w:t>
            </w:r>
          </w:p>
        </w:tc>
        <w:tc>
          <w:tcPr>
            <w:tcW w:w="6095" w:type="dxa"/>
            <w:vAlign w:val="center"/>
          </w:tcPr>
          <w:p w14:paraId="7A79903B" w14:textId="77777777" w:rsidR="006A4658" w:rsidRDefault="006A4658" w:rsidP="005E1F5E">
            <w:pPr>
              <w:spacing w:after="0"/>
            </w:pPr>
            <w:r>
              <w:t>Test of starting and no-load condition</w:t>
            </w:r>
          </w:p>
        </w:tc>
        <w:tc>
          <w:tcPr>
            <w:tcW w:w="1525" w:type="dxa"/>
            <w:vAlign w:val="center"/>
          </w:tcPr>
          <w:p w14:paraId="249F28B0" w14:textId="77777777" w:rsidR="006A4658" w:rsidRDefault="006A4658" w:rsidP="005E1F5E">
            <w:pPr>
              <w:spacing w:after="0"/>
            </w:pPr>
            <w:r>
              <w:t>Yes</w:t>
            </w:r>
          </w:p>
        </w:tc>
      </w:tr>
      <w:tr w:rsidR="006A4658" w14:paraId="75D1DAF7" w14:textId="77777777" w:rsidTr="005E1F5E">
        <w:tc>
          <w:tcPr>
            <w:tcW w:w="2122" w:type="dxa"/>
            <w:vAlign w:val="center"/>
          </w:tcPr>
          <w:p w14:paraId="6087AD31" w14:textId="77777777" w:rsidR="006A4658" w:rsidRDefault="006A4658" w:rsidP="005E1F5E">
            <w:pPr>
              <w:spacing w:after="0"/>
            </w:pPr>
            <w:r>
              <w:t>8.4</w:t>
            </w:r>
          </w:p>
        </w:tc>
        <w:tc>
          <w:tcPr>
            <w:tcW w:w="6095" w:type="dxa"/>
            <w:vAlign w:val="center"/>
          </w:tcPr>
          <w:p w14:paraId="500C2683" w14:textId="77777777" w:rsidR="006A4658" w:rsidRDefault="006A4658" w:rsidP="005E1F5E">
            <w:pPr>
              <w:spacing w:after="0"/>
            </w:pPr>
            <w:r>
              <w:t>Meter constant</w:t>
            </w:r>
          </w:p>
        </w:tc>
        <w:tc>
          <w:tcPr>
            <w:tcW w:w="1525" w:type="dxa"/>
            <w:vAlign w:val="center"/>
          </w:tcPr>
          <w:p w14:paraId="7D2E5723" w14:textId="77777777" w:rsidR="006A4658" w:rsidRDefault="006A4658" w:rsidP="005E1F5E">
            <w:pPr>
              <w:spacing w:after="0"/>
            </w:pPr>
            <w:r>
              <w:t>Yes</w:t>
            </w:r>
          </w:p>
        </w:tc>
      </w:tr>
    </w:tbl>
    <w:p w14:paraId="5EFEABC0" w14:textId="7E181D7C" w:rsidR="00755292" w:rsidRPr="00467B89" w:rsidRDefault="00755292" w:rsidP="00755292">
      <w:pPr>
        <w:pStyle w:val="Note"/>
      </w:pPr>
      <w:r>
        <w:t>Note 1:</w:t>
      </w:r>
      <w:r>
        <w:tab/>
      </w:r>
      <w:r w:rsidR="00467B89">
        <w:t>For the influence quantities where a current range is specified (ambient temperature, voltage and frequency variations) t</w:t>
      </w:r>
      <w:r>
        <w:t>he test</w:t>
      </w:r>
      <w:r w:rsidR="00467B89">
        <w:t xml:space="preserve"> points shall include the maximum current, basic (or nominal) current and the lowest current in the range for each specified power factor.</w:t>
      </w:r>
    </w:p>
    <w:p w14:paraId="0ECA1C50" w14:textId="158C45F0" w:rsidR="006A4658" w:rsidRDefault="006A4658" w:rsidP="006A4658">
      <w:pPr>
        <w:pStyle w:val="Caption"/>
        <w:keepNext/>
      </w:pPr>
      <w:r>
        <w:t xml:space="preserve">Table </w:t>
      </w:r>
      <w:r w:rsidR="00D4258D">
        <w:t>9</w:t>
      </w:r>
      <w:r>
        <w:t xml:space="preserve"> Appendices</w:t>
      </w:r>
    </w:p>
    <w:tbl>
      <w:tblPr>
        <w:tblStyle w:val="TableGrid"/>
        <w:tblW w:w="0" w:type="auto"/>
        <w:tblCellMar>
          <w:top w:w="28" w:type="dxa"/>
          <w:bottom w:w="28" w:type="dxa"/>
        </w:tblCellMar>
        <w:tblLook w:val="04A0" w:firstRow="1" w:lastRow="0" w:firstColumn="1" w:lastColumn="0" w:noHBand="0" w:noVBand="1"/>
      </w:tblPr>
      <w:tblGrid>
        <w:gridCol w:w="2122"/>
        <w:gridCol w:w="6095"/>
        <w:gridCol w:w="1525"/>
      </w:tblGrid>
      <w:tr w:rsidR="005D486B" w14:paraId="54EA17D3" w14:textId="77777777" w:rsidTr="005E1F5E">
        <w:tc>
          <w:tcPr>
            <w:tcW w:w="2122" w:type="dxa"/>
            <w:shd w:val="clear" w:color="auto" w:fill="F0DCDC"/>
            <w:vAlign w:val="center"/>
          </w:tcPr>
          <w:p w14:paraId="7AACCFCC" w14:textId="4E4BA923" w:rsidR="005D486B" w:rsidRDefault="005D486B" w:rsidP="005D486B">
            <w:pPr>
              <w:spacing w:after="0"/>
            </w:pPr>
            <w:r>
              <w:t>AS 62052.11 [2]</w:t>
            </w:r>
          </w:p>
        </w:tc>
        <w:tc>
          <w:tcPr>
            <w:tcW w:w="6095" w:type="dxa"/>
            <w:shd w:val="clear" w:color="auto" w:fill="F0DCDC"/>
            <w:vAlign w:val="center"/>
          </w:tcPr>
          <w:p w14:paraId="52ACC1CA" w14:textId="77777777" w:rsidR="005D486B" w:rsidRDefault="005D486B" w:rsidP="005D486B">
            <w:pPr>
              <w:spacing w:after="0"/>
            </w:pPr>
            <w:r>
              <w:t>Description</w:t>
            </w:r>
          </w:p>
        </w:tc>
        <w:tc>
          <w:tcPr>
            <w:tcW w:w="1525" w:type="dxa"/>
            <w:shd w:val="clear" w:color="auto" w:fill="F0DCDC"/>
            <w:vAlign w:val="center"/>
          </w:tcPr>
          <w:p w14:paraId="489345D0" w14:textId="77777777" w:rsidR="005D486B" w:rsidRDefault="005D486B" w:rsidP="005D486B">
            <w:pPr>
              <w:spacing w:after="0"/>
            </w:pPr>
            <w:r>
              <w:t>Assessed?</w:t>
            </w:r>
          </w:p>
        </w:tc>
      </w:tr>
      <w:tr w:rsidR="006A4658" w14:paraId="48C405CC" w14:textId="77777777" w:rsidTr="005E1F5E">
        <w:tc>
          <w:tcPr>
            <w:tcW w:w="2122" w:type="dxa"/>
            <w:vAlign w:val="center"/>
          </w:tcPr>
          <w:p w14:paraId="33A0DCA2" w14:textId="77777777" w:rsidR="006A4658" w:rsidRDefault="006A4658" w:rsidP="005E1F5E">
            <w:pPr>
              <w:spacing w:after="0"/>
            </w:pPr>
            <w:r>
              <w:t>Appendix ZA</w:t>
            </w:r>
          </w:p>
        </w:tc>
        <w:tc>
          <w:tcPr>
            <w:tcW w:w="6095" w:type="dxa"/>
            <w:vAlign w:val="center"/>
          </w:tcPr>
          <w:p w14:paraId="3D3D0AAB" w14:textId="77777777" w:rsidR="006A4658" w:rsidRPr="00201A80" w:rsidRDefault="006A4658" w:rsidP="005E1F5E">
            <w:pPr>
              <w:spacing w:after="0"/>
              <w:rPr>
                <w:vertAlign w:val="superscript"/>
              </w:rPr>
            </w:pPr>
            <w:r>
              <w:t>Method for the Determination of the Resistance of Certain Components to Ultraviolet Light</w:t>
            </w:r>
            <w:r>
              <w:rPr>
                <w:vertAlign w:val="superscript"/>
              </w:rPr>
              <w:t>1</w:t>
            </w:r>
          </w:p>
        </w:tc>
        <w:tc>
          <w:tcPr>
            <w:tcW w:w="1525" w:type="dxa"/>
            <w:vAlign w:val="center"/>
          </w:tcPr>
          <w:p w14:paraId="69CF1776" w14:textId="77777777" w:rsidR="006A4658" w:rsidRDefault="006A4658" w:rsidP="005E1F5E">
            <w:pPr>
              <w:spacing w:after="0"/>
            </w:pPr>
            <w:r>
              <w:t>Yes</w:t>
            </w:r>
          </w:p>
        </w:tc>
      </w:tr>
      <w:tr w:rsidR="006A4658" w14:paraId="69DDD15C" w14:textId="77777777" w:rsidTr="005E1F5E">
        <w:tc>
          <w:tcPr>
            <w:tcW w:w="2122" w:type="dxa"/>
            <w:vAlign w:val="center"/>
          </w:tcPr>
          <w:p w14:paraId="231F4D96" w14:textId="77777777" w:rsidR="006A4658" w:rsidRPr="00900E8E" w:rsidRDefault="006A4658" w:rsidP="005E1F5E">
            <w:pPr>
              <w:spacing w:after="0"/>
            </w:pPr>
            <w:r w:rsidRPr="00900E8E">
              <w:t>Appendix ZB</w:t>
            </w:r>
          </w:p>
        </w:tc>
        <w:tc>
          <w:tcPr>
            <w:tcW w:w="6095" w:type="dxa"/>
            <w:vAlign w:val="center"/>
          </w:tcPr>
          <w:p w14:paraId="02F02B3E" w14:textId="77777777" w:rsidR="006A4658" w:rsidRPr="00900E8E" w:rsidRDefault="006A4658" w:rsidP="005E1F5E">
            <w:pPr>
              <w:spacing w:after="0"/>
            </w:pPr>
            <w:r w:rsidRPr="00900E8E">
              <w:t>Disconnect After Reconnect Capability</w:t>
            </w:r>
          </w:p>
        </w:tc>
        <w:tc>
          <w:tcPr>
            <w:tcW w:w="1525" w:type="dxa"/>
            <w:vAlign w:val="center"/>
          </w:tcPr>
          <w:p w14:paraId="52B7A265" w14:textId="77777777" w:rsidR="006A4658" w:rsidRPr="00900E8E" w:rsidRDefault="006A4658" w:rsidP="005E1F5E">
            <w:pPr>
              <w:spacing w:after="0"/>
            </w:pPr>
            <w:r w:rsidRPr="00201A80">
              <w:t>No</w:t>
            </w:r>
            <w:r>
              <w:t>t</w:t>
            </w:r>
            <w:r w:rsidRPr="00201A80">
              <w:t xml:space="preserve"> assessed</w:t>
            </w:r>
          </w:p>
        </w:tc>
      </w:tr>
      <w:tr w:rsidR="006A4658" w14:paraId="4FEE2D63" w14:textId="77777777" w:rsidTr="005E1F5E">
        <w:tc>
          <w:tcPr>
            <w:tcW w:w="2122" w:type="dxa"/>
            <w:vAlign w:val="center"/>
          </w:tcPr>
          <w:p w14:paraId="7DB5B100" w14:textId="77777777" w:rsidR="006A4658" w:rsidRDefault="006A4658" w:rsidP="005E1F5E">
            <w:pPr>
              <w:spacing w:after="0"/>
            </w:pPr>
            <w:r>
              <w:t>Appendix ZC</w:t>
            </w:r>
          </w:p>
        </w:tc>
        <w:tc>
          <w:tcPr>
            <w:tcW w:w="6095" w:type="dxa"/>
            <w:vAlign w:val="center"/>
          </w:tcPr>
          <w:p w14:paraId="3E54537F" w14:textId="77777777" w:rsidR="006A4658" w:rsidRDefault="006A4658" w:rsidP="005E1F5E">
            <w:pPr>
              <w:spacing w:after="0"/>
            </w:pPr>
            <w:r>
              <w:t>Time Keeping Performance</w:t>
            </w:r>
          </w:p>
        </w:tc>
        <w:tc>
          <w:tcPr>
            <w:tcW w:w="1525" w:type="dxa"/>
            <w:vAlign w:val="center"/>
          </w:tcPr>
          <w:p w14:paraId="44140AC6" w14:textId="77777777" w:rsidR="006A4658" w:rsidRDefault="006A4658" w:rsidP="005E1F5E">
            <w:pPr>
              <w:spacing w:after="0"/>
            </w:pPr>
            <w:r>
              <w:t>Yes</w:t>
            </w:r>
          </w:p>
        </w:tc>
      </w:tr>
    </w:tbl>
    <w:p w14:paraId="570CFBB8" w14:textId="4163C927" w:rsidR="006A4658" w:rsidRDefault="006A4658" w:rsidP="006A4658">
      <w:pPr>
        <w:pStyle w:val="Note"/>
      </w:pPr>
      <w:r>
        <w:t>Note 1:</w:t>
      </w:r>
      <w:r>
        <w:tab/>
        <w:t>This test is also referenced in clause 6.3.4 Protection Against Solar Radiation.</w:t>
      </w:r>
    </w:p>
    <w:p w14:paraId="37B5007C" w14:textId="77777777" w:rsidR="00342045" w:rsidRDefault="00342045" w:rsidP="00342045">
      <w:pPr>
        <w:pStyle w:val="Heading1"/>
      </w:pPr>
      <w:bookmarkStart w:id="20" w:name="_Toc78473796"/>
      <w:r>
        <w:lastRenderedPageBreak/>
        <w:t>General</w:t>
      </w:r>
      <w:bookmarkEnd w:id="20"/>
    </w:p>
    <w:p w14:paraId="7EB46481" w14:textId="4CB6A8B3" w:rsidR="00D0156B" w:rsidRDefault="00342045" w:rsidP="00D0156B">
      <w:pPr>
        <w:pStyle w:val="Heading2"/>
      </w:pPr>
      <w:bookmarkStart w:id="21" w:name="_Toc78473797"/>
      <w:r>
        <w:t>Pattern Approval</w:t>
      </w:r>
      <w:bookmarkEnd w:id="21"/>
    </w:p>
    <w:p w14:paraId="5878F7DB" w14:textId="77777777" w:rsidR="00342045" w:rsidRDefault="00342045" w:rsidP="00342045">
      <w:pPr>
        <w:pStyle w:val="Heading3"/>
      </w:pPr>
      <w:r>
        <w:t>Documentation</w:t>
      </w:r>
    </w:p>
    <w:p w14:paraId="33C96739" w14:textId="42540867" w:rsidR="00342045" w:rsidRDefault="00342045" w:rsidP="00342045">
      <w:pPr>
        <w:spacing w:after="200"/>
      </w:pPr>
      <w:r>
        <w:t xml:space="preserve">Submission of a meter for pattern approval shall be in accordance with the latest version of </w:t>
      </w:r>
      <w:r w:rsidRPr="00342045">
        <w:rPr>
          <w:i/>
        </w:rPr>
        <w:t xml:space="preserve">NMI P 106 </w:t>
      </w:r>
      <w:r w:rsidR="00DD4C32" w:rsidRPr="00DD4C32">
        <w:rPr>
          <w:i/>
        </w:rPr>
        <w:t>Procedures for the Approval and Certification of Patterns of Measuring Instruments</w:t>
      </w:r>
      <w:r>
        <w:t xml:space="preserve"> </w:t>
      </w:r>
      <w:r w:rsidRPr="00D4258D">
        <w:t>[</w:t>
      </w:r>
      <w:r w:rsidR="00D4258D" w:rsidRPr="00D4258D">
        <w:t>9</w:t>
      </w:r>
      <w:r w:rsidRPr="00D4258D">
        <w:t>]</w:t>
      </w:r>
      <w:r>
        <w:t>. A submission shall be accompanied by sufficient technical information including drawings, specifications, photographs and descriptions to ensure complete understanding of the construction and method of operation of the meter.</w:t>
      </w:r>
    </w:p>
    <w:p w14:paraId="5089C74E" w14:textId="77777777" w:rsidR="00342045" w:rsidRDefault="00342045" w:rsidP="00342045">
      <w:pPr>
        <w:spacing w:after="200"/>
      </w:pPr>
      <w:r>
        <w:t>Details of the measurement data contained in the memory and calculation methods shall also be provided.</w:t>
      </w:r>
    </w:p>
    <w:p w14:paraId="50AFCDC2" w14:textId="12AA71AF" w:rsidR="00342045" w:rsidRDefault="00342045" w:rsidP="00342045">
      <w:pPr>
        <w:spacing w:after="200"/>
      </w:pPr>
      <w:r>
        <w:t>For meters with solid state components the documentation shall include a list of solid state sub-assemblies with their essential characteristics, and a description of the solid state devices with drawings, diagrams and general software information explaining their construction and operation.</w:t>
      </w:r>
      <w:r w:rsidR="002928DB" w:rsidDel="002928DB">
        <w:t xml:space="preserve"> </w:t>
      </w:r>
    </w:p>
    <w:p w14:paraId="03755DD4" w14:textId="77777777" w:rsidR="00342045" w:rsidRDefault="00342045" w:rsidP="00342045">
      <w:pPr>
        <w:spacing w:after="200"/>
      </w:pPr>
      <w:r>
        <w:t>The software and/or firmware versions for which pattern approval is being sought shall be specified. The applicant shall advise NMI of future modifications to software and/or firmware with the potential to affect the metrology of the meter.</w:t>
      </w:r>
    </w:p>
    <w:p w14:paraId="51BB8968" w14:textId="77777777" w:rsidR="00342045" w:rsidRDefault="00342045" w:rsidP="00342045">
      <w:pPr>
        <w:pStyle w:val="Heading3"/>
      </w:pPr>
      <w:r>
        <w:t>Meters Submitted for Testing</w:t>
      </w:r>
    </w:p>
    <w:p w14:paraId="229329E8" w14:textId="3B5CD34A" w:rsidR="00342045" w:rsidRDefault="00AC1D6A" w:rsidP="00342045">
      <w:pPr>
        <w:spacing w:after="200"/>
      </w:pPr>
      <w:r>
        <w:t>Testing facilities shall carry out e</w:t>
      </w:r>
      <w:r w:rsidR="00342045">
        <w:t>xamination on one or more sample meters submitted for laboratory tests.</w:t>
      </w:r>
    </w:p>
    <w:p w14:paraId="02BB7BEE" w14:textId="77777777" w:rsidR="00342045" w:rsidRDefault="00342045" w:rsidP="00342045">
      <w:pPr>
        <w:pStyle w:val="Heading3"/>
      </w:pPr>
      <w:r>
        <w:t>Laboratory Examination</w:t>
      </w:r>
    </w:p>
    <w:p w14:paraId="6D8E1A59" w14:textId="5B3E6DA7" w:rsidR="00342045" w:rsidRDefault="009F2CBC" w:rsidP="00342045">
      <w:pPr>
        <w:spacing w:after="200"/>
      </w:pPr>
      <w:r>
        <w:t xml:space="preserve">Testing facilities shall </w:t>
      </w:r>
      <w:r w:rsidR="00342045">
        <w:t>examine</w:t>
      </w:r>
      <w:r>
        <w:t xml:space="preserve"> the </w:t>
      </w:r>
      <w:r w:rsidR="00A44112">
        <w:t xml:space="preserve">sample </w:t>
      </w:r>
      <w:r>
        <w:t>meters</w:t>
      </w:r>
      <w:r w:rsidR="00342045">
        <w:t xml:space="preserve"> in conjunction with the submitted documentation to </w:t>
      </w:r>
      <w:r w:rsidR="00A44112">
        <w:t>assess whether the pattern</w:t>
      </w:r>
      <w:r w:rsidR="00342045">
        <w:t xml:space="preserve"> complies with the </w:t>
      </w:r>
      <w:r w:rsidR="0029562D">
        <w:t xml:space="preserve">applicable </w:t>
      </w:r>
      <w:r w:rsidR="00342045">
        <w:t>specifications</w:t>
      </w:r>
      <w:r w:rsidR="00DD4C32">
        <w:t>.</w:t>
      </w:r>
    </w:p>
    <w:p w14:paraId="7F95ADB5" w14:textId="77777777" w:rsidR="00342045" w:rsidRDefault="00342045" w:rsidP="00342045">
      <w:pPr>
        <w:pStyle w:val="Heading3"/>
      </w:pPr>
      <w:r>
        <w:t>Laboratory Tests</w:t>
      </w:r>
    </w:p>
    <w:p w14:paraId="2C3606BF" w14:textId="77777777" w:rsidR="00342045" w:rsidRDefault="00342045" w:rsidP="00342045">
      <w:pPr>
        <w:pStyle w:val="Heading4"/>
      </w:pPr>
      <w:r>
        <w:t>General</w:t>
      </w:r>
    </w:p>
    <w:p w14:paraId="2FAD88F5" w14:textId="77777777" w:rsidR="00342045" w:rsidRDefault="00342045" w:rsidP="00342045">
      <w:pPr>
        <w:spacing w:after="200"/>
      </w:pPr>
      <w:r>
        <w:t>Laboratory tests shall be performed in accordance with any limitations of use marked on the meter or included in any documentation accompanying the meter.</w:t>
      </w:r>
    </w:p>
    <w:p w14:paraId="47963DD1" w14:textId="77777777" w:rsidR="00342045" w:rsidRDefault="00342045" w:rsidP="00342045">
      <w:pPr>
        <w:pStyle w:val="Heading4"/>
      </w:pPr>
      <w:r>
        <w:t>Tests for Interface</w:t>
      </w:r>
    </w:p>
    <w:p w14:paraId="69CE49F9" w14:textId="00FACBCF" w:rsidR="00342045" w:rsidRDefault="00342045" w:rsidP="00342045">
      <w:pPr>
        <w:spacing w:after="200"/>
      </w:pPr>
      <w:r>
        <w:t>If the meter is provided with an interface through which auxiliary devices or other meters can be connected, the tests shall be carried out with a sample device connected and tests applicable to the interface</w:t>
      </w:r>
      <w:r w:rsidR="00D94DD9">
        <w:t xml:space="preserve"> applied</w:t>
      </w:r>
      <w:r>
        <w:t>.</w:t>
      </w:r>
    </w:p>
    <w:p w14:paraId="29F8C780" w14:textId="77777777" w:rsidR="00342045" w:rsidRDefault="00342045" w:rsidP="00342045">
      <w:pPr>
        <w:pStyle w:val="Heading2"/>
      </w:pPr>
      <w:bookmarkStart w:id="22" w:name="_Toc78473798"/>
      <w:r>
        <w:t>Verification</w:t>
      </w:r>
      <w:bookmarkEnd w:id="22"/>
    </w:p>
    <w:p w14:paraId="7F52BBED" w14:textId="36ABB43C" w:rsidR="0026206A" w:rsidRDefault="00342045" w:rsidP="00A57EE3">
      <w:pPr>
        <w:spacing w:after="200"/>
      </w:pPr>
      <w:r>
        <w:t xml:space="preserve">Verification shall be performed in accordance with </w:t>
      </w:r>
      <w:r w:rsidRPr="00342045">
        <w:rPr>
          <w:i/>
        </w:rPr>
        <w:t>NITP 14 National Instrument Test Procedures for Utility Meters</w:t>
      </w:r>
      <w:r>
        <w:t>. Meters shall comply with any requirements listed in the certificate of approval.</w:t>
      </w:r>
    </w:p>
    <w:p w14:paraId="4D44CB17" w14:textId="3AB89A87" w:rsidR="00354618" w:rsidRDefault="00354618" w:rsidP="00354618">
      <w:pPr>
        <w:pStyle w:val="Note"/>
        <w:rPr>
          <w:rFonts w:asciiTheme="majorHAnsi" w:eastAsiaTheme="majorEastAsia" w:hAnsiTheme="majorHAnsi" w:cstheme="majorBidi"/>
          <w:b/>
          <w:bCs/>
          <w:color w:val="7C1222" w:themeColor="accent1" w:themeShade="BF"/>
          <w:sz w:val="28"/>
          <w:szCs w:val="28"/>
        </w:rPr>
      </w:pPr>
      <w:bookmarkStart w:id="23" w:name="_Toc528660298"/>
      <w:bookmarkEnd w:id="23"/>
      <w:bookmarkEnd w:id="1"/>
      <w:r>
        <w:br w:type="page"/>
      </w:r>
    </w:p>
    <w:p w14:paraId="54EE9717" w14:textId="57C21FA4" w:rsidR="00345B43" w:rsidRDefault="003B2752" w:rsidP="003B2752">
      <w:pPr>
        <w:pStyle w:val="Heading1-NoNumber"/>
      </w:pPr>
      <w:bookmarkStart w:id="24" w:name="_Toc78473799"/>
      <w:r>
        <w:lastRenderedPageBreak/>
        <w:t>Bibliography</w:t>
      </w:r>
      <w:bookmarkEnd w:id="24"/>
    </w:p>
    <w:p w14:paraId="15C5D664" w14:textId="4942454A" w:rsidR="002E10B7" w:rsidRDefault="002E10B7" w:rsidP="00347BB7">
      <w:pPr>
        <w:pStyle w:val="ListParagraph"/>
        <w:numPr>
          <w:ilvl w:val="0"/>
          <w:numId w:val="12"/>
        </w:numPr>
        <w:spacing w:after="80" w:line="240" w:lineRule="auto"/>
        <w:ind w:left="567" w:hanging="567"/>
        <w:contextualSpacing w:val="0"/>
      </w:pPr>
      <w:bookmarkStart w:id="25" w:name="_Ref291687561"/>
      <w:r>
        <w:t>NMI M 6-1</w:t>
      </w:r>
      <w:r w:rsidR="003D47EF">
        <w:t>, v4.</w:t>
      </w:r>
      <w:r w:rsidR="003D47EF" w:rsidRPr="007C0DCB">
        <w:t>0</w:t>
      </w:r>
      <w:r w:rsidRPr="007C0DCB">
        <w:t xml:space="preserve"> (</w:t>
      </w:r>
      <w:r w:rsidR="007C0DCB" w:rsidRPr="007C0DCB">
        <w:t>June</w:t>
      </w:r>
      <w:r w:rsidR="003D47EF" w:rsidRPr="007C0DCB">
        <w:t xml:space="preserve"> </w:t>
      </w:r>
      <w:r w:rsidRPr="007C0DCB">
        <w:t>202</w:t>
      </w:r>
      <w:r w:rsidR="007C0DCB" w:rsidRPr="007C0DCB">
        <w:t>2</w:t>
      </w:r>
      <w:r>
        <w:t xml:space="preserve">), </w:t>
      </w:r>
      <w:r w:rsidR="00A44112">
        <w:t>Active-Energy Electricity Meters (a.c.)</w:t>
      </w:r>
    </w:p>
    <w:p w14:paraId="782E4EF7" w14:textId="77777777" w:rsidR="00DD4C32" w:rsidRDefault="00DD4C32" w:rsidP="00347BB7">
      <w:pPr>
        <w:pStyle w:val="ListParagraph"/>
        <w:numPr>
          <w:ilvl w:val="0"/>
          <w:numId w:val="12"/>
        </w:numPr>
        <w:spacing w:after="80" w:line="240" w:lineRule="auto"/>
        <w:ind w:left="567" w:hanging="567"/>
        <w:contextualSpacing w:val="0"/>
      </w:pPr>
      <w:r>
        <w:t>AS 62052.11 (2018), Electricity metering equipment (AC)</w:t>
      </w:r>
      <w:r w:rsidRPr="00C15CB4">
        <w:rPr>
          <w:rFonts w:cs="Arial"/>
        </w:rPr>
        <w:t xml:space="preserve"> — </w:t>
      </w:r>
      <w:r>
        <w:t>General requirements, tests and test conditions, Part 11: Metering equipment (IEC 62052-11:2016 (ED.1.1) MOD)</w:t>
      </w:r>
    </w:p>
    <w:p w14:paraId="23985883" w14:textId="77777777" w:rsidR="00DD4C32" w:rsidRDefault="00DD4C32" w:rsidP="00347BB7">
      <w:pPr>
        <w:pStyle w:val="ListParagraph"/>
        <w:numPr>
          <w:ilvl w:val="0"/>
          <w:numId w:val="12"/>
        </w:numPr>
        <w:spacing w:after="80" w:line="240" w:lineRule="auto"/>
        <w:ind w:left="567" w:hanging="567"/>
        <w:contextualSpacing w:val="0"/>
      </w:pPr>
      <w:r w:rsidRPr="001F76EA">
        <w:t xml:space="preserve">AS 62053.21 </w:t>
      </w:r>
      <w:r>
        <w:t>(2018),</w:t>
      </w:r>
      <w:r w:rsidRPr="001F76EA">
        <w:t xml:space="preserve"> Electricity metering equipment (AC)</w:t>
      </w:r>
      <w:r w:rsidRPr="00C15CB4">
        <w:rPr>
          <w:rFonts w:cs="Arial"/>
        </w:rPr>
        <w:t xml:space="preserve"> — </w:t>
      </w:r>
      <w:r w:rsidRPr="001F76EA">
        <w:t>Particular requirements, Part 21: Static meters for active energy (classes 1 and 2)</w:t>
      </w:r>
      <w:r>
        <w:t xml:space="preserve"> (IEC 62053-21:2016 (ED.1.1) MOD)</w:t>
      </w:r>
    </w:p>
    <w:p w14:paraId="60272EFC" w14:textId="28692B54" w:rsidR="003B2752" w:rsidRPr="003B2752" w:rsidRDefault="00DD4C32" w:rsidP="00347BB7">
      <w:pPr>
        <w:pStyle w:val="ListParagraph"/>
        <w:numPr>
          <w:ilvl w:val="0"/>
          <w:numId w:val="12"/>
        </w:numPr>
        <w:spacing w:after="80" w:line="240" w:lineRule="auto"/>
        <w:ind w:left="567" w:hanging="567"/>
        <w:contextualSpacing w:val="0"/>
      </w:pPr>
      <w:r w:rsidRPr="001F76EA">
        <w:t xml:space="preserve">AS </w:t>
      </w:r>
      <w:r w:rsidRPr="00C246AA">
        <w:t xml:space="preserve">62053.22 (2018), Electricity metering equipment (AC) </w:t>
      </w:r>
      <w:r w:rsidRPr="00C246AA">
        <w:rPr>
          <w:rFonts w:cs="Arial"/>
        </w:rPr>
        <w:t>—</w:t>
      </w:r>
      <w:r w:rsidRPr="00C246AA">
        <w:t xml:space="preserve"> Particular Requirements, Part 22: Static meters for active energy (classes 0</w:t>
      </w:r>
      <w:r w:rsidR="00144460" w:rsidRPr="00C246AA">
        <w:t>.</w:t>
      </w:r>
      <w:r w:rsidRPr="00C246AA">
        <w:t>2 S and 0</w:t>
      </w:r>
      <w:r w:rsidR="00144460" w:rsidRPr="00C246AA">
        <w:t>.</w:t>
      </w:r>
      <w:r w:rsidRPr="00C246AA">
        <w:t>5 S)</w:t>
      </w:r>
      <w:r w:rsidRPr="001F76EA">
        <w:t xml:space="preserve"> </w:t>
      </w:r>
      <w:r>
        <w:t>(IEC 62053-22:2016 (ED.1.1) MOD)</w:t>
      </w:r>
      <w:r w:rsidRPr="00A639B4">
        <w:t xml:space="preserve"> </w:t>
      </w:r>
      <w:r w:rsidR="003B2752" w:rsidRPr="003B2752">
        <w:t>OIML D 11: General Requirements for Electronic Measuring Instruments. OIML, Paris, 2004</w:t>
      </w:r>
      <w:bookmarkEnd w:id="25"/>
    </w:p>
    <w:p w14:paraId="2EB4A990" w14:textId="77777777" w:rsidR="002E10B7" w:rsidRPr="003B2752" w:rsidRDefault="002E10B7" w:rsidP="00347BB7">
      <w:pPr>
        <w:pStyle w:val="ListParagraph"/>
        <w:numPr>
          <w:ilvl w:val="0"/>
          <w:numId w:val="12"/>
        </w:numPr>
        <w:spacing w:after="80" w:line="240" w:lineRule="auto"/>
        <w:ind w:left="567" w:hanging="567"/>
        <w:contextualSpacing w:val="0"/>
      </w:pPr>
      <w:r>
        <w:t>AS 62052.31 (2017), Electricity metering equipment (AC)</w:t>
      </w:r>
      <w:r w:rsidRPr="00C15CB4">
        <w:rPr>
          <w:rFonts w:cs="Arial"/>
        </w:rPr>
        <w:t xml:space="preserve"> — </w:t>
      </w:r>
      <w:r>
        <w:t>General requirements, tests and test conditions, Part 31: Product safety requirements and tests (IEC 62052-31:2015 (ED.1.0) MOD)</w:t>
      </w:r>
    </w:p>
    <w:p w14:paraId="5A426D62" w14:textId="77777777" w:rsidR="003B2752" w:rsidRPr="003B2752" w:rsidRDefault="003B2752" w:rsidP="00347BB7">
      <w:pPr>
        <w:pStyle w:val="ListParagraph"/>
        <w:numPr>
          <w:ilvl w:val="0"/>
          <w:numId w:val="12"/>
        </w:numPr>
        <w:spacing w:after="80" w:line="240" w:lineRule="auto"/>
        <w:ind w:left="567" w:hanging="567"/>
        <w:contextualSpacing w:val="0"/>
      </w:pPr>
      <w:r w:rsidRPr="003B2752">
        <w:t xml:space="preserve">OIML V 2-200: </w:t>
      </w:r>
      <w:smartTag w:uri="urn:schemas-microsoft-com:office:smarttags" w:element="PersonName">
        <w:r w:rsidRPr="003B2752">
          <w:t>International</w:t>
        </w:r>
      </w:smartTag>
      <w:r w:rsidRPr="003B2752">
        <w:t xml:space="preserve"> Vocabulary of Metrology – Basic and General Concepts and Associated Terms (VIM). OIML, Paris, 2007</w:t>
      </w:r>
    </w:p>
    <w:p w14:paraId="61EB2490" w14:textId="77777777" w:rsidR="003B2752" w:rsidRDefault="003B2752" w:rsidP="00347BB7">
      <w:pPr>
        <w:pStyle w:val="ListParagraph"/>
        <w:numPr>
          <w:ilvl w:val="0"/>
          <w:numId w:val="12"/>
        </w:numPr>
        <w:spacing w:after="80" w:line="240" w:lineRule="auto"/>
        <w:ind w:left="567" w:hanging="567"/>
        <w:contextualSpacing w:val="0"/>
      </w:pPr>
      <w:bookmarkStart w:id="26" w:name="_Ref211423377"/>
      <w:r w:rsidRPr="003B2752">
        <w:t>ISO/IEC Guide 98-3:2008: Guide to the Expression of Uncertainty in Measurement (GUM)</w:t>
      </w:r>
      <w:bookmarkEnd w:id="26"/>
      <w:r w:rsidRPr="003B2752">
        <w:t>. ISO, Geneva, 2008</w:t>
      </w:r>
    </w:p>
    <w:p w14:paraId="6775DCDA" w14:textId="77777777" w:rsidR="003B2752" w:rsidRPr="003B2752" w:rsidRDefault="003B2752" w:rsidP="00347BB7">
      <w:pPr>
        <w:pStyle w:val="ListParagraph"/>
        <w:numPr>
          <w:ilvl w:val="0"/>
          <w:numId w:val="12"/>
        </w:numPr>
        <w:spacing w:after="80" w:line="240" w:lineRule="auto"/>
        <w:ind w:left="567" w:hanging="567"/>
        <w:contextualSpacing w:val="0"/>
      </w:pPr>
      <w:bookmarkStart w:id="27" w:name="_Ref194992145"/>
      <w:r w:rsidRPr="003B2752">
        <w:t>IEC 62053-52 (2005) Electricity Metering Equipment (AC) – Particular Requirements – Part 52: Symbols</w:t>
      </w:r>
      <w:bookmarkEnd w:id="27"/>
    </w:p>
    <w:p w14:paraId="77C78D7E" w14:textId="12905B60" w:rsidR="00A639B4" w:rsidRDefault="003B2752" w:rsidP="00347BB7">
      <w:pPr>
        <w:pStyle w:val="ListParagraph"/>
        <w:numPr>
          <w:ilvl w:val="0"/>
          <w:numId w:val="12"/>
        </w:numPr>
        <w:spacing w:after="80" w:line="240" w:lineRule="auto"/>
        <w:ind w:left="567" w:hanging="567"/>
        <w:contextualSpacing w:val="0"/>
      </w:pPr>
      <w:bookmarkStart w:id="28" w:name="_Ref216873841"/>
      <w:r w:rsidRPr="003B2752">
        <w:t xml:space="preserve">NMI P 106 </w:t>
      </w:r>
      <w:bookmarkEnd w:id="28"/>
      <w:r w:rsidR="00D4258D" w:rsidRPr="00D4258D">
        <w:t>Procedures for the Approval and Certification of Patterns of Measuring Instruments</w:t>
      </w:r>
      <w:r w:rsidR="00A639B4" w:rsidRPr="00A639B4">
        <w:t xml:space="preserve"> </w:t>
      </w:r>
    </w:p>
    <w:sectPr w:rsidR="00A639B4" w:rsidSect="008C6F57">
      <w:headerReference w:type="default" r:id="rId21"/>
      <w:footerReference w:type="default" r:id="rId22"/>
      <w:pgSz w:w="11906" w:h="16838"/>
      <w:pgMar w:top="1361" w:right="1077" w:bottom="1361" w:left="107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EF1D6" w14:textId="77777777" w:rsidR="00E43D32" w:rsidRDefault="00E43D32" w:rsidP="00B526AB">
      <w:pPr>
        <w:spacing w:after="0" w:line="240" w:lineRule="auto"/>
      </w:pPr>
      <w:r>
        <w:separator/>
      </w:r>
    </w:p>
  </w:endnote>
  <w:endnote w:type="continuationSeparator" w:id="0">
    <w:p w14:paraId="2FE17C91" w14:textId="77777777" w:rsidR="00E43D32" w:rsidRDefault="00E43D32" w:rsidP="00B5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9D75B" w14:textId="77777777" w:rsidR="00BC6562" w:rsidRDefault="00BC65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835B4" w14:textId="77777777" w:rsidR="00BC6562" w:rsidRDefault="00BC65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BD5E0" w14:textId="77777777" w:rsidR="00BC6562" w:rsidRDefault="00BC656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1800C" w14:textId="03F3B778" w:rsidR="00E43D32" w:rsidRDefault="00E43D32" w:rsidP="00FF3BD1">
    <w:pPr>
      <w:pStyle w:val="Footer"/>
      <w:tabs>
        <w:tab w:val="clear" w:pos="4320"/>
        <w:tab w:val="clear" w:pos="8640"/>
        <w:tab w:val="center" w:pos="5245"/>
        <w:tab w:val="right" w:pos="9746"/>
      </w:tabs>
    </w:pPr>
    <w:r w:rsidRPr="00015A21">
      <w:rPr>
        <w:noProof/>
        <w:lang w:eastAsia="en-AU"/>
      </w:rPr>
      <w:drawing>
        <wp:anchor distT="0" distB="0" distL="114300" distR="114300" simplePos="0" relativeHeight="251658240" behindDoc="1" locked="0" layoutInCell="1" allowOverlap="1" wp14:anchorId="2808880F" wp14:editId="6A586EEE">
          <wp:simplePos x="0" y="0"/>
          <wp:positionH relativeFrom="page">
            <wp:align>right</wp:align>
          </wp:positionH>
          <wp:positionV relativeFrom="paragraph">
            <wp:posOffset>222885</wp:posOffset>
          </wp:positionV>
          <wp:extent cx="7560000" cy="521064"/>
          <wp:effectExtent l="0" t="0" r="3175" b="0"/>
          <wp:wrapNone/>
          <wp:docPr id="7" name="Picture 7" descr="Report footer with URL" title="measuremen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footer_MAS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521064"/>
                  </a:xfrm>
                  <a:prstGeom prst="rect">
                    <a:avLst/>
                  </a:prstGeom>
                </pic:spPr>
              </pic:pic>
            </a:graphicData>
          </a:graphic>
          <wp14:sizeRelH relativeFrom="page">
            <wp14:pctWidth>0</wp14:pctWidth>
          </wp14:sizeRelH>
          <wp14:sizeRelV relativeFrom="page">
            <wp14:pctHeight>0</wp14:pctHeight>
          </wp14:sizeRelV>
        </wp:anchor>
      </w:drawing>
    </w:r>
    <w:r>
      <w:t>NMI M 13-1, v1.</w:t>
    </w:r>
    <w:r w:rsidRPr="00D371B8">
      <w:t>0, June 2022</w:t>
    </w:r>
    <w:r>
      <w:tab/>
    </w:r>
    <w:r>
      <w:tab/>
    </w:r>
    <w:r>
      <w:fldChar w:fldCharType="begin"/>
    </w:r>
    <w:r>
      <w:instrText xml:space="preserve"> PAGE   \* MERGEFORMAT </w:instrText>
    </w:r>
    <w:r>
      <w:fldChar w:fldCharType="separate"/>
    </w:r>
    <w:r w:rsidR="000250E6">
      <w:rPr>
        <w:noProof/>
      </w:rPr>
      <w:t>i</w:t>
    </w:r>
    <w:r>
      <w:fldChar w:fldCharType="end"/>
    </w:r>
  </w:p>
  <w:p w14:paraId="589A4212" w14:textId="77777777" w:rsidR="00E43D32" w:rsidRDefault="00E43D3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4F89A" w14:textId="77777777" w:rsidR="00E43D32" w:rsidRDefault="00E43D3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21BBE" w14:textId="32B2E5A6" w:rsidR="00E43D32" w:rsidRDefault="00E43D32" w:rsidP="00FF3BD1">
    <w:pPr>
      <w:pStyle w:val="Footer"/>
      <w:tabs>
        <w:tab w:val="clear" w:pos="4320"/>
        <w:tab w:val="clear" w:pos="8640"/>
        <w:tab w:val="left" w:pos="4395"/>
        <w:tab w:val="right" w:pos="9639"/>
      </w:tabs>
    </w:pPr>
    <w:r w:rsidRPr="00201A80">
      <w:rPr>
        <w:noProof/>
        <w:lang w:eastAsia="en-AU"/>
      </w:rPr>
      <w:drawing>
        <wp:anchor distT="0" distB="0" distL="114300" distR="114300" simplePos="0" relativeHeight="251660288" behindDoc="1" locked="0" layoutInCell="1" allowOverlap="1" wp14:anchorId="5DA4853D" wp14:editId="0B985AC4">
          <wp:simplePos x="0" y="0"/>
          <wp:positionH relativeFrom="column">
            <wp:posOffset>-711835</wp:posOffset>
          </wp:positionH>
          <wp:positionV relativeFrom="paragraph">
            <wp:posOffset>194310</wp:posOffset>
          </wp:positionV>
          <wp:extent cx="7560000" cy="521064"/>
          <wp:effectExtent l="0" t="0" r="0" b="12700"/>
          <wp:wrapNone/>
          <wp:docPr id="3" name="Picture 3" descr="Report footer with URL" title="measuremen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footer_MAS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521064"/>
                  </a:xfrm>
                  <a:prstGeom prst="rect">
                    <a:avLst/>
                  </a:prstGeom>
                </pic:spPr>
              </pic:pic>
            </a:graphicData>
          </a:graphic>
          <wp14:sizeRelH relativeFrom="page">
            <wp14:pctWidth>0</wp14:pctWidth>
          </wp14:sizeRelH>
          <wp14:sizeRelV relativeFrom="page">
            <wp14:pctHeight>0</wp14:pctHeight>
          </wp14:sizeRelV>
        </wp:anchor>
      </w:drawing>
    </w:r>
    <w:r>
      <w:t xml:space="preserve">NMI M 13-1, v1.0, </w:t>
    </w:r>
    <w:r w:rsidRPr="00E43D32">
      <w:t>June 2022</w:t>
    </w:r>
    <w:r>
      <w:tab/>
    </w:r>
    <w:r>
      <w:tab/>
      <w:t xml:space="preserve">Page </w:t>
    </w:r>
    <w:r>
      <w:fldChar w:fldCharType="begin"/>
    </w:r>
    <w:r>
      <w:instrText xml:space="preserve"> PAGE   \* MERGEFORMAT </w:instrText>
    </w:r>
    <w:r>
      <w:fldChar w:fldCharType="separate"/>
    </w:r>
    <w:r w:rsidR="000250E6">
      <w:rPr>
        <w:noProof/>
      </w:rPr>
      <w:t>10</w:t>
    </w:r>
    <w:r>
      <w:fldChar w:fldCharType="end"/>
    </w:r>
    <w:r>
      <w:t xml:space="preserve"> of </w:t>
    </w:r>
    <w:r>
      <w:rPr>
        <w:noProof/>
      </w:rPr>
      <w:fldChar w:fldCharType="begin"/>
    </w:r>
    <w:r>
      <w:rPr>
        <w:noProof/>
      </w:rPr>
      <w:instrText xml:space="preserve"> SECTIONPAGES   \* MERGEFORMAT </w:instrText>
    </w:r>
    <w:r>
      <w:rPr>
        <w:noProof/>
      </w:rPr>
      <w:fldChar w:fldCharType="separate"/>
    </w:r>
    <w:r w:rsidR="000250E6">
      <w:rPr>
        <w:noProof/>
      </w:rPr>
      <w:t>10</w:t>
    </w:r>
    <w:r>
      <w:rPr>
        <w:noProof/>
      </w:rPr>
      <w:fldChar w:fldCharType="end"/>
    </w:r>
  </w:p>
  <w:p w14:paraId="390F436E" w14:textId="77777777" w:rsidR="00E43D32" w:rsidRDefault="00E43D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E7B72" w14:textId="77777777" w:rsidR="00E43D32" w:rsidRDefault="00E43D32" w:rsidP="00B526AB">
      <w:pPr>
        <w:spacing w:after="0" w:line="240" w:lineRule="auto"/>
      </w:pPr>
      <w:r>
        <w:separator/>
      </w:r>
    </w:p>
  </w:footnote>
  <w:footnote w:type="continuationSeparator" w:id="0">
    <w:p w14:paraId="77B6399F" w14:textId="77777777" w:rsidR="00E43D32" w:rsidRDefault="00E43D32" w:rsidP="00B526AB">
      <w:pPr>
        <w:spacing w:after="0" w:line="240" w:lineRule="auto"/>
      </w:pPr>
      <w:r>
        <w:continuationSeparator/>
      </w:r>
    </w:p>
  </w:footnote>
  <w:footnote w:id="1">
    <w:p w14:paraId="4AFCCA33" w14:textId="3681C124" w:rsidR="00E43D32" w:rsidRDefault="00E43D32">
      <w:pPr>
        <w:pStyle w:val="FootnoteText"/>
      </w:pPr>
      <w:r>
        <w:rPr>
          <w:rStyle w:val="FootnoteReference"/>
        </w:rPr>
        <w:footnoteRef/>
      </w:r>
      <w:r>
        <w:t xml:space="preserve"> See the Preface for information on other pathways.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01DC1" w14:textId="77777777" w:rsidR="00BC6562" w:rsidRDefault="00BC65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86771" w14:textId="0695F105" w:rsidR="00E43D32" w:rsidRDefault="00E43D32">
    <w:pPr>
      <w:pStyle w:val="Header"/>
    </w:pPr>
    <w:r>
      <w:rPr>
        <w:noProof/>
        <w:lang w:eastAsia="en-AU"/>
      </w:rPr>
      <w:drawing>
        <wp:anchor distT="0" distB="0" distL="114300" distR="114300" simplePos="0" relativeHeight="251661312" behindDoc="1" locked="0" layoutInCell="1" allowOverlap="1" wp14:anchorId="31C22DAE" wp14:editId="37BFE69A">
          <wp:simplePos x="0" y="0"/>
          <wp:positionH relativeFrom="column">
            <wp:align>center</wp:align>
          </wp:positionH>
          <wp:positionV relativeFrom="page">
            <wp:posOffset>451413</wp:posOffset>
          </wp:positionV>
          <wp:extent cx="4402800" cy="680400"/>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MILogoTripleLineRGB.png"/>
                  <pic:cNvPicPr/>
                </pic:nvPicPr>
                <pic:blipFill>
                  <a:blip r:embed="rId1">
                    <a:extLst>
                      <a:ext uri="{28A0092B-C50C-407E-A947-70E740481C1C}">
                        <a14:useLocalDpi xmlns:a14="http://schemas.microsoft.com/office/drawing/2010/main" val="0"/>
                      </a:ext>
                    </a:extLst>
                  </a:blip>
                  <a:stretch>
                    <a:fillRect/>
                  </a:stretch>
                </pic:blipFill>
                <pic:spPr>
                  <a:xfrm>
                    <a:off x="0" y="0"/>
                    <a:ext cx="4402800" cy="68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3835A" w14:textId="77777777" w:rsidR="00BC6562" w:rsidRDefault="00BC656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2159A" w14:textId="77777777" w:rsidR="00E43D32" w:rsidRDefault="00E43D32">
    <w:pPr>
      <w:pStyle w:val="Header"/>
      <w:jc w:val="right"/>
    </w:pPr>
  </w:p>
  <w:p w14:paraId="2ED3B633" w14:textId="77777777" w:rsidR="00E43D32" w:rsidRDefault="00E43D3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F113E" w14:textId="77777777" w:rsidR="00E43D32" w:rsidRDefault="00E43D3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06CAF" w14:textId="77777777" w:rsidR="00E43D32" w:rsidRDefault="00E43D32">
    <w:pPr>
      <w:pStyle w:val="Header"/>
      <w:jc w:val="right"/>
    </w:pPr>
  </w:p>
  <w:p w14:paraId="07A653FD" w14:textId="77777777" w:rsidR="00E43D32" w:rsidRDefault="00E43D3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7646E" w14:textId="77777777" w:rsidR="00E43D32" w:rsidRDefault="00E43D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A6192E" w:themeColor="accent1"/>
      </w:rPr>
    </w:lvl>
  </w:abstractNum>
  <w:abstractNum w:abstractNumId="1" w15:restartNumberingAfterBreak="0">
    <w:nsid w:val="FFFFFF89"/>
    <w:multiLevelType w:val="singleLevel"/>
    <w:tmpl w:val="131A1AA8"/>
    <w:lvl w:ilvl="0">
      <w:start w:val="1"/>
      <w:numFmt w:val="bullet"/>
      <w:pStyle w:val="ListBullet"/>
      <w:lvlText w:val=""/>
      <w:lvlJc w:val="left"/>
      <w:pPr>
        <w:ind w:left="360" w:hanging="360"/>
      </w:pPr>
      <w:rPr>
        <w:rFonts w:ascii="Symbol" w:hAnsi="Symbol" w:hint="default"/>
        <w:color w:val="A6192E" w:themeColor="accent1"/>
      </w:rPr>
    </w:lvl>
  </w:abstractNum>
  <w:abstractNum w:abstractNumId="2" w15:restartNumberingAfterBreak="0">
    <w:nsid w:val="01486203"/>
    <w:multiLevelType w:val="hybridMultilevel"/>
    <w:tmpl w:val="90385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C23743"/>
    <w:multiLevelType w:val="multilevel"/>
    <w:tmpl w:val="0108127E"/>
    <w:lvl w:ilvl="0">
      <w:start w:val="1"/>
      <w:numFmt w:val="upperLetter"/>
      <w:pStyle w:val="AnnexHeading1"/>
      <w:suff w:val="space"/>
      <w:lvlText w:val="Annex %1."/>
      <w:lvlJc w:val="left"/>
      <w:pPr>
        <w:ind w:left="227" w:hanging="227"/>
      </w:pPr>
      <w:rPr>
        <w:rFonts w:hint="default"/>
      </w:rPr>
    </w:lvl>
    <w:lvl w:ilvl="1">
      <w:start w:val="1"/>
      <w:numFmt w:val="decimal"/>
      <w:pStyle w:val="AnnexHeading2"/>
      <w:lvlText w:val="%1.%2"/>
      <w:lvlJc w:val="left"/>
      <w:pPr>
        <w:tabs>
          <w:tab w:val="num" w:pos="576"/>
        </w:tabs>
        <w:ind w:left="576" w:hanging="576"/>
      </w:pPr>
      <w:rPr>
        <w:rFonts w:hint="default"/>
      </w:rPr>
    </w:lvl>
    <w:lvl w:ilvl="2">
      <w:start w:val="1"/>
      <w:numFmt w:val="decimal"/>
      <w:pStyle w:val="Annex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1C5552C"/>
    <w:multiLevelType w:val="hybridMultilevel"/>
    <w:tmpl w:val="893AE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C122A2"/>
    <w:multiLevelType w:val="multilevel"/>
    <w:tmpl w:val="2730A7CC"/>
    <w:lvl w:ilvl="0">
      <w:start w:val="1"/>
      <w:numFmt w:val="upperLetter"/>
      <w:pStyle w:val="HeadingAnnexA"/>
      <w:suff w:val="space"/>
      <w:lvlText w:val="Annex %1."/>
      <w:lvlJc w:val="left"/>
      <w:pPr>
        <w:ind w:left="432" w:hanging="432"/>
      </w:pPr>
      <w:rPr>
        <w:rFonts w:hint="default"/>
      </w:rPr>
    </w:lvl>
    <w:lvl w:ilvl="1">
      <w:start w:val="1"/>
      <w:numFmt w:val="decimal"/>
      <w:pStyle w:val="HeadingAnnexB"/>
      <w:lvlText w:val="%1.%2"/>
      <w:lvlJc w:val="left"/>
      <w:pPr>
        <w:ind w:left="576" w:hanging="576"/>
      </w:pPr>
      <w:rPr>
        <w:rFonts w:hint="default"/>
      </w:rPr>
    </w:lvl>
    <w:lvl w:ilvl="2">
      <w:start w:val="1"/>
      <w:numFmt w:val="decimal"/>
      <w:pStyle w:val="HeadingAnnexC"/>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1E45DE8"/>
    <w:multiLevelType w:val="hybridMultilevel"/>
    <w:tmpl w:val="0D586F68"/>
    <w:lvl w:ilvl="0" w:tplc="876EE62C">
      <w:start w:val="1"/>
      <w:numFmt w:val="lowerLetter"/>
      <w:pStyle w:val="List-abc"/>
      <w:lvlText w:val="(%1)"/>
      <w:lvlJc w:val="left"/>
      <w:pPr>
        <w:tabs>
          <w:tab w:val="num" w:pos="567"/>
        </w:tabs>
        <w:ind w:left="567" w:hanging="397"/>
      </w:pPr>
      <w:rPr>
        <w:rFonts w:hint="default"/>
      </w:rPr>
    </w:lvl>
    <w:lvl w:ilvl="1" w:tplc="74263B30">
      <w:start w:val="1"/>
      <w:numFmt w:val="lowerLetter"/>
      <w:pStyle w:val="List-abc"/>
      <w:lvlText w:val="(%2)"/>
      <w:lvlJc w:val="left"/>
      <w:pPr>
        <w:tabs>
          <w:tab w:val="num" w:pos="360"/>
        </w:tabs>
        <w:ind w:left="340" w:hanging="340"/>
      </w:pPr>
      <w:rPr>
        <w:rFonts w:hint="default"/>
      </w:rPr>
    </w:lvl>
    <w:lvl w:ilvl="2" w:tplc="40D0F65E">
      <w:start w:val="1"/>
      <w:numFmt w:val="bullet"/>
      <w:lvlText w:val=""/>
      <w:lvlJc w:val="left"/>
      <w:pPr>
        <w:tabs>
          <w:tab w:val="num" w:pos="360"/>
        </w:tabs>
        <w:ind w:left="340" w:hanging="340"/>
      </w:pPr>
      <w:rPr>
        <w:rFonts w:ascii="Symbol" w:hAnsi="Symbol" w:hint="default"/>
      </w:rPr>
    </w:lvl>
    <w:lvl w:ilvl="3" w:tplc="5692A2CC">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7F6730"/>
    <w:multiLevelType w:val="hybridMultilevel"/>
    <w:tmpl w:val="C6A665E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BD5A2B"/>
    <w:multiLevelType w:val="hybridMultilevel"/>
    <w:tmpl w:val="FA681A10"/>
    <w:lvl w:ilvl="0" w:tplc="1AE4161A">
      <w:start w:val="1"/>
      <w:numFmt w:val="bullet"/>
      <w:pStyle w:val="BulletedBasic"/>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F5745C"/>
    <w:multiLevelType w:val="hybridMultilevel"/>
    <w:tmpl w:val="5C1C3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3D11BF"/>
    <w:multiLevelType w:val="hybridMultilevel"/>
    <w:tmpl w:val="1A324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3451CB"/>
    <w:multiLevelType w:val="hybridMultilevel"/>
    <w:tmpl w:val="30102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8B50E0"/>
    <w:multiLevelType w:val="hybridMultilevel"/>
    <w:tmpl w:val="07989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520302"/>
    <w:multiLevelType w:val="hybridMultilevel"/>
    <w:tmpl w:val="109A6ADC"/>
    <w:lvl w:ilvl="0" w:tplc="0C090001">
      <w:start w:val="1"/>
      <w:numFmt w:val="bullet"/>
      <w:lvlText w:val=""/>
      <w:lvlJc w:val="left"/>
      <w:pPr>
        <w:ind w:left="1627" w:hanging="360"/>
      </w:pPr>
      <w:rPr>
        <w:rFonts w:ascii="Symbol" w:hAnsi="Symbol" w:hint="default"/>
      </w:rPr>
    </w:lvl>
    <w:lvl w:ilvl="1" w:tplc="0C090003" w:tentative="1">
      <w:start w:val="1"/>
      <w:numFmt w:val="bullet"/>
      <w:lvlText w:val="o"/>
      <w:lvlJc w:val="left"/>
      <w:pPr>
        <w:ind w:left="2347" w:hanging="360"/>
      </w:pPr>
      <w:rPr>
        <w:rFonts w:ascii="Courier New" w:hAnsi="Courier New" w:cs="Courier New" w:hint="default"/>
      </w:rPr>
    </w:lvl>
    <w:lvl w:ilvl="2" w:tplc="0C090005" w:tentative="1">
      <w:start w:val="1"/>
      <w:numFmt w:val="bullet"/>
      <w:lvlText w:val=""/>
      <w:lvlJc w:val="left"/>
      <w:pPr>
        <w:ind w:left="3067" w:hanging="360"/>
      </w:pPr>
      <w:rPr>
        <w:rFonts w:ascii="Wingdings" w:hAnsi="Wingdings" w:hint="default"/>
      </w:rPr>
    </w:lvl>
    <w:lvl w:ilvl="3" w:tplc="0C090001" w:tentative="1">
      <w:start w:val="1"/>
      <w:numFmt w:val="bullet"/>
      <w:lvlText w:val=""/>
      <w:lvlJc w:val="left"/>
      <w:pPr>
        <w:ind w:left="3787" w:hanging="360"/>
      </w:pPr>
      <w:rPr>
        <w:rFonts w:ascii="Symbol" w:hAnsi="Symbol" w:hint="default"/>
      </w:rPr>
    </w:lvl>
    <w:lvl w:ilvl="4" w:tplc="0C090003" w:tentative="1">
      <w:start w:val="1"/>
      <w:numFmt w:val="bullet"/>
      <w:lvlText w:val="o"/>
      <w:lvlJc w:val="left"/>
      <w:pPr>
        <w:ind w:left="4507" w:hanging="360"/>
      </w:pPr>
      <w:rPr>
        <w:rFonts w:ascii="Courier New" w:hAnsi="Courier New" w:cs="Courier New" w:hint="default"/>
      </w:rPr>
    </w:lvl>
    <w:lvl w:ilvl="5" w:tplc="0C090005" w:tentative="1">
      <w:start w:val="1"/>
      <w:numFmt w:val="bullet"/>
      <w:lvlText w:val=""/>
      <w:lvlJc w:val="left"/>
      <w:pPr>
        <w:ind w:left="5227" w:hanging="360"/>
      </w:pPr>
      <w:rPr>
        <w:rFonts w:ascii="Wingdings" w:hAnsi="Wingdings" w:hint="default"/>
      </w:rPr>
    </w:lvl>
    <w:lvl w:ilvl="6" w:tplc="0C090001" w:tentative="1">
      <w:start w:val="1"/>
      <w:numFmt w:val="bullet"/>
      <w:lvlText w:val=""/>
      <w:lvlJc w:val="left"/>
      <w:pPr>
        <w:ind w:left="5947" w:hanging="360"/>
      </w:pPr>
      <w:rPr>
        <w:rFonts w:ascii="Symbol" w:hAnsi="Symbol" w:hint="default"/>
      </w:rPr>
    </w:lvl>
    <w:lvl w:ilvl="7" w:tplc="0C090003" w:tentative="1">
      <w:start w:val="1"/>
      <w:numFmt w:val="bullet"/>
      <w:lvlText w:val="o"/>
      <w:lvlJc w:val="left"/>
      <w:pPr>
        <w:ind w:left="6667" w:hanging="360"/>
      </w:pPr>
      <w:rPr>
        <w:rFonts w:ascii="Courier New" w:hAnsi="Courier New" w:cs="Courier New" w:hint="default"/>
      </w:rPr>
    </w:lvl>
    <w:lvl w:ilvl="8" w:tplc="0C090005" w:tentative="1">
      <w:start w:val="1"/>
      <w:numFmt w:val="bullet"/>
      <w:lvlText w:val=""/>
      <w:lvlJc w:val="left"/>
      <w:pPr>
        <w:ind w:left="7387" w:hanging="360"/>
      </w:pPr>
      <w:rPr>
        <w:rFonts w:ascii="Wingdings" w:hAnsi="Wingdings" w:hint="default"/>
      </w:rPr>
    </w:lvl>
  </w:abstractNum>
  <w:abstractNum w:abstractNumId="14" w15:restartNumberingAfterBreak="0">
    <w:nsid w:val="57C61D01"/>
    <w:multiLevelType w:val="hybridMultilevel"/>
    <w:tmpl w:val="E6306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DE21F3"/>
    <w:multiLevelType w:val="multilevel"/>
    <w:tmpl w:val="607E334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5C851B41"/>
    <w:multiLevelType w:val="hybridMultilevel"/>
    <w:tmpl w:val="753AA7F8"/>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7" w15:restartNumberingAfterBreak="0">
    <w:nsid w:val="5F9B7E82"/>
    <w:multiLevelType w:val="hybridMultilevel"/>
    <w:tmpl w:val="2C3E9E62"/>
    <w:lvl w:ilvl="0" w:tplc="81BEE9B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117554D"/>
    <w:multiLevelType w:val="hybridMultilevel"/>
    <w:tmpl w:val="736A2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9D953A9"/>
    <w:multiLevelType w:val="hybridMultilevel"/>
    <w:tmpl w:val="7DA0E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C41996"/>
    <w:multiLevelType w:val="hybridMultilevel"/>
    <w:tmpl w:val="A462C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5"/>
  </w:num>
  <w:num w:numId="4">
    <w:abstractNumId w:val="20"/>
  </w:num>
  <w:num w:numId="5">
    <w:abstractNumId w:val="7"/>
  </w:num>
  <w:num w:numId="6">
    <w:abstractNumId w:val="10"/>
  </w:num>
  <w:num w:numId="7">
    <w:abstractNumId w:val="19"/>
  </w:num>
  <w:num w:numId="8">
    <w:abstractNumId w:val="5"/>
  </w:num>
  <w:num w:numId="9">
    <w:abstractNumId w:val="6"/>
  </w:num>
  <w:num w:numId="10">
    <w:abstractNumId w:val="3"/>
  </w:num>
  <w:num w:numId="11">
    <w:abstractNumId w:val="8"/>
  </w:num>
  <w:num w:numId="12">
    <w:abstractNumId w:val="17"/>
  </w:num>
  <w:num w:numId="13">
    <w:abstractNumId w:val="2"/>
  </w:num>
  <w:num w:numId="14">
    <w:abstractNumId w:val="9"/>
  </w:num>
  <w:num w:numId="15">
    <w:abstractNumId w:val="4"/>
  </w:num>
  <w:num w:numId="16">
    <w:abstractNumId w:val="11"/>
  </w:num>
  <w:num w:numId="17">
    <w:abstractNumId w:val="14"/>
  </w:num>
  <w:num w:numId="18">
    <w:abstractNumId w:val="12"/>
  </w:num>
  <w:num w:numId="19">
    <w:abstractNumId w:val="16"/>
  </w:num>
  <w:num w:numId="20">
    <w:abstractNumId w:val="18"/>
  </w:num>
  <w:num w:numId="2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B60"/>
    <w:rsid w:val="00003ECC"/>
    <w:rsid w:val="00005B0B"/>
    <w:rsid w:val="00015A21"/>
    <w:rsid w:val="000215E2"/>
    <w:rsid w:val="000250E6"/>
    <w:rsid w:val="0003316F"/>
    <w:rsid w:val="000361CD"/>
    <w:rsid w:val="00037EBB"/>
    <w:rsid w:val="00045FB0"/>
    <w:rsid w:val="000618E0"/>
    <w:rsid w:val="00065AB9"/>
    <w:rsid w:val="00066CF5"/>
    <w:rsid w:val="00080B8B"/>
    <w:rsid w:val="00092808"/>
    <w:rsid w:val="000A08D9"/>
    <w:rsid w:val="000B4D39"/>
    <w:rsid w:val="000C6B69"/>
    <w:rsid w:val="000D14D7"/>
    <w:rsid w:val="000D2B10"/>
    <w:rsid w:val="000D6822"/>
    <w:rsid w:val="000F3142"/>
    <w:rsid w:val="000F7194"/>
    <w:rsid w:val="00115251"/>
    <w:rsid w:val="00133643"/>
    <w:rsid w:val="00135276"/>
    <w:rsid w:val="0014168D"/>
    <w:rsid w:val="00144460"/>
    <w:rsid w:val="00157679"/>
    <w:rsid w:val="00157B03"/>
    <w:rsid w:val="00162639"/>
    <w:rsid w:val="00163B54"/>
    <w:rsid w:val="00174670"/>
    <w:rsid w:val="00180315"/>
    <w:rsid w:val="001971D4"/>
    <w:rsid w:val="001A25AE"/>
    <w:rsid w:val="001A2DC6"/>
    <w:rsid w:val="001A7F48"/>
    <w:rsid w:val="001B27A0"/>
    <w:rsid w:val="001C35CE"/>
    <w:rsid w:val="001D2986"/>
    <w:rsid w:val="001E2BB0"/>
    <w:rsid w:val="001F307D"/>
    <w:rsid w:val="001F37AD"/>
    <w:rsid w:val="001F76EA"/>
    <w:rsid w:val="00201A80"/>
    <w:rsid w:val="0022001F"/>
    <w:rsid w:val="00223049"/>
    <w:rsid w:val="002300AC"/>
    <w:rsid w:val="002337B7"/>
    <w:rsid w:val="002441D4"/>
    <w:rsid w:val="00244596"/>
    <w:rsid w:val="002554D2"/>
    <w:rsid w:val="0026206A"/>
    <w:rsid w:val="00262661"/>
    <w:rsid w:val="00263E00"/>
    <w:rsid w:val="00290FAC"/>
    <w:rsid w:val="00291414"/>
    <w:rsid w:val="002928DB"/>
    <w:rsid w:val="0029562D"/>
    <w:rsid w:val="002A36E8"/>
    <w:rsid w:val="002A4998"/>
    <w:rsid w:val="002B0DC9"/>
    <w:rsid w:val="002B1712"/>
    <w:rsid w:val="002B26A7"/>
    <w:rsid w:val="002B57BF"/>
    <w:rsid w:val="002D0549"/>
    <w:rsid w:val="002D1FCF"/>
    <w:rsid w:val="002D3954"/>
    <w:rsid w:val="002D4200"/>
    <w:rsid w:val="002D7C81"/>
    <w:rsid w:val="002E10B7"/>
    <w:rsid w:val="002E14EA"/>
    <w:rsid w:val="002E201E"/>
    <w:rsid w:val="002F65AF"/>
    <w:rsid w:val="003008C6"/>
    <w:rsid w:val="003029AE"/>
    <w:rsid w:val="00304674"/>
    <w:rsid w:val="00304F04"/>
    <w:rsid w:val="00306686"/>
    <w:rsid w:val="00306FC9"/>
    <w:rsid w:val="0030793A"/>
    <w:rsid w:val="003142C0"/>
    <w:rsid w:val="00315D60"/>
    <w:rsid w:val="00327AD8"/>
    <w:rsid w:val="00332865"/>
    <w:rsid w:val="00335A12"/>
    <w:rsid w:val="00342045"/>
    <w:rsid w:val="00345B43"/>
    <w:rsid w:val="00347BB7"/>
    <w:rsid w:val="003537DA"/>
    <w:rsid w:val="00354618"/>
    <w:rsid w:val="0036131E"/>
    <w:rsid w:val="00362175"/>
    <w:rsid w:val="003623DA"/>
    <w:rsid w:val="0038442D"/>
    <w:rsid w:val="003851C5"/>
    <w:rsid w:val="003865F3"/>
    <w:rsid w:val="003B2752"/>
    <w:rsid w:val="003B7C24"/>
    <w:rsid w:val="003D1219"/>
    <w:rsid w:val="003D2172"/>
    <w:rsid w:val="003D47EF"/>
    <w:rsid w:val="003D5B04"/>
    <w:rsid w:val="003E3E2E"/>
    <w:rsid w:val="003E446D"/>
    <w:rsid w:val="003F3DDD"/>
    <w:rsid w:val="00402E42"/>
    <w:rsid w:val="00407ECA"/>
    <w:rsid w:val="004111E9"/>
    <w:rsid w:val="004140CC"/>
    <w:rsid w:val="00414A92"/>
    <w:rsid w:val="00415433"/>
    <w:rsid w:val="0041789E"/>
    <w:rsid w:val="00431E5F"/>
    <w:rsid w:val="00436B60"/>
    <w:rsid w:val="004417C6"/>
    <w:rsid w:val="00446BDF"/>
    <w:rsid w:val="004526F5"/>
    <w:rsid w:val="00452BA6"/>
    <w:rsid w:val="00454276"/>
    <w:rsid w:val="00462D07"/>
    <w:rsid w:val="00463DCB"/>
    <w:rsid w:val="00463ED6"/>
    <w:rsid w:val="00467B89"/>
    <w:rsid w:val="00474050"/>
    <w:rsid w:val="00477F43"/>
    <w:rsid w:val="0048132B"/>
    <w:rsid w:val="00481FE8"/>
    <w:rsid w:val="00496887"/>
    <w:rsid w:val="004A3232"/>
    <w:rsid w:val="004B149C"/>
    <w:rsid w:val="004C790F"/>
    <w:rsid w:val="004D4434"/>
    <w:rsid w:val="004D4479"/>
    <w:rsid w:val="00500B0E"/>
    <w:rsid w:val="00501F9E"/>
    <w:rsid w:val="00507A9B"/>
    <w:rsid w:val="00534281"/>
    <w:rsid w:val="00535E71"/>
    <w:rsid w:val="0054201D"/>
    <w:rsid w:val="00546E9A"/>
    <w:rsid w:val="00552605"/>
    <w:rsid w:val="005642F2"/>
    <w:rsid w:val="00572BB0"/>
    <w:rsid w:val="00573A8D"/>
    <w:rsid w:val="00582B2E"/>
    <w:rsid w:val="00585806"/>
    <w:rsid w:val="005A5030"/>
    <w:rsid w:val="005B6110"/>
    <w:rsid w:val="005C7B36"/>
    <w:rsid w:val="005C7D1B"/>
    <w:rsid w:val="005D0228"/>
    <w:rsid w:val="005D05FB"/>
    <w:rsid w:val="005D486B"/>
    <w:rsid w:val="005D76D0"/>
    <w:rsid w:val="005E1F5E"/>
    <w:rsid w:val="005E4FC8"/>
    <w:rsid w:val="005E6FB9"/>
    <w:rsid w:val="005F1934"/>
    <w:rsid w:val="005F51FF"/>
    <w:rsid w:val="005F66DA"/>
    <w:rsid w:val="00602C92"/>
    <w:rsid w:val="00604BD7"/>
    <w:rsid w:val="0061772C"/>
    <w:rsid w:val="00631390"/>
    <w:rsid w:val="006353EC"/>
    <w:rsid w:val="0064275F"/>
    <w:rsid w:val="006447AA"/>
    <w:rsid w:val="00644D92"/>
    <w:rsid w:val="00664D9C"/>
    <w:rsid w:val="0067103F"/>
    <w:rsid w:val="006711C3"/>
    <w:rsid w:val="006730C9"/>
    <w:rsid w:val="00674A3D"/>
    <w:rsid w:val="00684AAF"/>
    <w:rsid w:val="0068754D"/>
    <w:rsid w:val="00691FFC"/>
    <w:rsid w:val="006959A7"/>
    <w:rsid w:val="006A13B9"/>
    <w:rsid w:val="006A4658"/>
    <w:rsid w:val="006B5FA2"/>
    <w:rsid w:val="006B6FC5"/>
    <w:rsid w:val="006C2852"/>
    <w:rsid w:val="006D6890"/>
    <w:rsid w:val="00705EC0"/>
    <w:rsid w:val="00714652"/>
    <w:rsid w:val="00723B30"/>
    <w:rsid w:val="007340A0"/>
    <w:rsid w:val="007359BD"/>
    <w:rsid w:val="007377E2"/>
    <w:rsid w:val="00741084"/>
    <w:rsid w:val="00746356"/>
    <w:rsid w:val="00746A26"/>
    <w:rsid w:val="00746DD7"/>
    <w:rsid w:val="00752606"/>
    <w:rsid w:val="00752EC4"/>
    <w:rsid w:val="00754739"/>
    <w:rsid w:val="00755292"/>
    <w:rsid w:val="00756058"/>
    <w:rsid w:val="0075699E"/>
    <w:rsid w:val="0077285E"/>
    <w:rsid w:val="007731AE"/>
    <w:rsid w:val="0079225E"/>
    <w:rsid w:val="007A7B0A"/>
    <w:rsid w:val="007B5383"/>
    <w:rsid w:val="007B7052"/>
    <w:rsid w:val="007B78B3"/>
    <w:rsid w:val="007C031E"/>
    <w:rsid w:val="007C0DCB"/>
    <w:rsid w:val="007C176B"/>
    <w:rsid w:val="007C4C51"/>
    <w:rsid w:val="007E0A92"/>
    <w:rsid w:val="007E6DD6"/>
    <w:rsid w:val="007F182C"/>
    <w:rsid w:val="00804239"/>
    <w:rsid w:val="008217DE"/>
    <w:rsid w:val="00821F44"/>
    <w:rsid w:val="00822068"/>
    <w:rsid w:val="00850038"/>
    <w:rsid w:val="008558AB"/>
    <w:rsid w:val="00861D18"/>
    <w:rsid w:val="008774B5"/>
    <w:rsid w:val="008776BE"/>
    <w:rsid w:val="0088639D"/>
    <w:rsid w:val="0088785C"/>
    <w:rsid w:val="00887C58"/>
    <w:rsid w:val="008A52F7"/>
    <w:rsid w:val="008C221E"/>
    <w:rsid w:val="008C3184"/>
    <w:rsid w:val="008C6F57"/>
    <w:rsid w:val="008D6BD8"/>
    <w:rsid w:val="008E373F"/>
    <w:rsid w:val="008F0501"/>
    <w:rsid w:val="008F7A13"/>
    <w:rsid w:val="00900E8E"/>
    <w:rsid w:val="009105FC"/>
    <w:rsid w:val="0091217A"/>
    <w:rsid w:val="00931CD7"/>
    <w:rsid w:val="00932CDC"/>
    <w:rsid w:val="00933301"/>
    <w:rsid w:val="00933B9B"/>
    <w:rsid w:val="00943603"/>
    <w:rsid w:val="00952B67"/>
    <w:rsid w:val="00956813"/>
    <w:rsid w:val="00957363"/>
    <w:rsid w:val="00974284"/>
    <w:rsid w:val="00975726"/>
    <w:rsid w:val="00991FDD"/>
    <w:rsid w:val="009929D2"/>
    <w:rsid w:val="00997A11"/>
    <w:rsid w:val="009A0490"/>
    <w:rsid w:val="009A0EF0"/>
    <w:rsid w:val="009A2ACD"/>
    <w:rsid w:val="009A45D0"/>
    <w:rsid w:val="009B35E0"/>
    <w:rsid w:val="009C26B9"/>
    <w:rsid w:val="009C5E0D"/>
    <w:rsid w:val="009D0773"/>
    <w:rsid w:val="009D5DEB"/>
    <w:rsid w:val="009D7BB6"/>
    <w:rsid w:val="009E2268"/>
    <w:rsid w:val="009F2CBC"/>
    <w:rsid w:val="009F2D64"/>
    <w:rsid w:val="009F42F0"/>
    <w:rsid w:val="00A1654B"/>
    <w:rsid w:val="00A238C0"/>
    <w:rsid w:val="00A25D11"/>
    <w:rsid w:val="00A30BF8"/>
    <w:rsid w:val="00A3548D"/>
    <w:rsid w:val="00A35CF0"/>
    <w:rsid w:val="00A36E5E"/>
    <w:rsid w:val="00A43756"/>
    <w:rsid w:val="00A44112"/>
    <w:rsid w:val="00A470E8"/>
    <w:rsid w:val="00A505D2"/>
    <w:rsid w:val="00A51E16"/>
    <w:rsid w:val="00A52444"/>
    <w:rsid w:val="00A53C62"/>
    <w:rsid w:val="00A548E5"/>
    <w:rsid w:val="00A54F54"/>
    <w:rsid w:val="00A57EE3"/>
    <w:rsid w:val="00A639B4"/>
    <w:rsid w:val="00A7097B"/>
    <w:rsid w:val="00A74695"/>
    <w:rsid w:val="00A84081"/>
    <w:rsid w:val="00A847B6"/>
    <w:rsid w:val="00A84E4B"/>
    <w:rsid w:val="00A8596C"/>
    <w:rsid w:val="00A85BA1"/>
    <w:rsid w:val="00A935D0"/>
    <w:rsid w:val="00A93E3E"/>
    <w:rsid w:val="00A9459A"/>
    <w:rsid w:val="00A94867"/>
    <w:rsid w:val="00AA1FEC"/>
    <w:rsid w:val="00AA28A8"/>
    <w:rsid w:val="00AB0D3D"/>
    <w:rsid w:val="00AC1D6A"/>
    <w:rsid w:val="00AE1ABC"/>
    <w:rsid w:val="00AF16DC"/>
    <w:rsid w:val="00AF350C"/>
    <w:rsid w:val="00AF3C4A"/>
    <w:rsid w:val="00B07038"/>
    <w:rsid w:val="00B158B7"/>
    <w:rsid w:val="00B17511"/>
    <w:rsid w:val="00B2040F"/>
    <w:rsid w:val="00B21092"/>
    <w:rsid w:val="00B214C1"/>
    <w:rsid w:val="00B25152"/>
    <w:rsid w:val="00B34B49"/>
    <w:rsid w:val="00B35AFA"/>
    <w:rsid w:val="00B43AE5"/>
    <w:rsid w:val="00B526AB"/>
    <w:rsid w:val="00B52932"/>
    <w:rsid w:val="00B536C3"/>
    <w:rsid w:val="00B83001"/>
    <w:rsid w:val="00B867CC"/>
    <w:rsid w:val="00B94DDA"/>
    <w:rsid w:val="00B95BD2"/>
    <w:rsid w:val="00B979BC"/>
    <w:rsid w:val="00BA700A"/>
    <w:rsid w:val="00BB34ED"/>
    <w:rsid w:val="00BC26DA"/>
    <w:rsid w:val="00BC6562"/>
    <w:rsid w:val="00BC7090"/>
    <w:rsid w:val="00BD2A87"/>
    <w:rsid w:val="00BD4853"/>
    <w:rsid w:val="00C15CB4"/>
    <w:rsid w:val="00C223FE"/>
    <w:rsid w:val="00C246AA"/>
    <w:rsid w:val="00C405C1"/>
    <w:rsid w:val="00C40644"/>
    <w:rsid w:val="00C41A1B"/>
    <w:rsid w:val="00C4634E"/>
    <w:rsid w:val="00C55555"/>
    <w:rsid w:val="00C7121A"/>
    <w:rsid w:val="00C74A08"/>
    <w:rsid w:val="00C75E28"/>
    <w:rsid w:val="00C7775C"/>
    <w:rsid w:val="00C87E2B"/>
    <w:rsid w:val="00C953E4"/>
    <w:rsid w:val="00CA26A7"/>
    <w:rsid w:val="00CA558B"/>
    <w:rsid w:val="00CB2680"/>
    <w:rsid w:val="00CB3B94"/>
    <w:rsid w:val="00CB6D46"/>
    <w:rsid w:val="00CC24B1"/>
    <w:rsid w:val="00CC2DCE"/>
    <w:rsid w:val="00CC7875"/>
    <w:rsid w:val="00CD2638"/>
    <w:rsid w:val="00CD2916"/>
    <w:rsid w:val="00CD5D8F"/>
    <w:rsid w:val="00D00664"/>
    <w:rsid w:val="00D00CB2"/>
    <w:rsid w:val="00D0105E"/>
    <w:rsid w:val="00D0156B"/>
    <w:rsid w:val="00D05165"/>
    <w:rsid w:val="00D05F95"/>
    <w:rsid w:val="00D076D5"/>
    <w:rsid w:val="00D35B33"/>
    <w:rsid w:val="00D371B8"/>
    <w:rsid w:val="00D4258D"/>
    <w:rsid w:val="00D4522B"/>
    <w:rsid w:val="00D54442"/>
    <w:rsid w:val="00D56100"/>
    <w:rsid w:val="00D56B5B"/>
    <w:rsid w:val="00D57C05"/>
    <w:rsid w:val="00D603BA"/>
    <w:rsid w:val="00D60C0B"/>
    <w:rsid w:val="00D67261"/>
    <w:rsid w:val="00D70572"/>
    <w:rsid w:val="00D7352B"/>
    <w:rsid w:val="00D77E5A"/>
    <w:rsid w:val="00D86844"/>
    <w:rsid w:val="00D87BC8"/>
    <w:rsid w:val="00D94DD9"/>
    <w:rsid w:val="00D97978"/>
    <w:rsid w:val="00DA0FCE"/>
    <w:rsid w:val="00DA684B"/>
    <w:rsid w:val="00DA6B6E"/>
    <w:rsid w:val="00DC1F3E"/>
    <w:rsid w:val="00DC774F"/>
    <w:rsid w:val="00DD0576"/>
    <w:rsid w:val="00DD4C32"/>
    <w:rsid w:val="00DE69EE"/>
    <w:rsid w:val="00DE7278"/>
    <w:rsid w:val="00DF1D1F"/>
    <w:rsid w:val="00DF25D9"/>
    <w:rsid w:val="00E218B6"/>
    <w:rsid w:val="00E26417"/>
    <w:rsid w:val="00E43D32"/>
    <w:rsid w:val="00E470C5"/>
    <w:rsid w:val="00E47FB1"/>
    <w:rsid w:val="00E54B90"/>
    <w:rsid w:val="00E5525A"/>
    <w:rsid w:val="00E56A90"/>
    <w:rsid w:val="00E704F2"/>
    <w:rsid w:val="00E72774"/>
    <w:rsid w:val="00E75543"/>
    <w:rsid w:val="00E81FB7"/>
    <w:rsid w:val="00E9295C"/>
    <w:rsid w:val="00E92C3B"/>
    <w:rsid w:val="00EA33A2"/>
    <w:rsid w:val="00EA5C22"/>
    <w:rsid w:val="00EB26FA"/>
    <w:rsid w:val="00EB4C00"/>
    <w:rsid w:val="00EB636B"/>
    <w:rsid w:val="00EB6B77"/>
    <w:rsid w:val="00ED17D8"/>
    <w:rsid w:val="00ED406D"/>
    <w:rsid w:val="00ED7C92"/>
    <w:rsid w:val="00EE276A"/>
    <w:rsid w:val="00EF6BC7"/>
    <w:rsid w:val="00F0381C"/>
    <w:rsid w:val="00F11C75"/>
    <w:rsid w:val="00F23ADF"/>
    <w:rsid w:val="00F25F29"/>
    <w:rsid w:val="00F31C05"/>
    <w:rsid w:val="00F6773F"/>
    <w:rsid w:val="00F74CE3"/>
    <w:rsid w:val="00F813C2"/>
    <w:rsid w:val="00F84800"/>
    <w:rsid w:val="00F94218"/>
    <w:rsid w:val="00F9546F"/>
    <w:rsid w:val="00F96D1E"/>
    <w:rsid w:val="00FA2BAF"/>
    <w:rsid w:val="00FA46D9"/>
    <w:rsid w:val="00FA70E8"/>
    <w:rsid w:val="00FB0809"/>
    <w:rsid w:val="00FB22BD"/>
    <w:rsid w:val="00FB7E86"/>
    <w:rsid w:val="00FC70DE"/>
    <w:rsid w:val="00FC7615"/>
    <w:rsid w:val="00FD5DE8"/>
    <w:rsid w:val="00FD741D"/>
    <w:rsid w:val="00FD7898"/>
    <w:rsid w:val="00FE24C4"/>
    <w:rsid w:val="00FE6AF0"/>
    <w:rsid w:val="00FE7FBB"/>
    <w:rsid w:val="00FF3AE1"/>
    <w:rsid w:val="00FF3BD1"/>
    <w:rsid w:val="00FF5510"/>
    <w:rsid w:val="00FF6143"/>
    <w:rsid w:val="00FF638F"/>
    <w:rsid w:val="00FF700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67585"/>
    <o:shapelayout v:ext="edit">
      <o:idmap v:ext="edit" data="1"/>
    </o:shapelayout>
  </w:shapeDefaults>
  <w:decimalSymbol w:val="."/>
  <w:listSeparator w:val=","/>
  <w14:docId w14:val="74EC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FE8"/>
    <w:pPr>
      <w:spacing w:after="120"/>
    </w:pPr>
    <w:rPr>
      <w:rFonts w:ascii="Arial" w:hAnsi="Arial"/>
      <w:sz w:val="20"/>
    </w:rPr>
  </w:style>
  <w:style w:type="paragraph" w:styleId="Heading1">
    <w:name w:val="heading 1"/>
    <w:basedOn w:val="Normal"/>
    <w:next w:val="Normal"/>
    <w:link w:val="Heading1Char"/>
    <w:uiPriority w:val="9"/>
    <w:qFormat/>
    <w:rsid w:val="008776BE"/>
    <w:pPr>
      <w:keepNext/>
      <w:keepLines/>
      <w:numPr>
        <w:numId w:val="3"/>
      </w:numPr>
      <w:spacing w:before="480" w:after="0"/>
      <w:outlineLvl w:val="0"/>
    </w:pPr>
    <w:rPr>
      <w:rFonts w:asciiTheme="majorHAnsi" w:eastAsiaTheme="majorEastAsia" w:hAnsiTheme="majorHAnsi" w:cstheme="majorBidi"/>
      <w:b/>
      <w:bCs/>
      <w:color w:val="7C1222" w:themeColor="accent1" w:themeShade="BF"/>
      <w:sz w:val="28"/>
      <w:szCs w:val="28"/>
    </w:rPr>
  </w:style>
  <w:style w:type="paragraph" w:styleId="Heading2">
    <w:name w:val="heading 2"/>
    <w:basedOn w:val="Normal"/>
    <w:next w:val="Normal"/>
    <w:link w:val="Heading2Char"/>
    <w:uiPriority w:val="9"/>
    <w:unhideWhenUsed/>
    <w:qFormat/>
    <w:rsid w:val="00975726"/>
    <w:pPr>
      <w:keepNext/>
      <w:keepLines/>
      <w:numPr>
        <w:ilvl w:val="1"/>
        <w:numId w:val="3"/>
      </w:numPr>
      <w:spacing w:before="200" w:after="0"/>
      <w:outlineLvl w:val="1"/>
    </w:pPr>
    <w:rPr>
      <w:rFonts w:asciiTheme="majorHAnsi" w:eastAsiaTheme="majorEastAsia" w:hAnsiTheme="majorHAnsi" w:cstheme="majorBidi"/>
      <w:b/>
      <w:bCs/>
      <w:color w:val="A6192E" w:themeColor="accent1"/>
      <w:sz w:val="26"/>
      <w:szCs w:val="26"/>
    </w:rPr>
  </w:style>
  <w:style w:type="paragraph" w:styleId="Heading3">
    <w:name w:val="heading 3"/>
    <w:basedOn w:val="Normal"/>
    <w:next w:val="Normal"/>
    <w:link w:val="Heading3Char"/>
    <w:uiPriority w:val="9"/>
    <w:unhideWhenUsed/>
    <w:qFormat/>
    <w:rsid w:val="00822068"/>
    <w:pPr>
      <w:keepNext/>
      <w:keepLines/>
      <w:numPr>
        <w:ilvl w:val="2"/>
        <w:numId w:val="3"/>
      </w:numPr>
      <w:spacing w:before="200" w:after="0"/>
      <w:outlineLvl w:val="2"/>
    </w:pPr>
    <w:rPr>
      <w:rFonts w:asciiTheme="majorHAnsi" w:eastAsiaTheme="majorEastAsia" w:hAnsiTheme="majorHAnsi" w:cstheme="majorBidi"/>
      <w:b/>
      <w:bCs/>
      <w:color w:val="A6192E" w:themeColor="accent1"/>
    </w:rPr>
  </w:style>
  <w:style w:type="paragraph" w:styleId="Heading4">
    <w:name w:val="heading 4"/>
    <w:basedOn w:val="Normal"/>
    <w:next w:val="Normal"/>
    <w:link w:val="Heading4Char"/>
    <w:uiPriority w:val="9"/>
    <w:unhideWhenUsed/>
    <w:qFormat/>
    <w:rsid w:val="00822068"/>
    <w:pPr>
      <w:keepNext/>
      <w:keepLines/>
      <w:numPr>
        <w:ilvl w:val="3"/>
        <w:numId w:val="3"/>
      </w:numPr>
      <w:spacing w:before="200" w:after="0"/>
      <w:outlineLvl w:val="3"/>
    </w:pPr>
    <w:rPr>
      <w:rFonts w:asciiTheme="majorHAnsi" w:eastAsiaTheme="majorEastAsia" w:hAnsiTheme="majorHAnsi" w:cstheme="majorBidi"/>
      <w:b/>
      <w:bCs/>
      <w:i/>
      <w:iCs/>
      <w:color w:val="A6192E" w:themeColor="accent1"/>
    </w:rPr>
  </w:style>
  <w:style w:type="paragraph" w:styleId="Heading5">
    <w:name w:val="heading 5"/>
    <w:basedOn w:val="Normal"/>
    <w:next w:val="Normal"/>
    <w:link w:val="Heading5Char"/>
    <w:uiPriority w:val="9"/>
    <w:unhideWhenUsed/>
    <w:qFormat/>
    <w:rsid w:val="00822068"/>
    <w:pPr>
      <w:keepNext/>
      <w:keepLines/>
      <w:numPr>
        <w:ilvl w:val="4"/>
        <w:numId w:val="3"/>
      </w:numPr>
      <w:spacing w:before="200" w:after="0"/>
      <w:outlineLvl w:val="4"/>
    </w:pPr>
    <w:rPr>
      <w:rFonts w:asciiTheme="majorHAnsi" w:eastAsiaTheme="majorEastAsia" w:hAnsiTheme="majorHAnsi" w:cstheme="majorBidi"/>
      <w:color w:val="520C16" w:themeColor="accent1" w:themeShade="7F"/>
    </w:rPr>
  </w:style>
  <w:style w:type="paragraph" w:styleId="Heading6">
    <w:name w:val="heading 6"/>
    <w:basedOn w:val="Normal"/>
    <w:next w:val="Normal"/>
    <w:link w:val="Heading6Char"/>
    <w:uiPriority w:val="9"/>
    <w:semiHidden/>
    <w:unhideWhenUsed/>
    <w:qFormat/>
    <w:rsid w:val="00157B03"/>
    <w:pPr>
      <w:keepNext/>
      <w:keepLines/>
      <w:numPr>
        <w:ilvl w:val="5"/>
        <w:numId w:val="3"/>
      </w:numPr>
      <w:spacing w:before="40" w:after="0"/>
      <w:outlineLvl w:val="5"/>
    </w:pPr>
    <w:rPr>
      <w:rFonts w:asciiTheme="majorHAnsi" w:eastAsiaTheme="majorEastAsia" w:hAnsiTheme="majorHAnsi" w:cstheme="majorBidi"/>
      <w:color w:val="520C16" w:themeColor="accent1" w:themeShade="7F"/>
    </w:rPr>
  </w:style>
  <w:style w:type="paragraph" w:styleId="Heading7">
    <w:name w:val="heading 7"/>
    <w:basedOn w:val="Normal"/>
    <w:next w:val="Normal"/>
    <w:link w:val="Heading7Char"/>
    <w:uiPriority w:val="9"/>
    <w:semiHidden/>
    <w:unhideWhenUsed/>
    <w:qFormat/>
    <w:rsid w:val="00157B03"/>
    <w:pPr>
      <w:keepNext/>
      <w:keepLines/>
      <w:numPr>
        <w:ilvl w:val="6"/>
        <w:numId w:val="3"/>
      </w:numPr>
      <w:spacing w:before="40" w:after="0"/>
      <w:outlineLvl w:val="6"/>
    </w:pPr>
    <w:rPr>
      <w:rFonts w:asciiTheme="majorHAnsi" w:eastAsiaTheme="majorEastAsia" w:hAnsiTheme="majorHAnsi" w:cstheme="majorBidi"/>
      <w:i/>
      <w:iCs/>
      <w:color w:val="520C16" w:themeColor="accent1" w:themeShade="7F"/>
    </w:rPr>
  </w:style>
  <w:style w:type="paragraph" w:styleId="Heading8">
    <w:name w:val="heading 8"/>
    <w:basedOn w:val="Normal"/>
    <w:next w:val="Normal"/>
    <w:link w:val="Heading8Char"/>
    <w:uiPriority w:val="9"/>
    <w:semiHidden/>
    <w:unhideWhenUsed/>
    <w:qFormat/>
    <w:rsid w:val="00157B0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7B0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726"/>
    <w:rPr>
      <w:rFonts w:asciiTheme="majorHAnsi" w:eastAsiaTheme="majorEastAsia" w:hAnsiTheme="majorHAnsi" w:cstheme="majorBidi"/>
      <w:b/>
      <w:bCs/>
      <w:color w:val="7C1222" w:themeColor="accent1" w:themeShade="BF"/>
      <w:sz w:val="28"/>
      <w:szCs w:val="28"/>
    </w:rPr>
  </w:style>
  <w:style w:type="character" w:customStyle="1" w:styleId="Heading2Char">
    <w:name w:val="Heading 2 Char"/>
    <w:basedOn w:val="DefaultParagraphFont"/>
    <w:link w:val="Heading2"/>
    <w:uiPriority w:val="9"/>
    <w:rsid w:val="00975726"/>
    <w:rPr>
      <w:rFonts w:asciiTheme="majorHAnsi" w:eastAsiaTheme="majorEastAsia" w:hAnsiTheme="majorHAnsi" w:cstheme="majorBidi"/>
      <w:b/>
      <w:bCs/>
      <w:color w:val="A6192E" w:themeColor="accent1"/>
      <w:sz w:val="26"/>
      <w:szCs w:val="26"/>
    </w:rPr>
  </w:style>
  <w:style w:type="character" w:customStyle="1" w:styleId="Heading3Char">
    <w:name w:val="Heading 3 Char"/>
    <w:basedOn w:val="DefaultParagraphFont"/>
    <w:link w:val="Heading3"/>
    <w:uiPriority w:val="9"/>
    <w:rsid w:val="00822068"/>
    <w:rPr>
      <w:rFonts w:asciiTheme="majorHAnsi" w:eastAsiaTheme="majorEastAsia" w:hAnsiTheme="majorHAnsi" w:cstheme="majorBidi"/>
      <w:b/>
      <w:bCs/>
      <w:color w:val="A6192E" w:themeColor="accent1"/>
      <w:sz w:val="20"/>
    </w:rPr>
  </w:style>
  <w:style w:type="character" w:customStyle="1" w:styleId="Heading4Char">
    <w:name w:val="Heading 4 Char"/>
    <w:basedOn w:val="DefaultParagraphFont"/>
    <w:link w:val="Heading4"/>
    <w:uiPriority w:val="9"/>
    <w:rsid w:val="00822068"/>
    <w:rPr>
      <w:rFonts w:asciiTheme="majorHAnsi" w:eastAsiaTheme="majorEastAsia" w:hAnsiTheme="majorHAnsi" w:cstheme="majorBidi"/>
      <w:b/>
      <w:bCs/>
      <w:i/>
      <w:iCs/>
      <w:color w:val="A6192E" w:themeColor="accent1"/>
      <w:sz w:val="20"/>
    </w:rPr>
  </w:style>
  <w:style w:type="character" w:customStyle="1" w:styleId="Heading5Char">
    <w:name w:val="Heading 5 Char"/>
    <w:basedOn w:val="DefaultParagraphFont"/>
    <w:link w:val="Heading5"/>
    <w:uiPriority w:val="9"/>
    <w:rsid w:val="00822068"/>
    <w:rPr>
      <w:rFonts w:asciiTheme="majorHAnsi" w:eastAsiaTheme="majorEastAsia" w:hAnsiTheme="majorHAnsi" w:cstheme="majorBidi"/>
      <w:color w:val="520C16" w:themeColor="accent1" w:themeShade="7F"/>
      <w:sz w:val="20"/>
    </w:rPr>
  </w:style>
  <w:style w:type="character" w:customStyle="1" w:styleId="Heading6Char">
    <w:name w:val="Heading 6 Char"/>
    <w:basedOn w:val="DefaultParagraphFont"/>
    <w:link w:val="Heading6"/>
    <w:uiPriority w:val="9"/>
    <w:semiHidden/>
    <w:rsid w:val="00157B03"/>
    <w:rPr>
      <w:rFonts w:asciiTheme="majorHAnsi" w:eastAsiaTheme="majorEastAsia" w:hAnsiTheme="majorHAnsi" w:cstheme="majorBidi"/>
      <w:color w:val="520C16" w:themeColor="accent1" w:themeShade="7F"/>
      <w:sz w:val="20"/>
    </w:rPr>
  </w:style>
  <w:style w:type="character" w:customStyle="1" w:styleId="Heading7Char">
    <w:name w:val="Heading 7 Char"/>
    <w:basedOn w:val="DefaultParagraphFont"/>
    <w:link w:val="Heading7"/>
    <w:uiPriority w:val="9"/>
    <w:semiHidden/>
    <w:rsid w:val="00157B03"/>
    <w:rPr>
      <w:rFonts w:asciiTheme="majorHAnsi" w:eastAsiaTheme="majorEastAsia" w:hAnsiTheme="majorHAnsi" w:cstheme="majorBidi"/>
      <w:i/>
      <w:iCs/>
      <w:color w:val="520C16" w:themeColor="accent1" w:themeShade="7F"/>
      <w:sz w:val="20"/>
    </w:rPr>
  </w:style>
  <w:style w:type="character" w:customStyle="1" w:styleId="Heading8Char">
    <w:name w:val="Heading 8 Char"/>
    <w:basedOn w:val="DefaultParagraphFont"/>
    <w:link w:val="Heading8"/>
    <w:uiPriority w:val="9"/>
    <w:semiHidden/>
    <w:rsid w:val="00157B0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57B03"/>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975726"/>
    <w:pPr>
      <w:spacing w:after="0" w:line="240" w:lineRule="auto"/>
    </w:pPr>
  </w:style>
  <w:style w:type="paragraph" w:styleId="Title">
    <w:name w:val="Title"/>
    <w:basedOn w:val="Normal"/>
    <w:next w:val="Normal"/>
    <w:link w:val="TitleChar"/>
    <w:uiPriority w:val="10"/>
    <w:qFormat/>
    <w:rsid w:val="00EF6BC7"/>
    <w:pPr>
      <w:spacing w:before="8880" w:after="480" w:line="240" w:lineRule="auto"/>
      <w:contextualSpacing/>
    </w:pPr>
    <w:rPr>
      <w:rFonts w:asciiTheme="majorHAnsi" w:eastAsiaTheme="majorEastAsia" w:hAnsiTheme="majorHAnsi" w:cstheme="majorBidi"/>
      <w:b/>
      <w:color w:val="2C2C2D" w:themeColor="text2" w:themeShade="80"/>
      <w:spacing w:val="5"/>
      <w:kern w:val="28"/>
      <w:sz w:val="64"/>
      <w:szCs w:val="52"/>
    </w:rPr>
  </w:style>
  <w:style w:type="character" w:customStyle="1" w:styleId="TitleChar">
    <w:name w:val="Title Char"/>
    <w:basedOn w:val="DefaultParagraphFont"/>
    <w:link w:val="Title"/>
    <w:uiPriority w:val="10"/>
    <w:rsid w:val="00EF6BC7"/>
    <w:rPr>
      <w:rFonts w:asciiTheme="majorHAnsi" w:eastAsiaTheme="majorEastAsia" w:hAnsiTheme="majorHAnsi" w:cstheme="majorBidi"/>
      <w:b/>
      <w:color w:val="2C2C2D" w:themeColor="text2" w:themeShade="80"/>
      <w:spacing w:val="5"/>
      <w:kern w:val="28"/>
      <w:sz w:val="64"/>
      <w:szCs w:val="52"/>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table" w:styleId="TableGrid">
    <w:name w:val="Table Grid"/>
    <w:basedOn w:val="TableNormal"/>
    <w:rsid w:val="0082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A6192E" w:themeColor="accent1"/>
        <w:left w:val="single" w:sz="8" w:space="0" w:color="A6192E" w:themeColor="accent1"/>
        <w:bottom w:val="single" w:sz="8" w:space="0" w:color="A6192E" w:themeColor="accent1"/>
        <w:right w:val="single" w:sz="8" w:space="0" w:color="A6192E" w:themeColor="accent1"/>
      </w:tblBorders>
    </w:tblPr>
    <w:tblStylePr w:type="firstRow">
      <w:pPr>
        <w:spacing w:before="0" w:after="0" w:line="240" w:lineRule="auto"/>
      </w:pPr>
      <w:rPr>
        <w:b/>
        <w:bCs/>
        <w:color w:val="FFFFFF" w:themeColor="background1"/>
      </w:rPr>
      <w:tblPr/>
      <w:tcPr>
        <w:shd w:val="clear" w:color="auto" w:fill="A6192E" w:themeFill="accent1"/>
      </w:tcPr>
    </w:tblStylePr>
    <w:tblStylePr w:type="lastRow">
      <w:pPr>
        <w:spacing w:before="0" w:after="0" w:line="240" w:lineRule="auto"/>
      </w:pPr>
      <w:rPr>
        <w:b/>
        <w:bCs/>
      </w:rPr>
      <w:tblPr/>
      <w:tcPr>
        <w:tcBorders>
          <w:top w:val="double" w:sz="6" w:space="0" w:color="A6192E" w:themeColor="accent1"/>
          <w:left w:val="single" w:sz="8" w:space="0" w:color="A6192E" w:themeColor="accent1"/>
          <w:bottom w:val="single" w:sz="8" w:space="0" w:color="A6192E" w:themeColor="accent1"/>
          <w:right w:val="single" w:sz="8" w:space="0" w:color="A6192E" w:themeColor="accent1"/>
        </w:tcBorders>
      </w:tcPr>
    </w:tblStylePr>
    <w:tblStylePr w:type="firstCol">
      <w:rPr>
        <w:b/>
        <w:bCs/>
      </w:rPr>
    </w:tblStylePr>
    <w:tblStylePr w:type="lastCol">
      <w:rPr>
        <w:b/>
        <w:bCs/>
      </w:rPr>
    </w:tblStylePr>
    <w:tblStylePr w:type="band1Vert">
      <w:tblPr/>
      <w:tcPr>
        <w:tcBorders>
          <w:top w:val="single" w:sz="8" w:space="0" w:color="A6192E" w:themeColor="accent1"/>
          <w:left w:val="single" w:sz="8" w:space="0" w:color="A6192E" w:themeColor="accent1"/>
          <w:bottom w:val="single" w:sz="8" w:space="0" w:color="A6192E" w:themeColor="accent1"/>
          <w:right w:val="single" w:sz="8" w:space="0" w:color="A6192E" w:themeColor="accent1"/>
        </w:tcBorders>
      </w:tcPr>
    </w:tblStylePr>
    <w:tblStylePr w:type="band1Horz">
      <w:tblPr/>
      <w:tcPr>
        <w:tcBorders>
          <w:top w:val="single" w:sz="8" w:space="0" w:color="A6192E" w:themeColor="accent1"/>
          <w:left w:val="single" w:sz="8" w:space="0" w:color="A6192E" w:themeColor="accent1"/>
          <w:bottom w:val="single" w:sz="8" w:space="0" w:color="A6192E" w:themeColor="accent1"/>
          <w:right w:val="single" w:sz="8" w:space="0" w:color="A6192E"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572D2D" w:themeColor="accent2"/>
        <w:left w:val="single" w:sz="8" w:space="0" w:color="572D2D" w:themeColor="accent2"/>
        <w:bottom w:val="single" w:sz="8" w:space="0" w:color="572D2D" w:themeColor="accent2"/>
        <w:right w:val="single" w:sz="8" w:space="0" w:color="572D2D" w:themeColor="accent2"/>
      </w:tblBorders>
    </w:tblPr>
    <w:tblStylePr w:type="firstRow">
      <w:pPr>
        <w:spacing w:before="0" w:after="0" w:line="240" w:lineRule="auto"/>
      </w:pPr>
      <w:rPr>
        <w:b/>
        <w:bCs/>
        <w:color w:val="FFFFFF" w:themeColor="background1"/>
      </w:rPr>
      <w:tblPr/>
      <w:tcPr>
        <w:shd w:val="clear" w:color="auto" w:fill="572D2D" w:themeFill="accent2"/>
      </w:tcPr>
    </w:tblStylePr>
    <w:tblStylePr w:type="lastRow">
      <w:pPr>
        <w:spacing w:before="0" w:after="0" w:line="240" w:lineRule="auto"/>
      </w:pPr>
      <w:rPr>
        <w:b/>
        <w:bCs/>
      </w:rPr>
      <w:tblPr/>
      <w:tcPr>
        <w:tcBorders>
          <w:top w:val="double" w:sz="6" w:space="0" w:color="572D2D" w:themeColor="accent2"/>
          <w:left w:val="single" w:sz="8" w:space="0" w:color="572D2D" w:themeColor="accent2"/>
          <w:bottom w:val="single" w:sz="8" w:space="0" w:color="572D2D" w:themeColor="accent2"/>
          <w:right w:val="single" w:sz="8" w:space="0" w:color="572D2D" w:themeColor="accent2"/>
        </w:tcBorders>
      </w:tcPr>
    </w:tblStylePr>
    <w:tblStylePr w:type="firstCol">
      <w:rPr>
        <w:b/>
        <w:bCs/>
      </w:rPr>
    </w:tblStylePr>
    <w:tblStylePr w:type="lastCol">
      <w:rPr>
        <w:b/>
        <w:bCs/>
      </w:rPr>
    </w:tblStylePr>
    <w:tblStylePr w:type="band1Vert">
      <w:tblPr/>
      <w:tcPr>
        <w:tcBorders>
          <w:top w:val="single" w:sz="8" w:space="0" w:color="572D2D" w:themeColor="accent2"/>
          <w:left w:val="single" w:sz="8" w:space="0" w:color="572D2D" w:themeColor="accent2"/>
          <w:bottom w:val="single" w:sz="8" w:space="0" w:color="572D2D" w:themeColor="accent2"/>
          <w:right w:val="single" w:sz="8" w:space="0" w:color="572D2D" w:themeColor="accent2"/>
        </w:tcBorders>
      </w:tcPr>
    </w:tblStylePr>
    <w:tblStylePr w:type="band1Horz">
      <w:tblPr/>
      <w:tcPr>
        <w:tcBorders>
          <w:top w:val="single" w:sz="8" w:space="0" w:color="572D2D" w:themeColor="accent2"/>
          <w:left w:val="single" w:sz="8" w:space="0" w:color="572D2D" w:themeColor="accent2"/>
          <w:bottom w:val="single" w:sz="8" w:space="0" w:color="572D2D" w:themeColor="accent2"/>
          <w:right w:val="single" w:sz="8" w:space="0" w:color="572D2D"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71CC98" w:themeColor="accent3"/>
        <w:left w:val="single" w:sz="8" w:space="0" w:color="71CC98" w:themeColor="accent3"/>
        <w:bottom w:val="single" w:sz="8" w:space="0" w:color="71CC98" w:themeColor="accent3"/>
        <w:right w:val="single" w:sz="8" w:space="0" w:color="71CC98" w:themeColor="accent3"/>
      </w:tblBorders>
    </w:tblPr>
    <w:tblStylePr w:type="firstRow">
      <w:pPr>
        <w:spacing w:before="0" w:after="0" w:line="240" w:lineRule="auto"/>
      </w:pPr>
      <w:rPr>
        <w:b/>
        <w:bCs/>
        <w:color w:val="FFFFFF" w:themeColor="background1"/>
      </w:rPr>
      <w:tblPr/>
      <w:tcPr>
        <w:shd w:val="clear" w:color="auto" w:fill="71CC98" w:themeFill="accent3"/>
      </w:tcPr>
    </w:tblStylePr>
    <w:tblStylePr w:type="lastRow">
      <w:pPr>
        <w:spacing w:before="0" w:after="0" w:line="240" w:lineRule="auto"/>
      </w:pPr>
      <w:rPr>
        <w:b/>
        <w:bCs/>
      </w:rPr>
      <w:tblPr/>
      <w:tcPr>
        <w:tcBorders>
          <w:top w:val="double" w:sz="6" w:space="0" w:color="71CC98" w:themeColor="accent3"/>
          <w:left w:val="single" w:sz="8" w:space="0" w:color="71CC98" w:themeColor="accent3"/>
          <w:bottom w:val="single" w:sz="8" w:space="0" w:color="71CC98" w:themeColor="accent3"/>
          <w:right w:val="single" w:sz="8" w:space="0" w:color="71CC98" w:themeColor="accent3"/>
        </w:tcBorders>
      </w:tcPr>
    </w:tblStylePr>
    <w:tblStylePr w:type="firstCol">
      <w:rPr>
        <w:b/>
        <w:bCs/>
      </w:rPr>
    </w:tblStylePr>
    <w:tblStylePr w:type="lastCol">
      <w:rPr>
        <w:b/>
        <w:bCs/>
      </w:rPr>
    </w:tblStylePr>
    <w:tblStylePr w:type="band1Vert">
      <w:tblPr/>
      <w:tcPr>
        <w:tcBorders>
          <w:top w:val="single" w:sz="8" w:space="0" w:color="71CC98" w:themeColor="accent3"/>
          <w:left w:val="single" w:sz="8" w:space="0" w:color="71CC98" w:themeColor="accent3"/>
          <w:bottom w:val="single" w:sz="8" w:space="0" w:color="71CC98" w:themeColor="accent3"/>
          <w:right w:val="single" w:sz="8" w:space="0" w:color="71CC98" w:themeColor="accent3"/>
        </w:tcBorders>
      </w:tcPr>
    </w:tblStylePr>
    <w:tblStylePr w:type="band1Horz">
      <w:tblPr/>
      <w:tcPr>
        <w:tcBorders>
          <w:top w:val="single" w:sz="8" w:space="0" w:color="71CC98" w:themeColor="accent3"/>
          <w:left w:val="single" w:sz="8" w:space="0" w:color="71CC98" w:themeColor="accent3"/>
          <w:bottom w:val="single" w:sz="8" w:space="0" w:color="71CC98" w:themeColor="accent3"/>
          <w:right w:val="single" w:sz="8" w:space="0" w:color="71CC98"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B7B09C" w:themeColor="accent4"/>
        <w:left w:val="single" w:sz="8" w:space="0" w:color="B7B09C" w:themeColor="accent4"/>
        <w:bottom w:val="single" w:sz="8" w:space="0" w:color="B7B09C" w:themeColor="accent4"/>
        <w:right w:val="single" w:sz="8" w:space="0" w:color="B7B09C" w:themeColor="accent4"/>
      </w:tblBorders>
    </w:tblPr>
    <w:tblStylePr w:type="firstRow">
      <w:pPr>
        <w:spacing w:before="0" w:after="0" w:line="240" w:lineRule="auto"/>
      </w:pPr>
      <w:rPr>
        <w:b/>
        <w:bCs/>
        <w:color w:val="FFFFFF" w:themeColor="background1"/>
      </w:rPr>
      <w:tblPr/>
      <w:tcPr>
        <w:shd w:val="clear" w:color="auto" w:fill="B7B09C" w:themeFill="accent4"/>
      </w:tcPr>
    </w:tblStylePr>
    <w:tblStylePr w:type="lastRow">
      <w:pPr>
        <w:spacing w:before="0" w:after="0" w:line="240" w:lineRule="auto"/>
      </w:pPr>
      <w:rPr>
        <w:b/>
        <w:bCs/>
      </w:rPr>
      <w:tblPr/>
      <w:tcPr>
        <w:tcBorders>
          <w:top w:val="double" w:sz="6" w:space="0" w:color="B7B09C" w:themeColor="accent4"/>
          <w:left w:val="single" w:sz="8" w:space="0" w:color="B7B09C" w:themeColor="accent4"/>
          <w:bottom w:val="single" w:sz="8" w:space="0" w:color="B7B09C" w:themeColor="accent4"/>
          <w:right w:val="single" w:sz="8" w:space="0" w:color="B7B09C" w:themeColor="accent4"/>
        </w:tcBorders>
      </w:tcPr>
    </w:tblStylePr>
    <w:tblStylePr w:type="firstCol">
      <w:rPr>
        <w:b/>
        <w:bCs/>
      </w:rPr>
    </w:tblStylePr>
    <w:tblStylePr w:type="lastCol">
      <w:rPr>
        <w:b/>
        <w:bCs/>
      </w:rPr>
    </w:tblStylePr>
    <w:tblStylePr w:type="band1Vert">
      <w:tblPr/>
      <w:tcPr>
        <w:tcBorders>
          <w:top w:val="single" w:sz="8" w:space="0" w:color="B7B09C" w:themeColor="accent4"/>
          <w:left w:val="single" w:sz="8" w:space="0" w:color="B7B09C" w:themeColor="accent4"/>
          <w:bottom w:val="single" w:sz="8" w:space="0" w:color="B7B09C" w:themeColor="accent4"/>
          <w:right w:val="single" w:sz="8" w:space="0" w:color="B7B09C" w:themeColor="accent4"/>
        </w:tcBorders>
      </w:tcPr>
    </w:tblStylePr>
    <w:tblStylePr w:type="band1Horz">
      <w:tblPr/>
      <w:tcPr>
        <w:tcBorders>
          <w:top w:val="single" w:sz="8" w:space="0" w:color="B7B09C" w:themeColor="accent4"/>
          <w:left w:val="single" w:sz="8" w:space="0" w:color="B7B09C" w:themeColor="accent4"/>
          <w:bottom w:val="single" w:sz="8" w:space="0" w:color="B7B09C" w:themeColor="accent4"/>
          <w:right w:val="single" w:sz="8" w:space="0" w:color="B7B09C"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A6192E" w:themeColor="accent1"/>
        <w:insideH w:val="single" w:sz="2" w:space="0" w:color="A6192E"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A6192E"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spacing w:before="0" w:after="240"/>
      <w:outlineLvl w:val="9"/>
    </w:pPr>
    <w:rPr>
      <w:lang w:val="en-US" w:eastAsia="ja-JP"/>
    </w:rPr>
  </w:style>
  <w:style w:type="paragraph" w:styleId="TOC1">
    <w:name w:val="toc 1"/>
    <w:basedOn w:val="Normal"/>
    <w:next w:val="Normal"/>
    <w:autoRedefine/>
    <w:uiPriority w:val="39"/>
    <w:unhideWhenUsed/>
    <w:qFormat/>
    <w:rsid w:val="009105FC"/>
    <w:pPr>
      <w:tabs>
        <w:tab w:val="left" w:pos="400"/>
        <w:tab w:val="right" w:leader="dot" w:pos="9736"/>
      </w:tabs>
      <w:spacing w:after="100"/>
    </w:pPr>
    <w:rPr>
      <w:noProof/>
    </w:rPr>
  </w:style>
  <w:style w:type="paragraph" w:styleId="TOC2">
    <w:name w:val="toc 2"/>
    <w:basedOn w:val="Normal"/>
    <w:next w:val="Normal"/>
    <w:autoRedefine/>
    <w:uiPriority w:val="39"/>
    <w:unhideWhenUsed/>
    <w:qFormat/>
    <w:rsid w:val="00163B54"/>
    <w:pPr>
      <w:spacing w:after="100"/>
      <w:ind w:left="200"/>
    </w:pPr>
    <w:rPr>
      <w:color w:val="58595B" w:themeColor="text2"/>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iPriority w:val="99"/>
    <w:unhideWhenUsed/>
    <w:rsid w:val="009D7BB6"/>
    <w:pPr>
      <w:numPr>
        <w:numId w:val="1"/>
      </w:numPr>
      <w:ind w:left="284" w:hanging="284"/>
      <w:contextualSpacing/>
    </w:pPr>
  </w:style>
  <w:style w:type="paragraph" w:styleId="ListBullet2">
    <w:name w:val="List Bullet 2"/>
    <w:basedOn w:val="Normal"/>
    <w:uiPriority w:val="99"/>
    <w:unhideWhenUsed/>
    <w:rsid w:val="002F65AF"/>
    <w:pPr>
      <w:numPr>
        <w:numId w:val="2"/>
      </w:numPr>
      <w:contextualSpacing/>
    </w:pPr>
  </w:style>
  <w:style w:type="paragraph" w:styleId="Quote">
    <w:name w:val="Quote"/>
    <w:basedOn w:val="Normal"/>
    <w:next w:val="Normal"/>
    <w:link w:val="QuoteChar"/>
    <w:uiPriority w:val="29"/>
    <w:qFormat/>
    <w:rsid w:val="009D7BB6"/>
    <w:pPr>
      <w:pBdr>
        <w:top w:val="single" w:sz="4" w:space="1" w:color="71CC98" w:themeColor="accent3"/>
        <w:bottom w:val="single" w:sz="4" w:space="1" w:color="71CC98" w:themeColor="accent3"/>
      </w:pBdr>
      <w:spacing w:before="240" w:after="240"/>
    </w:pPr>
    <w:rPr>
      <w:i/>
      <w:iCs/>
      <w:color w:val="A6192E" w:themeColor="accent1"/>
      <w:sz w:val="24"/>
    </w:rPr>
  </w:style>
  <w:style w:type="character" w:customStyle="1" w:styleId="QuoteChar">
    <w:name w:val="Quote Char"/>
    <w:basedOn w:val="DefaultParagraphFont"/>
    <w:link w:val="Quote"/>
    <w:uiPriority w:val="29"/>
    <w:rsid w:val="009D7BB6"/>
    <w:rPr>
      <w:i/>
      <w:iCs/>
      <w:color w:val="A6192E"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A6192E" w:themeColor="accent1"/>
    </w:rPr>
  </w:style>
  <w:style w:type="paragraph" w:styleId="Caption">
    <w:name w:val="caption"/>
    <w:basedOn w:val="Normal"/>
    <w:next w:val="Normal"/>
    <w:unhideWhenUsed/>
    <w:qFormat/>
    <w:rsid w:val="001B27A0"/>
    <w:pPr>
      <w:spacing w:before="120" w:line="240" w:lineRule="auto"/>
    </w:pPr>
    <w:rPr>
      <w:bCs/>
      <w:color w:val="A6192E" w:themeColor="accent1"/>
      <w:szCs w:val="18"/>
    </w:rPr>
  </w:style>
  <w:style w:type="character" w:customStyle="1" w:styleId="Tabletitle">
    <w:name w:val="Table title"/>
    <w:basedOn w:val="DefaultParagraphFont"/>
    <w:uiPriority w:val="1"/>
    <w:qFormat/>
    <w:rsid w:val="00D87BC8"/>
    <w:rPr>
      <w:b/>
      <w:color w:val="A6192E" w:themeColor="accent1"/>
    </w:rPr>
  </w:style>
  <w:style w:type="character" w:customStyle="1" w:styleId="Figuretitle">
    <w:name w:val="Figure title"/>
    <w:basedOn w:val="Tabletitle"/>
    <w:uiPriority w:val="1"/>
    <w:qFormat/>
    <w:rsid w:val="00D87BC8"/>
    <w:rPr>
      <w:b/>
      <w:color w:val="A6192E"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szCs w:val="20"/>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572D2D" w:themeColor="accent2"/>
        <w:left w:val="single" w:sz="4" w:space="4" w:color="572D2D" w:themeColor="accent2"/>
        <w:bottom w:val="single" w:sz="4" w:space="4" w:color="572D2D" w:themeColor="accent2"/>
        <w:right w:val="single" w:sz="4" w:space="4" w:color="572D2D" w:themeColor="accent2"/>
      </w:pBdr>
      <w:shd w:val="clear" w:color="auto" w:fill="F1E5E5" w:themeFill="accent2" w:themeFillTint="1A"/>
      <w:ind w:left="113" w:right="113"/>
    </w:pPr>
  </w:style>
  <w:style w:type="paragraph" w:customStyle="1" w:styleId="Casestudytitle">
    <w:name w:val="Case study title"/>
    <w:basedOn w:val="Casestudy"/>
    <w:qFormat/>
    <w:rsid w:val="002D3954"/>
    <w:pPr>
      <w:spacing w:before="360"/>
    </w:pPr>
    <w:rPr>
      <w:color w:val="572D2D" w:themeColor="accent2"/>
      <w:sz w:val="28"/>
    </w:rPr>
  </w:style>
  <w:style w:type="paragraph" w:customStyle="1" w:styleId="Casestudysource">
    <w:name w:val="Case study source"/>
    <w:basedOn w:val="Casestudy"/>
    <w:qFormat/>
    <w:rsid w:val="00F25F29"/>
    <w:pPr>
      <w:spacing w:before="240" w:after="480"/>
    </w:pPr>
    <w:rPr>
      <w:color w:val="572D2D" w:themeColor="accent2"/>
      <w:sz w:val="16"/>
    </w:rPr>
  </w:style>
  <w:style w:type="paragraph" w:styleId="Header">
    <w:name w:val="header"/>
    <w:basedOn w:val="Normal"/>
    <w:link w:val="HeaderChar"/>
    <w:uiPriority w:val="99"/>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1FDD"/>
    <w:rPr>
      <w:sz w:val="20"/>
    </w:rPr>
  </w:style>
  <w:style w:type="paragraph" w:styleId="Footer">
    <w:name w:val="footer"/>
    <w:basedOn w:val="Normal"/>
    <w:link w:val="FooterChar"/>
    <w:uiPriority w:val="99"/>
    <w:unhideWhenUsed/>
    <w:rsid w:val="00991FD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1FDD"/>
    <w:rPr>
      <w:sz w:val="20"/>
    </w:rPr>
  </w:style>
  <w:style w:type="paragraph" w:customStyle="1" w:styleId="Heading1-NoNumber">
    <w:name w:val="Heading 1 - No Number"/>
    <w:basedOn w:val="Heading1"/>
    <w:next w:val="Normal"/>
    <w:qFormat/>
    <w:rsid w:val="00092808"/>
    <w:pPr>
      <w:numPr>
        <w:numId w:val="0"/>
      </w:numPr>
      <w:spacing w:after="120"/>
    </w:pPr>
  </w:style>
  <w:style w:type="paragraph" w:styleId="ListParagraph">
    <w:name w:val="List Paragraph"/>
    <w:basedOn w:val="Normal"/>
    <w:uiPriority w:val="34"/>
    <w:qFormat/>
    <w:rsid w:val="00A35CF0"/>
    <w:pPr>
      <w:ind w:left="720"/>
      <w:contextualSpacing/>
    </w:pPr>
  </w:style>
  <w:style w:type="character" w:customStyle="1" w:styleId="Equation">
    <w:name w:val="Equation"/>
    <w:basedOn w:val="DefaultParagraphFont"/>
    <w:uiPriority w:val="1"/>
    <w:qFormat/>
    <w:rsid w:val="009C26B9"/>
    <w:rPr>
      <w:rFonts w:ascii="Cambria Math" w:hAnsi="Cambria Math"/>
      <w:i/>
      <w:sz w:val="20"/>
    </w:rPr>
  </w:style>
  <w:style w:type="paragraph" w:customStyle="1" w:styleId="TableText">
    <w:name w:val="TableText"/>
    <w:basedOn w:val="BodyText"/>
    <w:rsid w:val="001B27A0"/>
    <w:pPr>
      <w:spacing w:after="0" w:line="240" w:lineRule="auto"/>
      <w:jc w:val="center"/>
    </w:pPr>
    <w:rPr>
      <w:rFonts w:eastAsia="Times New Roman" w:cs="Times New Roman"/>
      <w:szCs w:val="21"/>
    </w:rPr>
  </w:style>
  <w:style w:type="paragraph" w:styleId="BodyText">
    <w:name w:val="Body Text"/>
    <w:basedOn w:val="Normal"/>
    <w:link w:val="BodyTextChar"/>
    <w:uiPriority w:val="99"/>
    <w:semiHidden/>
    <w:unhideWhenUsed/>
    <w:rsid w:val="009C26B9"/>
  </w:style>
  <w:style w:type="character" w:customStyle="1" w:styleId="BodyTextChar">
    <w:name w:val="Body Text Char"/>
    <w:basedOn w:val="DefaultParagraphFont"/>
    <w:link w:val="BodyText"/>
    <w:uiPriority w:val="99"/>
    <w:semiHidden/>
    <w:rsid w:val="009C26B9"/>
    <w:rPr>
      <w:sz w:val="20"/>
    </w:rPr>
  </w:style>
  <w:style w:type="character" w:styleId="IntenseReference">
    <w:name w:val="Intense Reference"/>
    <w:basedOn w:val="DefaultParagraphFont"/>
    <w:uiPriority w:val="32"/>
    <w:qFormat/>
    <w:rsid w:val="005A5030"/>
    <w:rPr>
      <w:b/>
      <w:bCs/>
      <w:smallCaps/>
      <w:color w:val="A6192E" w:themeColor="accent1"/>
      <w:spacing w:val="5"/>
    </w:rPr>
  </w:style>
  <w:style w:type="paragraph" w:customStyle="1" w:styleId="BodyText1">
    <w:name w:val="Body Text1"/>
    <w:basedOn w:val="Normal"/>
    <w:rsid w:val="00D54442"/>
    <w:pPr>
      <w:overflowPunct w:val="0"/>
      <w:autoSpaceDE w:val="0"/>
      <w:autoSpaceDN w:val="0"/>
      <w:adjustRightInd w:val="0"/>
      <w:spacing w:line="240" w:lineRule="auto"/>
      <w:textAlignment w:val="baseline"/>
    </w:pPr>
    <w:rPr>
      <w:rFonts w:eastAsia="Times New Roman" w:cs="Times New Roman"/>
      <w:szCs w:val="20"/>
    </w:rPr>
  </w:style>
  <w:style w:type="paragraph" w:customStyle="1" w:styleId="Note">
    <w:name w:val="Note"/>
    <w:basedOn w:val="Normal"/>
    <w:link w:val="NoteChar"/>
    <w:qFormat/>
    <w:rsid w:val="007B78B3"/>
    <w:pPr>
      <w:keepLines/>
      <w:spacing w:before="40"/>
      <w:ind w:left="794" w:hanging="794"/>
    </w:pPr>
    <w:rPr>
      <w:color w:val="663830"/>
    </w:rPr>
  </w:style>
  <w:style w:type="character" w:customStyle="1" w:styleId="NoteChar">
    <w:name w:val="Note Char"/>
    <w:basedOn w:val="Heading2Char"/>
    <w:link w:val="Note"/>
    <w:rsid w:val="007B78B3"/>
    <w:rPr>
      <w:rFonts w:asciiTheme="majorHAnsi" w:eastAsiaTheme="majorEastAsia" w:hAnsiTheme="majorHAnsi" w:cstheme="majorBidi"/>
      <w:b w:val="0"/>
      <w:bCs w:val="0"/>
      <w:color w:val="663830"/>
      <w:sz w:val="20"/>
      <w:szCs w:val="26"/>
    </w:rPr>
  </w:style>
  <w:style w:type="character" w:styleId="PlaceholderText">
    <w:name w:val="Placeholder Text"/>
    <w:basedOn w:val="DefaultParagraphFont"/>
    <w:uiPriority w:val="99"/>
    <w:semiHidden/>
    <w:rsid w:val="00290FAC"/>
    <w:rPr>
      <w:color w:val="808080"/>
    </w:rPr>
  </w:style>
  <w:style w:type="paragraph" w:customStyle="1" w:styleId="HeadingAnnexA">
    <w:name w:val="Heading Annex A"/>
    <w:basedOn w:val="Heading1"/>
    <w:next w:val="Normal"/>
    <w:qFormat/>
    <w:rsid w:val="002D0549"/>
    <w:pPr>
      <w:numPr>
        <w:numId w:val="8"/>
      </w:numPr>
      <w:jc w:val="center"/>
    </w:pPr>
  </w:style>
  <w:style w:type="paragraph" w:customStyle="1" w:styleId="HeadingAnnexB">
    <w:name w:val="Heading Annex B"/>
    <w:basedOn w:val="Heading2"/>
    <w:next w:val="Normal"/>
    <w:qFormat/>
    <w:rsid w:val="002D0549"/>
    <w:pPr>
      <w:numPr>
        <w:numId w:val="8"/>
      </w:numPr>
    </w:pPr>
  </w:style>
  <w:style w:type="paragraph" w:customStyle="1" w:styleId="HeadingAnnexC">
    <w:name w:val="Heading Annex C"/>
    <w:basedOn w:val="Heading3"/>
    <w:next w:val="Normal"/>
    <w:qFormat/>
    <w:rsid w:val="002D0549"/>
    <w:pPr>
      <w:numPr>
        <w:numId w:val="8"/>
      </w:numPr>
    </w:pPr>
  </w:style>
  <w:style w:type="paragraph" w:customStyle="1" w:styleId="List-abc">
    <w:name w:val="List-abc"/>
    <w:basedOn w:val="BodyText"/>
    <w:rsid w:val="006959A7"/>
    <w:pPr>
      <w:numPr>
        <w:ilvl w:val="1"/>
        <w:numId w:val="9"/>
      </w:numPr>
      <w:spacing w:line="240" w:lineRule="auto"/>
      <w:ind w:left="425" w:hanging="425"/>
      <w:contextualSpacing/>
    </w:pPr>
    <w:rPr>
      <w:rFonts w:ascii="Times New Roman" w:eastAsia="Times New Roman" w:hAnsi="Times New Roman" w:cs="Times New Roman"/>
      <w:sz w:val="22"/>
      <w:szCs w:val="20"/>
    </w:rPr>
  </w:style>
  <w:style w:type="paragraph" w:customStyle="1" w:styleId="TestTableText">
    <w:name w:val="TestTableText"/>
    <w:basedOn w:val="TableText"/>
    <w:qFormat/>
    <w:rsid w:val="006A13B9"/>
    <w:pPr>
      <w:keepNext/>
      <w:spacing w:before="60" w:after="60"/>
      <w:jc w:val="left"/>
    </w:pPr>
  </w:style>
  <w:style w:type="paragraph" w:customStyle="1" w:styleId="AnnexHeading1">
    <w:name w:val="AnnexHeading1"/>
    <w:basedOn w:val="Normal"/>
    <w:rsid w:val="0077285E"/>
    <w:pPr>
      <w:keepNext/>
      <w:widowControl w:val="0"/>
      <w:numPr>
        <w:numId w:val="10"/>
      </w:numPr>
      <w:tabs>
        <w:tab w:val="left" w:pos="567"/>
      </w:tabs>
      <w:spacing w:line="240" w:lineRule="auto"/>
      <w:ind w:left="0" w:firstLine="0"/>
      <w:jc w:val="center"/>
      <w:outlineLvl w:val="0"/>
    </w:pPr>
    <w:rPr>
      <w:rFonts w:eastAsia="Times New Roman" w:cs="Times New Roman"/>
      <w:b/>
      <w:caps/>
      <w:kern w:val="28"/>
      <w:szCs w:val="20"/>
    </w:rPr>
  </w:style>
  <w:style w:type="paragraph" w:customStyle="1" w:styleId="AnnexHeading2">
    <w:name w:val="AnnexHeading2"/>
    <w:basedOn w:val="Heading2"/>
    <w:rsid w:val="0077285E"/>
    <w:pPr>
      <w:keepLines w:val="0"/>
      <w:numPr>
        <w:numId w:val="10"/>
      </w:numPr>
      <w:tabs>
        <w:tab w:val="clear" w:pos="576"/>
        <w:tab w:val="left" w:pos="567"/>
      </w:tabs>
      <w:spacing w:before="120" w:after="120" w:line="240" w:lineRule="auto"/>
      <w:ind w:left="567" w:hanging="567"/>
    </w:pPr>
    <w:rPr>
      <w:rFonts w:ascii="Arial Bold" w:eastAsia="Times New Roman" w:hAnsi="Arial Bold" w:cs="Times New Roman"/>
      <w:bCs w:val="0"/>
      <w:snapToGrid w:val="0"/>
      <w:color w:val="000000"/>
      <w:sz w:val="20"/>
      <w:szCs w:val="20"/>
    </w:rPr>
  </w:style>
  <w:style w:type="paragraph" w:customStyle="1" w:styleId="AnnexHeading3">
    <w:name w:val="AnnexHeading3"/>
    <w:basedOn w:val="Heading3"/>
    <w:rsid w:val="0077285E"/>
    <w:pPr>
      <w:keepLines w:val="0"/>
      <w:numPr>
        <w:numId w:val="10"/>
      </w:numPr>
      <w:tabs>
        <w:tab w:val="clear" w:pos="720"/>
        <w:tab w:val="left" w:pos="567"/>
      </w:tabs>
      <w:spacing w:before="120" w:after="60" w:line="240" w:lineRule="auto"/>
      <w:ind w:left="567" w:hanging="567"/>
    </w:pPr>
    <w:rPr>
      <w:rFonts w:ascii="Arial" w:eastAsia="Times New Roman" w:hAnsi="Arial" w:cs="Times New Roman"/>
      <w:bCs w:val="0"/>
      <w:color w:val="auto"/>
      <w:sz w:val="18"/>
      <w:szCs w:val="20"/>
    </w:rPr>
  </w:style>
  <w:style w:type="paragraph" w:customStyle="1" w:styleId="TableTextBody">
    <w:name w:val="TableTextBody"/>
    <w:basedOn w:val="BodyText"/>
    <w:rsid w:val="0077285E"/>
    <w:pPr>
      <w:overflowPunct w:val="0"/>
      <w:autoSpaceDE w:val="0"/>
      <w:autoSpaceDN w:val="0"/>
      <w:adjustRightInd w:val="0"/>
      <w:spacing w:before="40" w:after="40" w:line="240" w:lineRule="auto"/>
      <w:textAlignment w:val="baseline"/>
    </w:pPr>
    <w:rPr>
      <w:rFonts w:ascii="Times New Roman" w:eastAsia="Times New Roman" w:hAnsi="Times New Roman" w:cs="Times New Roman"/>
      <w:sz w:val="22"/>
      <w:szCs w:val="20"/>
    </w:rPr>
  </w:style>
  <w:style w:type="paragraph" w:customStyle="1" w:styleId="List-123-abc">
    <w:name w:val="List-123-abc"/>
    <w:basedOn w:val="Normal"/>
    <w:rsid w:val="00F96D1E"/>
    <w:pPr>
      <w:tabs>
        <w:tab w:val="left" w:pos="425"/>
      </w:tabs>
      <w:spacing w:line="240" w:lineRule="auto"/>
    </w:pPr>
    <w:rPr>
      <w:rFonts w:ascii="Times New Roman" w:eastAsia="Times New Roman" w:hAnsi="Times New Roman" w:cs="Times New Roman"/>
      <w:sz w:val="22"/>
      <w:lang w:val="en-US"/>
    </w:rPr>
  </w:style>
  <w:style w:type="paragraph" w:customStyle="1" w:styleId="BulletedBasic">
    <w:name w:val="BulletedBasic"/>
    <w:basedOn w:val="BodyText"/>
    <w:rsid w:val="001D2986"/>
    <w:pPr>
      <w:numPr>
        <w:numId w:val="11"/>
      </w:numPr>
      <w:tabs>
        <w:tab w:val="clear" w:pos="720"/>
      </w:tabs>
      <w:spacing w:line="240" w:lineRule="auto"/>
      <w:ind w:left="284" w:hanging="284"/>
      <w:contextualSpacing/>
    </w:pPr>
    <w:rPr>
      <w:rFonts w:ascii="Times New Roman" w:eastAsia="Times New Roman" w:hAnsi="Times New Roman" w:cs="Times New Roman"/>
      <w:sz w:val="22"/>
      <w:szCs w:val="20"/>
    </w:rPr>
  </w:style>
  <w:style w:type="paragraph" w:customStyle="1" w:styleId="BodyText2">
    <w:name w:val="Body Text2"/>
    <w:basedOn w:val="Normal"/>
    <w:link w:val="BodytextChar0"/>
    <w:rsid w:val="00345B43"/>
    <w:pPr>
      <w:overflowPunct w:val="0"/>
      <w:autoSpaceDE w:val="0"/>
      <w:autoSpaceDN w:val="0"/>
      <w:adjustRightInd w:val="0"/>
      <w:spacing w:line="240" w:lineRule="auto"/>
      <w:textAlignment w:val="baseline"/>
    </w:pPr>
    <w:rPr>
      <w:rFonts w:ascii="Times New Roman" w:eastAsia="Times New Roman" w:hAnsi="Times New Roman" w:cs="Times New Roman"/>
      <w:sz w:val="22"/>
      <w:szCs w:val="20"/>
    </w:rPr>
  </w:style>
  <w:style w:type="character" w:customStyle="1" w:styleId="BodytextChar0">
    <w:name w:val="Body text Char"/>
    <w:basedOn w:val="DefaultParagraphFont"/>
    <w:link w:val="BodyText2"/>
    <w:rsid w:val="00345B43"/>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FB22BD"/>
    <w:rPr>
      <w:sz w:val="16"/>
      <w:szCs w:val="16"/>
    </w:rPr>
  </w:style>
  <w:style w:type="paragraph" w:styleId="CommentText">
    <w:name w:val="annotation text"/>
    <w:basedOn w:val="Normal"/>
    <w:link w:val="CommentTextChar"/>
    <w:uiPriority w:val="99"/>
    <w:unhideWhenUsed/>
    <w:rsid w:val="00FB22BD"/>
    <w:pPr>
      <w:spacing w:line="240" w:lineRule="auto"/>
    </w:pPr>
    <w:rPr>
      <w:szCs w:val="20"/>
    </w:rPr>
  </w:style>
  <w:style w:type="character" w:customStyle="1" w:styleId="CommentTextChar">
    <w:name w:val="Comment Text Char"/>
    <w:basedOn w:val="DefaultParagraphFont"/>
    <w:link w:val="CommentText"/>
    <w:uiPriority w:val="99"/>
    <w:rsid w:val="00FB22B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B22BD"/>
    <w:rPr>
      <w:b/>
      <w:bCs/>
    </w:rPr>
  </w:style>
  <w:style w:type="character" w:customStyle="1" w:styleId="CommentSubjectChar">
    <w:name w:val="Comment Subject Char"/>
    <w:basedOn w:val="CommentTextChar"/>
    <w:link w:val="CommentSubject"/>
    <w:uiPriority w:val="99"/>
    <w:semiHidden/>
    <w:rsid w:val="00FB22BD"/>
    <w:rPr>
      <w:rFonts w:ascii="Arial" w:hAnsi="Arial"/>
      <w:b/>
      <w:bCs/>
      <w:sz w:val="20"/>
      <w:szCs w:val="20"/>
    </w:rPr>
  </w:style>
  <w:style w:type="paragraph" w:styleId="TOC4">
    <w:name w:val="toc 4"/>
    <w:basedOn w:val="Normal"/>
    <w:next w:val="Normal"/>
    <w:autoRedefine/>
    <w:uiPriority w:val="39"/>
    <w:unhideWhenUsed/>
    <w:rsid w:val="00B158B7"/>
    <w:pPr>
      <w:spacing w:after="100" w:line="259" w:lineRule="auto"/>
      <w:ind w:left="660"/>
    </w:pPr>
    <w:rPr>
      <w:rFonts w:asciiTheme="minorHAnsi" w:eastAsiaTheme="minorEastAsia" w:hAnsiTheme="minorHAnsi"/>
      <w:sz w:val="22"/>
      <w:lang w:eastAsia="en-AU"/>
    </w:rPr>
  </w:style>
  <w:style w:type="paragraph" w:styleId="TOC5">
    <w:name w:val="toc 5"/>
    <w:basedOn w:val="Normal"/>
    <w:next w:val="Normal"/>
    <w:autoRedefine/>
    <w:uiPriority w:val="39"/>
    <w:unhideWhenUsed/>
    <w:rsid w:val="00B158B7"/>
    <w:pPr>
      <w:spacing w:after="100" w:line="259" w:lineRule="auto"/>
      <w:ind w:left="880"/>
    </w:pPr>
    <w:rPr>
      <w:rFonts w:asciiTheme="minorHAnsi" w:eastAsiaTheme="minorEastAsia" w:hAnsiTheme="minorHAnsi"/>
      <w:sz w:val="22"/>
      <w:lang w:eastAsia="en-AU"/>
    </w:rPr>
  </w:style>
  <w:style w:type="paragraph" w:styleId="TOC6">
    <w:name w:val="toc 6"/>
    <w:basedOn w:val="Normal"/>
    <w:next w:val="Normal"/>
    <w:autoRedefine/>
    <w:uiPriority w:val="39"/>
    <w:unhideWhenUsed/>
    <w:rsid w:val="00B158B7"/>
    <w:pPr>
      <w:spacing w:after="100" w:line="259" w:lineRule="auto"/>
      <w:ind w:left="1100"/>
    </w:pPr>
    <w:rPr>
      <w:rFonts w:asciiTheme="minorHAnsi" w:eastAsiaTheme="minorEastAsia" w:hAnsiTheme="minorHAnsi"/>
      <w:sz w:val="22"/>
      <w:lang w:eastAsia="en-AU"/>
    </w:rPr>
  </w:style>
  <w:style w:type="paragraph" w:styleId="TOC7">
    <w:name w:val="toc 7"/>
    <w:basedOn w:val="Normal"/>
    <w:next w:val="Normal"/>
    <w:autoRedefine/>
    <w:uiPriority w:val="39"/>
    <w:unhideWhenUsed/>
    <w:rsid w:val="00B158B7"/>
    <w:pPr>
      <w:spacing w:after="100" w:line="259" w:lineRule="auto"/>
      <w:ind w:left="1320"/>
    </w:pPr>
    <w:rPr>
      <w:rFonts w:asciiTheme="minorHAnsi" w:eastAsiaTheme="minorEastAsia" w:hAnsiTheme="minorHAnsi"/>
      <w:sz w:val="22"/>
      <w:lang w:eastAsia="en-AU"/>
    </w:rPr>
  </w:style>
  <w:style w:type="paragraph" w:styleId="TOC8">
    <w:name w:val="toc 8"/>
    <w:basedOn w:val="Normal"/>
    <w:next w:val="Normal"/>
    <w:autoRedefine/>
    <w:uiPriority w:val="39"/>
    <w:unhideWhenUsed/>
    <w:rsid w:val="00B158B7"/>
    <w:pPr>
      <w:spacing w:after="100" w:line="259" w:lineRule="auto"/>
      <w:ind w:left="1540"/>
    </w:pPr>
    <w:rPr>
      <w:rFonts w:asciiTheme="minorHAnsi" w:eastAsiaTheme="minorEastAsia" w:hAnsiTheme="minorHAnsi"/>
      <w:sz w:val="22"/>
      <w:lang w:eastAsia="en-AU"/>
    </w:rPr>
  </w:style>
  <w:style w:type="paragraph" w:styleId="TOC9">
    <w:name w:val="toc 9"/>
    <w:basedOn w:val="Normal"/>
    <w:next w:val="Normal"/>
    <w:autoRedefine/>
    <w:uiPriority w:val="39"/>
    <w:unhideWhenUsed/>
    <w:rsid w:val="00B158B7"/>
    <w:pPr>
      <w:spacing w:after="100" w:line="259" w:lineRule="auto"/>
      <w:ind w:left="1760"/>
    </w:pPr>
    <w:rPr>
      <w:rFonts w:asciiTheme="minorHAnsi" w:eastAsiaTheme="minorEastAsia" w:hAnsiTheme="minorHAnsi"/>
      <w:sz w:val="22"/>
      <w:lang w:eastAsia="en-AU"/>
    </w:rPr>
  </w:style>
  <w:style w:type="paragraph" w:styleId="Revision">
    <w:name w:val="Revision"/>
    <w:hidden/>
    <w:uiPriority w:val="99"/>
    <w:semiHidden/>
    <w:rsid w:val="00900E8E"/>
    <w:pPr>
      <w:spacing w:after="0" w:line="240" w:lineRule="auto"/>
    </w:pPr>
    <w:rPr>
      <w:rFonts w:ascii="Arial" w:hAnsi="Arial"/>
      <w:sz w:val="20"/>
    </w:rPr>
  </w:style>
  <w:style w:type="paragraph" w:customStyle="1" w:styleId="Heading2-NotForContents">
    <w:name w:val="Heading 2 - Not For Contents"/>
    <w:basedOn w:val="Heading2"/>
    <w:qFormat/>
    <w:rsid w:val="006A4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asurement.gov.au"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easurement.gov.au"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footer4.xml.rels><?xml version="1.0" encoding="UTF-8" standalone="yes"?>
<Relationships xmlns="http://schemas.openxmlformats.org/package/2006/relationships"><Relationship Id="rId1" Type="http://schemas.openxmlformats.org/officeDocument/2006/relationships/image" Target="media/image2.gif"/></Relationships>
</file>

<file path=word/_rels/footer6.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cience">
      <a:dk1>
        <a:sysClr val="windowText" lastClr="000000"/>
      </a:dk1>
      <a:lt1>
        <a:sysClr val="window" lastClr="FFFFFF"/>
      </a:lt1>
      <a:dk2>
        <a:srgbClr val="58595B"/>
      </a:dk2>
      <a:lt2>
        <a:srgbClr val="939598"/>
      </a:lt2>
      <a:accent1>
        <a:srgbClr val="A6192E"/>
      </a:accent1>
      <a:accent2>
        <a:srgbClr val="572D2D"/>
      </a:accent2>
      <a:accent3>
        <a:srgbClr val="71CC98"/>
      </a:accent3>
      <a:accent4>
        <a:srgbClr val="B7B09C"/>
      </a:accent4>
      <a:accent5>
        <a:srgbClr val="58595B"/>
      </a:accent5>
      <a:accent6>
        <a:srgbClr val="6D6E70"/>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B39DE-C847-457D-99F9-750294480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3605</Words>
  <Characters>20550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2022-08-16T06:35:00Z</dcterms:created>
  <dcterms:modified xsi:type="dcterms:W3CDTF">2022-08-16T06:35:00Z</dcterms:modified>
</cp:coreProperties>
</file>