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274" w:rsidRDefault="00253274">
      <w:bookmarkStart w:id="0" w:name="_GoBack"/>
      <w:bookmarkEnd w:id="0"/>
    </w:p>
    <w:p w:rsidR="008142AA" w:rsidRDefault="008142AA" w:rsidP="00C069F0">
      <w:pPr>
        <w:pStyle w:val="TPHeading1"/>
        <w:spacing w:line="600" w:lineRule="auto"/>
        <w:rPr>
          <w:noProof/>
        </w:rPr>
      </w:pPr>
      <w:bookmarkStart w:id="1" w:name="RG_MARKER_12187"/>
      <w:bookmarkStart w:id="2" w:name="RG_MARKER_11678"/>
      <w:bookmarkStart w:id="3" w:name="RG_MARKER_11698"/>
      <w:bookmarkStart w:id="4" w:name="RG_MARKER_11687"/>
      <w:bookmarkEnd w:id="1"/>
      <w:bookmarkEnd w:id="2"/>
      <w:bookmarkEnd w:id="3"/>
      <w:bookmarkEnd w:id="4"/>
    </w:p>
    <w:p w:rsidR="005274E5" w:rsidRDefault="005274E5" w:rsidP="00C069F0">
      <w:pPr>
        <w:pStyle w:val="TPHeading1"/>
        <w:spacing w:line="600" w:lineRule="auto"/>
        <w:rPr>
          <w:noProof/>
        </w:rPr>
      </w:pPr>
    </w:p>
    <w:p w:rsidR="005274E5" w:rsidRDefault="005274E5" w:rsidP="00C069F0">
      <w:pPr>
        <w:pStyle w:val="TPHeading1"/>
        <w:spacing w:line="600" w:lineRule="auto"/>
        <w:rPr>
          <w:noProof/>
        </w:rPr>
      </w:pPr>
    </w:p>
    <w:p w:rsidR="005274E5" w:rsidRDefault="005274E5" w:rsidP="00C069F0">
      <w:pPr>
        <w:pStyle w:val="TPHeading1"/>
        <w:spacing w:line="600" w:lineRule="auto"/>
        <w:rPr>
          <w:noProof/>
        </w:rPr>
      </w:pPr>
    </w:p>
    <w:p w:rsidR="005274E5" w:rsidRDefault="005274E5" w:rsidP="00C069F0">
      <w:pPr>
        <w:pStyle w:val="TPHeading1"/>
        <w:spacing w:line="600" w:lineRule="auto"/>
        <w:rPr>
          <w:noProof/>
        </w:rPr>
      </w:pPr>
    </w:p>
    <w:p w:rsidR="005274E5" w:rsidRDefault="005274E5" w:rsidP="00C069F0">
      <w:pPr>
        <w:pStyle w:val="TPHeading1"/>
        <w:spacing w:line="600" w:lineRule="auto"/>
      </w:pPr>
    </w:p>
    <w:p w:rsidR="00594DE8" w:rsidRPr="005274E5" w:rsidRDefault="00BA7A7F" w:rsidP="005274E5">
      <w:pPr>
        <w:pStyle w:val="TPHeading2"/>
        <w:rPr>
          <w:rFonts w:ascii="Calibri Light" w:hAnsi="Calibri Light" w:cs="Calibri Light"/>
          <w:caps w:val="0"/>
          <w:color w:val="000000"/>
          <w:sz w:val="32"/>
          <w:szCs w:val="36"/>
        </w:rPr>
      </w:pPr>
      <w:r w:rsidRPr="005274E5">
        <w:rPr>
          <w:rFonts w:ascii="Calibri Light" w:hAnsi="Calibri Light" w:cs="Calibri Light"/>
          <w:caps w:val="0"/>
          <w:color w:val="000000"/>
          <w:sz w:val="32"/>
          <w:szCs w:val="36"/>
        </w:rPr>
        <w:t>Portfolio Budget Statements 2022­23</w:t>
      </w:r>
    </w:p>
    <w:p w:rsidR="005274E5" w:rsidRPr="005274E5" w:rsidRDefault="00BA7A7F" w:rsidP="005274E5">
      <w:pPr>
        <w:pStyle w:val="TPHeading2"/>
        <w:rPr>
          <w:rFonts w:ascii="Calibri Light" w:hAnsi="Calibri Light" w:cs="Calibri Light"/>
          <w:caps w:val="0"/>
          <w:color w:val="000000"/>
          <w:sz w:val="32"/>
          <w:szCs w:val="36"/>
        </w:rPr>
      </w:pPr>
      <w:r w:rsidRPr="005274E5">
        <w:rPr>
          <w:rFonts w:ascii="Calibri Light" w:hAnsi="Calibri Light" w:cs="Calibri Light"/>
          <w:caps w:val="0"/>
          <w:color w:val="000000"/>
          <w:sz w:val="32"/>
          <w:szCs w:val="36"/>
        </w:rPr>
        <w:t>Budget Related Paper No. 1.9</w:t>
      </w:r>
    </w:p>
    <w:p w:rsidR="00594DE8" w:rsidRPr="005274E5" w:rsidRDefault="00BA7A7F" w:rsidP="005274E5">
      <w:pPr>
        <w:pStyle w:val="TPHeading2"/>
        <w:rPr>
          <w:rFonts w:ascii="Calibri Light" w:hAnsi="Calibri Light" w:cs="Calibri Light"/>
          <w:caps w:val="0"/>
          <w:color w:val="000000"/>
          <w:sz w:val="32"/>
          <w:szCs w:val="36"/>
        </w:rPr>
      </w:pPr>
      <w:r w:rsidRPr="005274E5">
        <w:rPr>
          <w:rFonts w:ascii="Calibri Light" w:hAnsi="Calibri Light" w:cs="Calibri Light"/>
          <w:caps w:val="0"/>
          <w:color w:val="000000"/>
          <w:sz w:val="32"/>
          <w:szCs w:val="36"/>
        </w:rPr>
        <w:tab/>
      </w:r>
    </w:p>
    <w:p w:rsidR="00D22BB1" w:rsidRPr="005274E5" w:rsidRDefault="00BA7A7F" w:rsidP="005274E5">
      <w:pPr>
        <w:pStyle w:val="TPHeading2"/>
        <w:spacing w:after="100" w:afterAutospacing="1"/>
        <w:rPr>
          <w:rFonts w:ascii="Calibri Light" w:hAnsi="Calibri Light" w:cs="Calibri Light"/>
          <w:b/>
          <w:caps w:val="0"/>
          <w:color w:val="000000"/>
          <w:sz w:val="32"/>
          <w:szCs w:val="36"/>
        </w:rPr>
      </w:pPr>
      <w:r w:rsidRPr="005274E5">
        <w:rPr>
          <w:rFonts w:ascii="Calibri Light" w:hAnsi="Calibri Light" w:cs="Calibri Light"/>
          <w:b/>
          <w:caps w:val="0"/>
          <w:color w:val="000000"/>
          <w:sz w:val="32"/>
          <w:szCs w:val="36"/>
        </w:rPr>
        <w:t>Industry, Science, Energy and Resources Portfolio</w:t>
      </w:r>
    </w:p>
    <w:p w:rsidR="00AE510F" w:rsidRPr="00C56753" w:rsidRDefault="00AE510F" w:rsidP="00D22BB1">
      <w:pPr>
        <w:spacing w:line="720" w:lineRule="auto"/>
        <w:rPr>
          <w:rFonts w:ascii="Arial" w:hAnsi="Arial" w:cs="Arial"/>
          <w:sz w:val="72"/>
        </w:rPr>
      </w:pPr>
    </w:p>
    <w:p w:rsidR="00AE510F" w:rsidRPr="005274E5" w:rsidRDefault="00BA7A7F" w:rsidP="005274E5">
      <w:pPr>
        <w:pStyle w:val="TPHeading2"/>
        <w:rPr>
          <w:rFonts w:ascii="Calibri Light" w:hAnsi="Calibri Light" w:cs="Calibri Light"/>
          <w:caps w:val="0"/>
          <w:color w:val="000000"/>
          <w:sz w:val="22"/>
          <w:szCs w:val="22"/>
        </w:rPr>
      </w:pPr>
      <w:r w:rsidRPr="005274E5">
        <w:rPr>
          <w:rFonts w:ascii="Calibri Light" w:hAnsi="Calibri Light" w:cs="Calibri Light"/>
          <w:caps w:val="0"/>
          <w:color w:val="000000"/>
          <w:sz w:val="22"/>
          <w:szCs w:val="22"/>
        </w:rPr>
        <w:t>Budget Initiatives and Explanations of</w:t>
      </w:r>
    </w:p>
    <w:p w:rsidR="00AE510F" w:rsidRPr="005274E5" w:rsidRDefault="00BA7A7F" w:rsidP="005274E5">
      <w:pPr>
        <w:pStyle w:val="TPHeading2"/>
        <w:rPr>
          <w:rFonts w:ascii="Calibri Light" w:hAnsi="Calibri Light" w:cs="Calibri Light"/>
          <w:caps w:val="0"/>
          <w:color w:val="000000"/>
          <w:sz w:val="22"/>
          <w:szCs w:val="22"/>
        </w:rPr>
      </w:pPr>
      <w:r w:rsidRPr="005274E5">
        <w:rPr>
          <w:rFonts w:ascii="Calibri Light" w:hAnsi="Calibri Light" w:cs="Calibri Light"/>
          <w:caps w:val="0"/>
          <w:color w:val="000000"/>
          <w:sz w:val="22"/>
          <w:szCs w:val="22"/>
        </w:rPr>
        <w:t>Appropriations Specified by Outcomes</w:t>
      </w:r>
    </w:p>
    <w:p w:rsidR="00D86095" w:rsidRPr="005274E5" w:rsidRDefault="00BA7A7F" w:rsidP="005274E5">
      <w:pPr>
        <w:pStyle w:val="TPHeading2"/>
        <w:rPr>
          <w:rFonts w:ascii="Calibri Light" w:hAnsi="Calibri Light" w:cs="Calibri Light"/>
          <w:caps w:val="0"/>
          <w:color w:val="000000"/>
          <w:sz w:val="22"/>
          <w:szCs w:val="22"/>
        </w:rPr>
      </w:pPr>
      <w:r w:rsidRPr="005274E5">
        <w:rPr>
          <w:rFonts w:ascii="Calibri Light" w:hAnsi="Calibri Light" w:cs="Calibri Light"/>
          <w:caps w:val="0"/>
          <w:color w:val="000000"/>
          <w:sz w:val="22"/>
          <w:szCs w:val="22"/>
        </w:rPr>
        <w:t>and Programs by Entity</w:t>
      </w:r>
    </w:p>
    <w:p w:rsidR="00C92247" w:rsidRPr="00C92247" w:rsidRDefault="00BA7A7F" w:rsidP="003B0341">
      <w:pPr>
        <w:pageBreakBefore/>
        <w:spacing w:line="240" w:lineRule="exact"/>
      </w:pPr>
      <w:bookmarkStart w:id="5" w:name="RG_MARKER_12219"/>
      <w:r>
        <w:lastRenderedPageBreak/>
        <w:t xml:space="preserve">© Commonwealth of Australia </w:t>
      </w:r>
      <w:bookmarkEnd w:id="5"/>
      <w:r>
        <w:t>2022</w:t>
      </w:r>
    </w:p>
    <w:p w:rsidR="003B0341" w:rsidRDefault="00BA7A7F" w:rsidP="002D2114">
      <w:pPr>
        <w:tabs>
          <w:tab w:val="left" w:pos="1418"/>
        </w:tabs>
        <w:spacing w:after="0" w:line="240" w:lineRule="exact"/>
      </w:pPr>
      <w:r w:rsidRPr="0003716C">
        <w:t>IS</w:t>
      </w:r>
      <w:r>
        <w:t>S</w:t>
      </w:r>
      <w:r w:rsidRPr="0003716C">
        <w:t>N</w:t>
      </w:r>
      <w:r>
        <w:t xml:space="preserve">  </w:t>
      </w:r>
      <w:r w:rsidRPr="0003716C">
        <w:t>978-1-76044-330-6</w:t>
      </w:r>
    </w:p>
    <w:p w:rsidR="002D2114" w:rsidRDefault="002D2114" w:rsidP="002D2114">
      <w:pPr>
        <w:tabs>
          <w:tab w:val="left" w:pos="1418"/>
        </w:tabs>
        <w:spacing w:line="240" w:lineRule="exact"/>
      </w:pPr>
    </w:p>
    <w:p w:rsidR="003F482E" w:rsidRDefault="00BA7A7F" w:rsidP="00FD7DB9">
      <w:pPr>
        <w:tabs>
          <w:tab w:val="left" w:pos="1650"/>
        </w:tabs>
        <w:spacing w:after="0"/>
      </w:pPr>
      <w:r w:rsidRPr="00C92247">
        <w:t>This publication is available for your use under a</w:t>
      </w:r>
      <w:r w:rsidRPr="00C92247">
        <w:rPr>
          <w:rStyle w:val="A5"/>
          <w:rFonts w:ascii="Book Antiqua" w:hAnsi="Book Antiqua" w:cs="Calibri"/>
        </w:rPr>
        <w:t xml:space="preserve"> </w:t>
      </w:r>
      <w:r w:rsidRPr="00C92247">
        <w:t>Creative Commons BY Attribution 3.0 Australia</w:t>
      </w:r>
      <w:r w:rsidRPr="00C92247">
        <w:rPr>
          <w:rStyle w:val="A5"/>
          <w:rFonts w:ascii="Book Antiqua" w:hAnsi="Book Antiqua" w:cs="Calibri"/>
        </w:rPr>
        <w:t xml:space="preserve"> </w:t>
      </w:r>
      <w:r w:rsidRPr="00C92247">
        <w:t xml:space="preserve">licence, with the exception of the Commonwealth Coat of Arms, </w:t>
      </w:r>
      <w:r>
        <w:t xml:space="preserve">the </w:t>
      </w:r>
      <w:r w:rsidRPr="00DC35F9">
        <w:t>Department of Industry, Science, Energy and Resources</w:t>
      </w:r>
      <w:r>
        <w:t xml:space="preserve"> </w:t>
      </w:r>
      <w:r w:rsidRPr="00C92247">
        <w:t xml:space="preserve">logo, photographs, images, signatures and where otherwise stated. </w:t>
      </w:r>
      <w:r>
        <w:t>The full licence terms are available from:</w:t>
      </w:r>
    </w:p>
    <w:p w:rsidR="00C8340C" w:rsidRDefault="000D7E34" w:rsidP="00FD7DB9">
      <w:pPr>
        <w:tabs>
          <w:tab w:val="left" w:pos="1650"/>
        </w:tabs>
        <w:spacing w:after="100" w:afterAutospacing="1"/>
        <w:rPr>
          <w:rStyle w:val="A5"/>
          <w:rFonts w:ascii="Calibri" w:hAnsi="Calibri"/>
          <w:sz w:val="24"/>
          <w:szCs w:val="24"/>
        </w:rPr>
      </w:pPr>
      <w:hyperlink r:id="rId8" w:history="1">
        <w:r w:rsidR="00BA7A7F">
          <w:rPr>
            <w:rStyle w:val="Hyperlink"/>
          </w:rPr>
          <w:t>http://creativecommons.org/licenses/by/3.0/au/legalcode</w:t>
        </w:r>
      </w:hyperlink>
    </w:p>
    <w:p w:rsidR="00C8340C" w:rsidRDefault="00BA7A7F" w:rsidP="00C8340C">
      <w:pPr>
        <w:tabs>
          <w:tab w:val="left" w:pos="1650"/>
        </w:tabs>
        <w:spacing w:before="60" w:after="60" w:line="240" w:lineRule="auto"/>
        <w:jc w:val="left"/>
        <w:rPr>
          <w:rFonts w:cs="Calibri"/>
        </w:rPr>
      </w:pPr>
      <w:r>
        <w:rPr>
          <w:rFonts w:cs="Calibri"/>
          <w:noProof/>
        </w:rPr>
        <w:drawing>
          <wp:inline distT="0" distB="0" distL="0" distR="0">
            <wp:extent cx="1056640" cy="361950"/>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78653" name="Picture 7" descr="Creative Commons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56640" cy="361950"/>
                    </a:xfrm>
                    <a:prstGeom prst="rect">
                      <a:avLst/>
                    </a:prstGeom>
                    <a:noFill/>
                    <a:ln>
                      <a:noFill/>
                    </a:ln>
                  </pic:spPr>
                </pic:pic>
              </a:graphicData>
            </a:graphic>
          </wp:inline>
        </w:drawing>
      </w:r>
    </w:p>
    <w:p w:rsidR="00C92247" w:rsidRPr="00C92247" w:rsidRDefault="00BA7A7F" w:rsidP="009217EF">
      <w:pPr>
        <w:spacing w:before="160" w:after="0" w:line="240" w:lineRule="exact"/>
      </w:pPr>
      <w:r w:rsidRPr="00C92247">
        <w:t>Use of</w:t>
      </w:r>
      <w:r w:rsidR="00FD7DB9">
        <w:t xml:space="preserve"> the</w:t>
      </w:r>
      <w:r w:rsidRPr="00C92247">
        <w:t xml:space="preserve"> </w:t>
      </w:r>
      <w:r w:rsidRPr="00DC35F9">
        <w:t>Department of Industry, Science, Energy and Resources</w:t>
      </w:r>
      <w:r w:rsidRPr="00C92247">
        <w:rPr>
          <w:snapToGrid w:val="0"/>
        </w:rPr>
        <w:t xml:space="preserve"> </w:t>
      </w:r>
      <w:r w:rsidRPr="00C92247">
        <w:t xml:space="preserve">material under a Creative Commons BY Attribution 3.0 Australia licence requires you to attribute the work (but not in any way that suggests that </w:t>
      </w:r>
      <w:r w:rsidRPr="00C92247">
        <w:rPr>
          <w:snapToGrid w:val="0"/>
        </w:rPr>
        <w:t xml:space="preserve">the </w:t>
      </w:r>
      <w:r>
        <w:rPr>
          <w:snapToGrid w:val="0"/>
        </w:rPr>
        <w:t xml:space="preserve">Department of Industry, Science, Energy and Resources </w:t>
      </w:r>
      <w:r w:rsidRPr="00C92247">
        <w:t xml:space="preserve">endorses you or your use </w:t>
      </w:r>
      <w:r>
        <w:t>of the work).</w:t>
      </w:r>
    </w:p>
    <w:p w:rsidR="00C92247" w:rsidRPr="00F0381A" w:rsidRDefault="00BA7A7F" w:rsidP="008449EA">
      <w:pPr>
        <w:spacing w:before="160" w:after="160"/>
        <w:rPr>
          <w:b/>
          <w:iCs/>
        </w:rPr>
      </w:pPr>
      <w:r w:rsidRPr="00F0381A">
        <w:rPr>
          <w:b/>
          <w:iCs/>
        </w:rPr>
        <w:t>Department of Industry, Science, Energy and Resources material used ‘as supplied’</w:t>
      </w:r>
    </w:p>
    <w:p w:rsidR="00C92247" w:rsidRPr="00C92247" w:rsidRDefault="00BA7A7F" w:rsidP="00FD7DB9">
      <w:pPr>
        <w:spacing w:after="0" w:line="240" w:lineRule="exact"/>
      </w:pPr>
      <w:r w:rsidRPr="00C92247">
        <w:t>Provided you have not modified or transformed</w:t>
      </w:r>
      <w:r>
        <w:t xml:space="preserve"> the </w:t>
      </w:r>
      <w:r w:rsidRPr="00DC35F9">
        <w:t>Department of Industry, Science, Energy and Resources</w:t>
      </w:r>
      <w:r w:rsidRPr="00C92247">
        <w:t xml:space="preserve"> material in any way including, for example, by changing the</w:t>
      </w:r>
      <w:r>
        <w:t xml:space="preserve"> </w:t>
      </w:r>
      <w:r w:rsidRPr="00DC35F9">
        <w:t>Department of Industry, Science, Energy and Resources</w:t>
      </w:r>
      <w:r w:rsidRPr="00C92247">
        <w:t xml:space="preserve"> text; calculating percentage changes; graphing or charting data; or deriving new statistics from published </w:t>
      </w:r>
      <w:r w:rsidRPr="00DC35F9">
        <w:t>Department of Industry, Science, Energy and Resources</w:t>
      </w:r>
      <w:r>
        <w:t xml:space="preserve"> </w:t>
      </w:r>
      <w:r w:rsidRPr="00C92247">
        <w:t xml:space="preserve">statistics – then </w:t>
      </w:r>
      <w:r w:rsidRPr="00C92247">
        <w:rPr>
          <w:snapToGrid w:val="0"/>
        </w:rPr>
        <w:t xml:space="preserve">the </w:t>
      </w:r>
      <w:r w:rsidRPr="00DC35F9">
        <w:rPr>
          <w:snapToGrid w:val="0"/>
        </w:rPr>
        <w:t>Department of Industry, Science, Energy and Resources</w:t>
      </w:r>
      <w:r w:rsidRPr="00C92247">
        <w:t xml:space="preserve"> pre</w:t>
      </w:r>
      <w:r>
        <w:t>fers the following attribution:</w:t>
      </w:r>
    </w:p>
    <w:p w:rsidR="00C92247" w:rsidRPr="00C92247" w:rsidRDefault="00BA7A7F" w:rsidP="008449EA">
      <w:pPr>
        <w:spacing w:before="160" w:after="160"/>
        <w:rPr>
          <w:i/>
        </w:rPr>
      </w:pPr>
      <w:r w:rsidRPr="00C92247">
        <w:rPr>
          <w:i/>
        </w:rPr>
        <w:t xml:space="preserve">Source: The </w:t>
      </w:r>
      <w:r w:rsidRPr="00C92247">
        <w:rPr>
          <w:i/>
          <w:iCs/>
        </w:rPr>
        <w:t>Australian Government </w:t>
      </w:r>
      <w:r w:rsidRPr="00DC35F9">
        <w:rPr>
          <w:i/>
          <w:iCs/>
        </w:rPr>
        <w:t>Department of Industry, Science, Energy and Resources</w:t>
      </w:r>
    </w:p>
    <w:p w:rsidR="00C92247" w:rsidRPr="00C92247" w:rsidRDefault="00BA7A7F" w:rsidP="00B94944">
      <w:pPr>
        <w:spacing w:after="120"/>
        <w:rPr>
          <w:b/>
        </w:rPr>
      </w:pPr>
      <w:r w:rsidRPr="00C92247">
        <w:rPr>
          <w:b/>
        </w:rPr>
        <w:t>Derivative material</w:t>
      </w:r>
    </w:p>
    <w:p w:rsidR="00C92247" w:rsidRPr="00C92247" w:rsidRDefault="00BA7A7F" w:rsidP="008A2F02">
      <w:pPr>
        <w:spacing w:after="200" w:line="240" w:lineRule="exact"/>
      </w:pPr>
      <w:r w:rsidRPr="00C92247">
        <w:t xml:space="preserve">If you have modified or transformed the </w:t>
      </w:r>
      <w:r w:rsidRPr="00DC35F9">
        <w:t>Department of Industry, Science, Energy and Resources</w:t>
      </w:r>
      <w:r>
        <w:t xml:space="preserve"> </w:t>
      </w:r>
      <w:r w:rsidRPr="00C92247">
        <w:t xml:space="preserve">material, or derived new material from the </w:t>
      </w:r>
      <w:r w:rsidRPr="00DC35F9">
        <w:t>Department of Industry, Science, Energy and Resources</w:t>
      </w:r>
      <w:r>
        <w:t xml:space="preserve"> </w:t>
      </w:r>
      <w:r w:rsidRPr="00C92247">
        <w:t xml:space="preserve">in any way, then </w:t>
      </w:r>
      <w:r w:rsidRPr="00C92247">
        <w:rPr>
          <w:snapToGrid w:val="0"/>
        </w:rPr>
        <w:t xml:space="preserve">the </w:t>
      </w:r>
      <w:r w:rsidRPr="00DC35F9">
        <w:rPr>
          <w:snapToGrid w:val="0"/>
        </w:rPr>
        <w:t>Department of Industry, Science, Energy and Resources</w:t>
      </w:r>
      <w:r>
        <w:rPr>
          <w:snapToGrid w:val="0"/>
        </w:rPr>
        <w:t xml:space="preserve"> </w:t>
      </w:r>
      <w:r w:rsidRPr="00C92247">
        <w:t>pre</w:t>
      </w:r>
      <w:r>
        <w:t>fers the following attribution:</w:t>
      </w:r>
    </w:p>
    <w:p w:rsidR="00C92247" w:rsidRPr="00C92247" w:rsidRDefault="00BA7A7F" w:rsidP="008449EA">
      <w:pPr>
        <w:spacing w:before="160" w:after="160"/>
      </w:pPr>
      <w:r w:rsidRPr="00C92247">
        <w:rPr>
          <w:i/>
        </w:rPr>
        <w:t xml:space="preserve">Based on </w:t>
      </w:r>
      <w:r>
        <w:rPr>
          <w:i/>
        </w:rPr>
        <w:t xml:space="preserve">The Australian Government </w:t>
      </w:r>
      <w:r w:rsidRPr="00DC35F9">
        <w:rPr>
          <w:i/>
        </w:rPr>
        <w:t>Department of Industry, Science, Energy and Resources</w:t>
      </w:r>
    </w:p>
    <w:p w:rsidR="00C92247" w:rsidRPr="00C92247" w:rsidRDefault="00BA7A7F" w:rsidP="00B94944">
      <w:pPr>
        <w:spacing w:after="120"/>
        <w:rPr>
          <w:b/>
        </w:rPr>
      </w:pPr>
      <w:r w:rsidRPr="00C92247">
        <w:rPr>
          <w:b/>
        </w:rPr>
        <w:t>Use of the Coat of Arms</w:t>
      </w:r>
    </w:p>
    <w:p w:rsidR="00882FD1" w:rsidRDefault="00BA7A7F" w:rsidP="00882FD1">
      <w:pPr>
        <w:spacing w:before="160" w:after="160"/>
        <w:rPr>
          <w:b/>
        </w:rPr>
      </w:pPr>
      <w:r>
        <w:t xml:space="preserve">The terms under which the Coat of Arms can be used are set out on the Department of the Prime Minister and Cabinet website (See </w:t>
      </w:r>
      <w:hyperlink r:id="rId10" w:history="1">
        <w:r>
          <w:rPr>
            <w:rStyle w:val="Hyperlink"/>
          </w:rPr>
          <w:t>www.pmc.gov.au/government/commonwealth-coat-arms</w:t>
        </w:r>
      </w:hyperlink>
      <w:r>
        <w:rPr>
          <w:rStyle w:val="Hyperlink"/>
        </w:rPr>
        <w:t>).</w:t>
      </w:r>
    </w:p>
    <w:p w:rsidR="00C92247" w:rsidRPr="00C92247" w:rsidRDefault="00BA7A7F" w:rsidP="00882FD1">
      <w:pPr>
        <w:spacing w:after="120"/>
        <w:rPr>
          <w:b/>
        </w:rPr>
      </w:pPr>
      <w:r w:rsidRPr="00C92247">
        <w:rPr>
          <w:b/>
        </w:rPr>
        <w:t>Other uses</w:t>
      </w:r>
    </w:p>
    <w:p w:rsidR="009725E5" w:rsidRDefault="00BA7A7F" w:rsidP="00380F2F">
      <w:pPr>
        <w:spacing w:after="0"/>
        <w:rPr>
          <w:i/>
        </w:rPr>
      </w:pPr>
      <w:r>
        <w:t>E</w:t>
      </w:r>
      <w:r w:rsidRPr="00C92247">
        <w:t xml:space="preserve">nquiries </w:t>
      </w:r>
      <w:r w:rsidRPr="00C92247">
        <w:rPr>
          <w:snapToGrid w:val="0"/>
        </w:rPr>
        <w:t>regarding</w:t>
      </w:r>
      <w:r w:rsidRPr="00C92247">
        <w:t xml:space="preserve"> this licence and any other use of this document are welcome</w:t>
      </w:r>
      <w:r>
        <w:t>.</w:t>
      </w:r>
      <w:r>
        <w:br/>
        <w:t xml:space="preserve">Please contact the Chief Finance Officer, Department of Industry, Science, Energy and Resources on </w:t>
      </w:r>
      <w:r w:rsidRPr="00BF4C09">
        <w:rPr>
          <w:iCs/>
        </w:rPr>
        <w:t>(02) 6213 6000</w:t>
      </w:r>
      <w:r>
        <w:rPr>
          <w:i/>
        </w:rPr>
        <w:t>.</w:t>
      </w:r>
    </w:p>
    <w:p w:rsidR="00E11F97" w:rsidRPr="00E11F97" w:rsidRDefault="00E11F97" w:rsidP="00E11F97">
      <w:pPr>
        <w:spacing w:after="0" w:line="240" w:lineRule="auto"/>
        <w:rPr>
          <w:i/>
          <w:sz w:val="2"/>
          <w:szCs w:val="2"/>
        </w:rPr>
      </w:pPr>
    </w:p>
    <w:p w:rsidR="00E11F97" w:rsidRPr="00E11F97" w:rsidRDefault="00E11F97" w:rsidP="00E11F97">
      <w:pPr>
        <w:spacing w:after="0" w:line="240" w:lineRule="auto"/>
        <w:rPr>
          <w:i/>
          <w:sz w:val="2"/>
          <w:szCs w:val="2"/>
        </w:rPr>
        <w:sectPr w:rsidR="00E11F97" w:rsidRPr="00E11F97" w:rsidSect="00613A3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466" w:right="2098" w:bottom="2466" w:left="2098" w:header="1899" w:footer="1899" w:gutter="0"/>
          <w:pgBorders>
            <w:top w:val="nil"/>
            <w:left w:val="nil"/>
            <w:bottom w:val="nil"/>
            <w:right w:val="nil"/>
          </w:pgBorders>
          <w:cols w:space="720"/>
          <w:docGrid w:linePitch="360"/>
        </w:sectPr>
      </w:pPr>
    </w:p>
    <w:p w:rsidR="00183F2F" w:rsidRDefault="00BA7A7F" w:rsidP="00B30CA7">
      <w:pPr>
        <w:pageBreakBefore/>
        <w:spacing w:after="0"/>
        <w:rPr>
          <w:bdr w:val="nil"/>
        </w:rPr>
      </w:pPr>
      <w:bookmarkStart w:id="6" w:name="RG_MARKER_12112"/>
      <w:r>
        <w:rPr>
          <w:noProof/>
        </w:rPr>
        <w:lastRenderedPageBreak/>
        <w:drawing>
          <wp:anchor distT="0" distB="0" distL="114300" distR="114300" simplePos="0" relativeHeight="251665408" behindDoc="0" locked="0" layoutInCell="1" allowOverlap="1">
            <wp:simplePos x="0" y="0"/>
            <wp:positionH relativeFrom="column">
              <wp:posOffset>-1314450</wp:posOffset>
            </wp:positionH>
            <wp:positionV relativeFrom="paragraph">
              <wp:posOffset>-712422</wp:posOffset>
            </wp:positionV>
            <wp:extent cx="7754400" cy="2044800"/>
            <wp:effectExtent l="0" t="0" r="0" b="0"/>
            <wp:wrapNone/>
            <wp:docPr id="1139536147" name="Picture 1"/>
            <wp:cNvGraphicFramePr/>
            <a:graphic xmlns:a="http://schemas.openxmlformats.org/drawingml/2006/main">
              <a:graphicData uri="http://schemas.openxmlformats.org/drawingml/2006/picture">
                <pic:pic xmlns:pic="http://schemas.openxmlformats.org/drawingml/2006/picture">
                  <pic:nvPicPr>
                    <pic:cNvPr id="746798108"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54400" cy="2044800"/>
                    </a:xfrm>
                    <a:prstGeom prst="rect">
                      <a:avLst/>
                    </a:prstGeom>
                  </pic:spPr>
                </pic:pic>
              </a:graphicData>
            </a:graphic>
            <wp14:sizeRelH relativeFrom="page">
              <wp14:pctWidth>0</wp14:pctWidth>
            </wp14:sizeRelH>
            <wp14:sizeRelV relativeFrom="page">
              <wp14:pctHeight>0</wp14:pctHeight>
            </wp14:sizeRelV>
          </wp:anchor>
        </w:drawing>
      </w:r>
      <w:bookmarkEnd w:id="6"/>
    </w:p>
    <w:p w:rsidR="00B30CA7" w:rsidRDefault="00BA7A7F" w:rsidP="0039792F">
      <w:pPr>
        <w:spacing w:before="2160" w:after="0"/>
        <w:rPr>
          <w:bdr w:val="nil"/>
        </w:rPr>
      </w:pPr>
      <w:r>
        <w:rPr>
          <w:bdr w:val="nil"/>
        </w:rPr>
        <w:t>President of the Senate</w:t>
      </w:r>
    </w:p>
    <w:p w:rsidR="00B30CA7" w:rsidRDefault="00BA7A7F" w:rsidP="00B30CA7">
      <w:pPr>
        <w:spacing w:after="0"/>
        <w:rPr>
          <w:bdr w:val="nil"/>
        </w:rPr>
      </w:pPr>
      <w:r>
        <w:rPr>
          <w:bdr w:val="nil"/>
        </w:rPr>
        <w:t>Australian Senate</w:t>
      </w:r>
    </w:p>
    <w:p w:rsidR="00B30CA7" w:rsidRDefault="00BA7A7F" w:rsidP="00B30CA7">
      <w:pPr>
        <w:spacing w:after="0"/>
        <w:rPr>
          <w:bdr w:val="nil"/>
        </w:rPr>
      </w:pPr>
      <w:r>
        <w:rPr>
          <w:bdr w:val="nil"/>
        </w:rPr>
        <w:t>Parliament House</w:t>
      </w:r>
    </w:p>
    <w:p w:rsidR="00B30CA7" w:rsidRDefault="00BA7A7F" w:rsidP="00B30CA7">
      <w:pPr>
        <w:spacing w:after="0"/>
        <w:rPr>
          <w:bdr w:val="nil"/>
        </w:rPr>
      </w:pPr>
      <w:r>
        <w:rPr>
          <w:bdr w:val="nil"/>
        </w:rPr>
        <w:t>CANBERRA ACT 2600</w:t>
      </w:r>
    </w:p>
    <w:p w:rsidR="0007518A" w:rsidRDefault="0007518A" w:rsidP="00DC23F8">
      <w:pPr>
        <w:spacing w:after="200"/>
        <w:rPr>
          <w:rFonts w:ascii="Garamond" w:hAnsi="Garamond"/>
          <w:bdr w:val="nil"/>
        </w:rPr>
      </w:pPr>
    </w:p>
    <w:p w:rsidR="00B30CA7" w:rsidRDefault="00BA7A7F" w:rsidP="00B30CA7">
      <w:pPr>
        <w:spacing w:after="0"/>
        <w:rPr>
          <w:bdr w:val="nil"/>
        </w:rPr>
      </w:pPr>
      <w:r>
        <w:rPr>
          <w:bdr w:val="nil"/>
        </w:rPr>
        <w:t>Speaker</w:t>
      </w:r>
    </w:p>
    <w:p w:rsidR="00B30CA7" w:rsidRDefault="00BA7A7F" w:rsidP="00B30CA7">
      <w:pPr>
        <w:spacing w:after="0"/>
        <w:rPr>
          <w:bdr w:val="nil"/>
        </w:rPr>
      </w:pPr>
      <w:r>
        <w:rPr>
          <w:bdr w:val="nil"/>
        </w:rPr>
        <w:t>House of Representatives</w:t>
      </w:r>
    </w:p>
    <w:p w:rsidR="00B30CA7" w:rsidRDefault="00BA7A7F" w:rsidP="00B30CA7">
      <w:pPr>
        <w:spacing w:after="0"/>
        <w:rPr>
          <w:bdr w:val="nil"/>
        </w:rPr>
      </w:pPr>
      <w:r>
        <w:rPr>
          <w:bdr w:val="nil"/>
        </w:rPr>
        <w:t>Parliament House</w:t>
      </w:r>
    </w:p>
    <w:p w:rsidR="00B30CA7" w:rsidRDefault="00BA7A7F" w:rsidP="00B30CA7">
      <w:pPr>
        <w:spacing w:after="0"/>
        <w:rPr>
          <w:rFonts w:ascii="Garamond" w:hAnsi="Garamond"/>
          <w:bdr w:val="nil"/>
        </w:rPr>
      </w:pPr>
      <w:r>
        <w:rPr>
          <w:bdr w:val="nil"/>
        </w:rPr>
        <w:t>CANBERRA ACT 2600</w:t>
      </w:r>
    </w:p>
    <w:p w:rsidR="00B30CA7" w:rsidRDefault="00B30CA7" w:rsidP="00DC23F8">
      <w:pPr>
        <w:spacing w:after="200"/>
        <w:rPr>
          <w:bdr w:val="nil"/>
        </w:rPr>
      </w:pPr>
    </w:p>
    <w:p w:rsidR="00B30CA7" w:rsidRDefault="00BA7A7F" w:rsidP="00B30CA7">
      <w:pPr>
        <w:spacing w:after="0"/>
        <w:rPr>
          <w:bdr w:val="nil"/>
        </w:rPr>
      </w:pPr>
      <w:r>
        <w:rPr>
          <w:bdr w:val="nil"/>
        </w:rPr>
        <w:t>Dear Mr President</w:t>
      </w:r>
    </w:p>
    <w:p w:rsidR="00B30CA7" w:rsidRDefault="00BA7A7F" w:rsidP="00B30CA7">
      <w:pPr>
        <w:spacing w:after="0"/>
        <w:rPr>
          <w:rFonts w:ascii="Garamond" w:hAnsi="Garamond"/>
          <w:bdr w:val="nil"/>
        </w:rPr>
      </w:pPr>
      <w:r>
        <w:rPr>
          <w:bdr w:val="nil"/>
        </w:rPr>
        <w:t>Dear Mr Speaker</w:t>
      </w:r>
    </w:p>
    <w:p w:rsidR="00B30CA7" w:rsidRDefault="00B30CA7" w:rsidP="00DC23F8">
      <w:pPr>
        <w:spacing w:after="200"/>
        <w:rPr>
          <w:bdr w:val="nil"/>
        </w:rPr>
      </w:pPr>
    </w:p>
    <w:p w:rsidR="00B30CA7" w:rsidRDefault="00BA7A7F" w:rsidP="002C4AF6">
      <w:pPr>
        <w:spacing w:after="200"/>
        <w:rPr>
          <w:bdr w:val="nil"/>
        </w:rPr>
      </w:pPr>
      <w:r>
        <w:rPr>
          <w:bdr w:val="nil"/>
        </w:rPr>
        <w:t>We hereby submit Portfolio Budget Statements in support of the 2022­23 Budget for the Industry,</w:t>
      </w:r>
      <w:r w:rsidR="0016158A">
        <w:rPr>
          <w:bdr w:val="nil"/>
        </w:rPr>
        <w:t xml:space="preserve"> Science, Energy and Resources p</w:t>
      </w:r>
      <w:r>
        <w:rPr>
          <w:bdr w:val="nil"/>
        </w:rPr>
        <w:t>ortfolio.</w:t>
      </w:r>
    </w:p>
    <w:p w:rsidR="00B30CA7" w:rsidRDefault="00BA7A7F" w:rsidP="002C4AF6">
      <w:pPr>
        <w:spacing w:after="200"/>
        <w:rPr>
          <w:bdr w:val="nil"/>
        </w:rPr>
      </w:pPr>
      <w:r>
        <w:rPr>
          <w:bdr w:val="nil"/>
        </w:rPr>
        <w:t>These statements have been developed, and are submitted to the Parliament, as a statement on the outcomes for the portfolio.</w:t>
      </w:r>
    </w:p>
    <w:p w:rsidR="00B30CA7" w:rsidRDefault="00BA7A7F" w:rsidP="002C4AF6">
      <w:pPr>
        <w:spacing w:after="200"/>
        <w:rPr>
          <w:bdr w:val="nil"/>
        </w:rPr>
      </w:pPr>
      <w:r>
        <w:rPr>
          <w:bdr w:val="nil"/>
        </w:rPr>
        <w:t>We present these statements to provide accountability to the Parliament and, through it, the public.</w:t>
      </w:r>
      <w:r w:rsidRPr="009745B5">
        <w:rPr>
          <w:i/>
        </w:rPr>
        <w:t xml:space="preserve"> </w:t>
      </w:r>
    </w:p>
    <w:p w:rsidR="009A3D33" w:rsidRDefault="00BA7A7F" w:rsidP="00737C9B">
      <w:pPr>
        <w:spacing w:after="120"/>
        <w:rPr>
          <w:bdr w:val="nil"/>
        </w:rPr>
      </w:pPr>
      <w:r>
        <w:rPr>
          <w:bdr w:val="nil"/>
        </w:rPr>
        <w:t>Yours 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7"/>
        <w:gridCol w:w="2637"/>
      </w:tblGrid>
      <w:tr w:rsidR="00762C05" w:rsidTr="00762C05">
        <w:trPr>
          <w:gridAfter w:val="1"/>
          <w:wAfter w:w="2637" w:type="dxa"/>
        </w:trPr>
        <w:tc>
          <w:tcPr>
            <w:tcW w:w="2642" w:type="dxa"/>
          </w:tcPr>
          <w:p w:rsidR="00762C05" w:rsidRDefault="00762C05" w:rsidP="0008608E">
            <w:pPr>
              <w:pStyle w:val="Exampletext"/>
              <w:spacing w:after="120"/>
              <w:rPr>
                <w:i w:val="0"/>
                <w:color w:val="auto"/>
              </w:rPr>
            </w:pPr>
          </w:p>
          <w:p w:rsidR="00762C05" w:rsidRDefault="00762C05" w:rsidP="0008608E">
            <w:pPr>
              <w:pStyle w:val="Exampletext"/>
              <w:spacing w:after="120"/>
              <w:rPr>
                <w:i w:val="0"/>
                <w:color w:val="auto"/>
              </w:rPr>
            </w:pPr>
          </w:p>
          <w:p w:rsidR="00762C05" w:rsidRDefault="00762C05" w:rsidP="0008608E">
            <w:pPr>
              <w:pStyle w:val="Exampletext"/>
              <w:spacing w:after="120"/>
              <w:rPr>
                <w:i w:val="0"/>
                <w:color w:val="auto"/>
              </w:rPr>
            </w:pPr>
          </w:p>
        </w:tc>
        <w:tc>
          <w:tcPr>
            <w:tcW w:w="2647" w:type="dxa"/>
          </w:tcPr>
          <w:p w:rsidR="00762C05" w:rsidRDefault="00762C05" w:rsidP="002C4AF6">
            <w:pPr>
              <w:pStyle w:val="Exampletext"/>
              <w:spacing w:after="120"/>
              <w:rPr>
                <w:i w:val="0"/>
                <w:color w:val="auto"/>
              </w:rPr>
            </w:pPr>
          </w:p>
        </w:tc>
      </w:tr>
      <w:tr w:rsidR="00253274" w:rsidTr="00762C05">
        <w:tc>
          <w:tcPr>
            <w:tcW w:w="2642" w:type="dxa"/>
          </w:tcPr>
          <w:p w:rsidR="00952836" w:rsidRDefault="00BA7A7F" w:rsidP="0008608E">
            <w:pPr>
              <w:pStyle w:val="Exampletext"/>
              <w:spacing w:after="120"/>
              <w:rPr>
                <w:i w:val="0"/>
                <w:color w:val="auto"/>
              </w:rPr>
            </w:pPr>
            <w:r>
              <w:rPr>
                <w:i w:val="0"/>
                <w:color w:val="auto"/>
              </w:rPr>
              <w:t>The Hon Angus Taylor MP</w:t>
            </w:r>
          </w:p>
        </w:tc>
        <w:tc>
          <w:tcPr>
            <w:tcW w:w="2647" w:type="dxa"/>
          </w:tcPr>
          <w:p w:rsidR="00952836" w:rsidRDefault="00BA7A7F" w:rsidP="002C4AF6">
            <w:pPr>
              <w:pStyle w:val="Exampletext"/>
              <w:spacing w:after="120"/>
              <w:rPr>
                <w:i w:val="0"/>
                <w:color w:val="auto"/>
              </w:rPr>
            </w:pPr>
            <w:r>
              <w:rPr>
                <w:i w:val="0"/>
                <w:color w:val="auto"/>
              </w:rPr>
              <w:t>The Hon Melissa Price MP</w:t>
            </w:r>
          </w:p>
        </w:tc>
        <w:tc>
          <w:tcPr>
            <w:tcW w:w="2637" w:type="dxa"/>
          </w:tcPr>
          <w:p w:rsidR="00952836" w:rsidRDefault="00BA7A7F" w:rsidP="002C4AF6">
            <w:pPr>
              <w:pStyle w:val="Exampletext"/>
              <w:spacing w:after="120"/>
              <w:rPr>
                <w:i w:val="0"/>
                <w:color w:val="auto"/>
              </w:rPr>
            </w:pPr>
            <w:r>
              <w:rPr>
                <w:i w:val="0"/>
                <w:color w:val="auto"/>
              </w:rPr>
              <w:t>The Hon Keith Pitt MP</w:t>
            </w:r>
          </w:p>
        </w:tc>
      </w:tr>
    </w:tbl>
    <w:p w:rsidR="00737C9B" w:rsidRDefault="00BA7A7F" w:rsidP="00DC23F8">
      <w:pPr>
        <w:pStyle w:val="Exampletext"/>
        <w:tabs>
          <w:tab w:val="left" w:pos="720"/>
          <w:tab w:val="left" w:pos="1440"/>
          <w:tab w:val="left" w:pos="4586"/>
        </w:tabs>
        <w:spacing w:after="200"/>
        <w:jc w:val="left"/>
        <w:rPr>
          <w:i w:val="0"/>
          <w:color w:val="auto"/>
        </w:rPr>
        <w:sectPr w:rsidR="00737C9B" w:rsidSect="003C258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rPr>
          <w:i w:val="0"/>
          <w:color w:val="auto"/>
        </w:rPr>
        <w:tab/>
      </w:r>
      <w:r>
        <w:rPr>
          <w:i w:val="0"/>
          <w:color w:val="auto"/>
        </w:rPr>
        <w:tab/>
      </w:r>
      <w:r>
        <w:rPr>
          <w:i w:val="0"/>
          <w:color w:val="auto"/>
        </w:rPr>
        <w:tab/>
      </w:r>
    </w:p>
    <w:p w:rsidR="005D5A8C" w:rsidRPr="0017788E" w:rsidRDefault="00BA7A7F" w:rsidP="0017788E">
      <w:pPr>
        <w:pStyle w:val="Heading4"/>
        <w:pageBreakBefore/>
        <w:rPr>
          <w:szCs w:val="22"/>
        </w:rPr>
      </w:pPr>
      <w:bookmarkStart w:id="7" w:name="RG_MARKER_12276"/>
      <w:r w:rsidRPr="0017788E">
        <w:rPr>
          <w:szCs w:val="22"/>
        </w:rPr>
        <w:lastRenderedPageBreak/>
        <w:t xml:space="preserve">Abbreviations </w:t>
      </w:r>
      <w:bookmarkEnd w:id="7"/>
      <w:r>
        <w:rPr>
          <w:szCs w:val="22"/>
        </w:rPr>
        <w:t>and c</w:t>
      </w:r>
      <w:r w:rsidRPr="0017788E">
        <w:rPr>
          <w:szCs w:val="22"/>
        </w:rPr>
        <w:t>onventions</w:t>
      </w:r>
    </w:p>
    <w:p w:rsidR="005D5A8C" w:rsidRPr="005D5A8C" w:rsidRDefault="00BA7A7F" w:rsidP="00745F1B">
      <w:r w:rsidRPr="005D5A8C">
        <w:t>The following notations may be used:</w:t>
      </w:r>
    </w:p>
    <w:p w:rsidR="005D5A8C" w:rsidRPr="005D5A8C" w:rsidRDefault="00BA7A7F" w:rsidP="0003111B">
      <w:pPr>
        <w:tabs>
          <w:tab w:val="left" w:pos="567"/>
          <w:tab w:val="left" w:pos="1701"/>
        </w:tabs>
        <w:spacing w:after="0"/>
        <w:ind w:left="567"/>
      </w:pPr>
      <w:r w:rsidRPr="005D5A8C">
        <w:t>NEC/nec</w:t>
      </w:r>
      <w:r w:rsidRPr="005D5A8C">
        <w:tab/>
        <w:t>not elsewhere classified</w:t>
      </w:r>
    </w:p>
    <w:p w:rsidR="005D5A8C" w:rsidRPr="005D5A8C" w:rsidRDefault="00BA7A7F" w:rsidP="0003111B">
      <w:pPr>
        <w:tabs>
          <w:tab w:val="left" w:pos="567"/>
          <w:tab w:val="left" w:pos="1701"/>
        </w:tabs>
        <w:spacing w:after="0"/>
        <w:ind w:left="567"/>
      </w:pPr>
      <w:r w:rsidRPr="005D5A8C">
        <w:t>–</w:t>
      </w:r>
      <w:r w:rsidRPr="005D5A8C">
        <w:tab/>
        <w:t>nil</w:t>
      </w:r>
    </w:p>
    <w:p w:rsidR="005D5A8C" w:rsidRPr="005D5A8C" w:rsidRDefault="00BA7A7F" w:rsidP="0003111B">
      <w:pPr>
        <w:tabs>
          <w:tab w:val="left" w:pos="567"/>
          <w:tab w:val="left" w:pos="1701"/>
        </w:tabs>
        <w:spacing w:after="0"/>
        <w:ind w:left="567"/>
      </w:pPr>
      <w:r w:rsidRPr="005D5A8C">
        <w:t>..</w:t>
      </w:r>
      <w:r w:rsidRPr="005D5A8C">
        <w:tab/>
        <w:t>not zero, but rounded to zero</w:t>
      </w:r>
    </w:p>
    <w:p w:rsidR="005D5A8C" w:rsidRPr="005D5A8C" w:rsidRDefault="00BA7A7F" w:rsidP="0003111B">
      <w:pPr>
        <w:tabs>
          <w:tab w:val="left" w:pos="567"/>
          <w:tab w:val="left" w:pos="1701"/>
        </w:tabs>
        <w:spacing w:after="0"/>
        <w:ind w:left="567"/>
      </w:pPr>
      <w:r w:rsidRPr="005D5A8C">
        <w:t>na</w:t>
      </w:r>
      <w:r w:rsidRPr="005D5A8C">
        <w:tab/>
        <w:t>not applicable (unless otherwise specified)</w:t>
      </w:r>
    </w:p>
    <w:p w:rsidR="005D5A8C" w:rsidRPr="005D5A8C" w:rsidRDefault="00BA7A7F" w:rsidP="0003111B">
      <w:pPr>
        <w:tabs>
          <w:tab w:val="left" w:pos="567"/>
          <w:tab w:val="left" w:pos="1701"/>
        </w:tabs>
        <w:spacing w:after="0"/>
        <w:ind w:left="567"/>
      </w:pPr>
      <w:r w:rsidRPr="005D5A8C">
        <w:t>nfp</w:t>
      </w:r>
      <w:r w:rsidRPr="005D5A8C">
        <w:tab/>
        <w:t>not for publication</w:t>
      </w:r>
    </w:p>
    <w:p w:rsidR="005D5A8C" w:rsidRPr="005D5A8C" w:rsidRDefault="00BA7A7F" w:rsidP="0003111B">
      <w:pPr>
        <w:tabs>
          <w:tab w:val="left" w:pos="567"/>
          <w:tab w:val="left" w:pos="1701"/>
        </w:tabs>
        <w:spacing w:after="0"/>
        <w:ind w:left="567"/>
      </w:pPr>
      <w:r w:rsidRPr="005D5A8C">
        <w:t>$m</w:t>
      </w:r>
      <w:r w:rsidRPr="005D5A8C">
        <w:tab/>
        <w:t>$ million</w:t>
      </w:r>
    </w:p>
    <w:p w:rsidR="005D5A8C" w:rsidRPr="005D5A8C" w:rsidRDefault="00BA7A7F" w:rsidP="0003111B">
      <w:pPr>
        <w:tabs>
          <w:tab w:val="left" w:pos="567"/>
          <w:tab w:val="left" w:pos="1701"/>
        </w:tabs>
        <w:ind w:left="567"/>
      </w:pPr>
      <w:r w:rsidRPr="005D5A8C">
        <w:t>$b</w:t>
      </w:r>
      <w:r w:rsidRPr="005D5A8C">
        <w:tab/>
        <w:t>$ billion</w:t>
      </w:r>
    </w:p>
    <w:p w:rsidR="005D5A8C" w:rsidRPr="005D5A8C" w:rsidRDefault="00BA7A7F" w:rsidP="00FB65F5">
      <w:r w:rsidRPr="005D5A8C">
        <w:t>Figures in tables and in the text may be rounded. Figures in text are generally rounded to</w:t>
      </w:r>
      <w:r>
        <w:t> </w:t>
      </w:r>
      <w:r w:rsidRPr="005D5A8C">
        <w:t>one decimal place, whereas figures in tables are generally rounded to the nearest thousand. Discrepancies in tables between totals and sums of components are due to</w:t>
      </w:r>
      <w:r>
        <w:t> </w:t>
      </w:r>
      <w:r w:rsidRPr="005D5A8C">
        <w:t>rounding.</w:t>
      </w:r>
    </w:p>
    <w:p w:rsidR="005D5A8C" w:rsidRPr="0017788E" w:rsidRDefault="00BA7A7F" w:rsidP="0017788E">
      <w:pPr>
        <w:pStyle w:val="Heading4"/>
        <w:rPr>
          <w:szCs w:val="22"/>
        </w:rPr>
      </w:pPr>
      <w:bookmarkStart w:id="8" w:name="_Toc210646442"/>
      <w:bookmarkStart w:id="9" w:name="_Toc210698421"/>
      <w:bookmarkStart w:id="10" w:name="_Toc210700992"/>
      <w:bookmarkStart w:id="11" w:name="_Toc210703165"/>
      <w:bookmarkStart w:id="12" w:name="_Toc210703206"/>
      <w:r w:rsidRPr="0017788E">
        <w:rPr>
          <w:szCs w:val="22"/>
        </w:rPr>
        <w:t>Enquiries</w:t>
      </w:r>
      <w:bookmarkEnd w:id="8"/>
      <w:bookmarkEnd w:id="9"/>
      <w:bookmarkEnd w:id="10"/>
      <w:bookmarkEnd w:id="11"/>
      <w:bookmarkEnd w:id="12"/>
    </w:p>
    <w:p w:rsidR="005D5A8C" w:rsidRPr="004C73CC" w:rsidRDefault="00BA7A7F" w:rsidP="00FB65F5">
      <w:r>
        <w:t xml:space="preserve">Should </w:t>
      </w:r>
      <w:r w:rsidRPr="004C73CC">
        <w:t>you have any enquiries regarding this</w:t>
      </w:r>
      <w:r>
        <w:t xml:space="preserve"> publication, please contact</w:t>
      </w:r>
      <w:r>
        <w:br/>
        <w:t xml:space="preserve">the </w:t>
      </w:r>
      <w:r w:rsidRPr="00C4073B">
        <w:t>Chief Finance Officer</w:t>
      </w:r>
      <w:r>
        <w:t>,</w:t>
      </w:r>
      <w:r w:rsidRPr="004C73CC">
        <w:t xml:space="preserve"> Department of Industry, Science, Energy and Resources</w:t>
      </w:r>
      <w:r>
        <w:t xml:space="preserve"> </w:t>
      </w:r>
      <w:r w:rsidRPr="004C73CC">
        <w:t>on</w:t>
      </w:r>
      <w:r>
        <w:t xml:space="preserve"> </w:t>
      </w:r>
      <w:r w:rsidRPr="004C73CC">
        <w:t>(02) 6213 6000.</w:t>
      </w:r>
    </w:p>
    <w:p w:rsidR="00911807" w:rsidRPr="00911807" w:rsidRDefault="00BA7A7F" w:rsidP="00911807">
      <w:r w:rsidRPr="00911807">
        <w:t>Links to Portfolio Budget Statements (including Portfolio Additional Estimates Statements and Portfolio Supplementary Additional Estimates Statements) can be located on the Australian Government Budget website at </w:t>
      </w:r>
      <w:hyperlink r:id="rId24" w:history="1">
        <w:r w:rsidRPr="00911807">
          <w:t>www.budget.gov.au</w:t>
        </w:r>
      </w:hyperlink>
      <w:r w:rsidRPr="00911807">
        <w:t>.</w:t>
      </w:r>
    </w:p>
    <w:p w:rsidR="005527C1" w:rsidRDefault="005527C1" w:rsidP="00CD1E16">
      <w:pPr>
        <w:keepLines w:val="0"/>
        <w:spacing w:after="200" w:line="276" w:lineRule="auto"/>
        <w:jc w:val="left"/>
        <w:rPr>
          <w:color w:val="FFFFFF"/>
        </w:rPr>
      </w:pPr>
    </w:p>
    <w:p w:rsidR="005527C1" w:rsidRDefault="005527C1" w:rsidP="00CD1E16">
      <w:pPr>
        <w:keepLines w:val="0"/>
        <w:spacing w:after="200" w:line="276" w:lineRule="auto"/>
        <w:jc w:val="left"/>
        <w:rPr>
          <w:color w:val="FFFFFF"/>
        </w:rPr>
        <w:sectPr w:rsidR="005527C1" w:rsidSect="00F0057D">
          <w:headerReference w:type="even" r:id="rId25"/>
          <w:headerReference w:type="default" r:id="rId26"/>
          <w:footerReference w:type="even" r:id="rId27"/>
          <w:footerReference w:type="default" r:id="rId28"/>
          <w:headerReference w:type="first" r:id="rId29"/>
          <w:footerReference w:type="first" r:id="rId3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6D2B0D" w:rsidRPr="00ED24B1" w:rsidRDefault="00BA7A7F" w:rsidP="00CD1E16">
      <w:pPr>
        <w:keepLines w:val="0"/>
        <w:spacing w:after="200" w:line="276" w:lineRule="auto"/>
        <w:jc w:val="left"/>
        <w:rPr>
          <w:color w:val="FFFFFF"/>
        </w:rPr>
        <w:sectPr w:rsidR="006D2B0D" w:rsidRPr="00ED24B1" w:rsidSect="005527C1">
          <w:headerReference w:type="even" r:id="rId31"/>
          <w:headerReference w:type="default" r:id="rId32"/>
          <w:footerReference w:type="even" r:id="rId33"/>
          <w:footerReference w:type="default" r:id="rId34"/>
          <w:headerReference w:type="first" r:id="rId35"/>
          <w:footerReference w:type="first" r:id="rId36"/>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t xml:space="preserve"> </w:t>
      </w:r>
    </w:p>
    <w:p w:rsidR="00D96749" w:rsidRPr="007511C0" w:rsidRDefault="00BA7A7F" w:rsidP="00D96749">
      <w:pPr>
        <w:pStyle w:val="PartHeading"/>
        <w:pageBreakBefore/>
        <w:rPr>
          <w:bCs w:val="0"/>
          <w:color w:val="FFFFFF"/>
        </w:rPr>
      </w:pPr>
      <w:bookmarkStart w:id="13" w:name="RG_MARKER_11680"/>
      <w:bookmarkStart w:id="14" w:name="RG_MARKER_12601"/>
      <w:bookmarkStart w:id="15" w:name="_Toc444523502"/>
      <w:r w:rsidRPr="007511C0">
        <w:rPr>
          <w:bCs w:val="0"/>
          <w:color w:val="FFFFFF"/>
        </w:rPr>
        <w:lastRenderedPageBreak/>
        <w:t>User Guide</w:t>
      </w:r>
      <w:bookmarkEnd w:id="13"/>
      <w:bookmarkEnd w:id="14"/>
    </w:p>
    <w:p w:rsidR="00D96749" w:rsidRDefault="00D96749" w:rsidP="00D96749">
      <w:pPr>
        <w:pStyle w:val="PartHeading"/>
        <w:rPr>
          <w:bCs w:val="0"/>
        </w:rPr>
      </w:pPr>
    </w:p>
    <w:p w:rsidR="00D96749" w:rsidRDefault="00D96749" w:rsidP="00D96749">
      <w:pPr>
        <w:pStyle w:val="PartHeading"/>
        <w:rPr>
          <w:bCs w:val="0"/>
        </w:rPr>
      </w:pPr>
    </w:p>
    <w:p w:rsidR="00D96749" w:rsidRDefault="00BA7A7F" w:rsidP="00D96749">
      <w:pPr>
        <w:pStyle w:val="PartHeading"/>
      </w:pPr>
      <w:r>
        <w:rPr>
          <w:bCs w:val="0"/>
        </w:rPr>
        <w:t>User Guide</w:t>
      </w:r>
      <w:bookmarkEnd w:id="15"/>
      <w:r>
        <w:br/>
      </w:r>
      <w:bookmarkStart w:id="16" w:name="_Toc444523503"/>
      <w:r>
        <w:t>To The</w:t>
      </w:r>
      <w:bookmarkEnd w:id="16"/>
      <w:r>
        <w:br/>
      </w:r>
      <w:bookmarkStart w:id="17" w:name="_Toc444523504"/>
      <w:r>
        <w:t>Portfolio Budget Statements</w:t>
      </w:r>
      <w:bookmarkEnd w:id="17"/>
    </w:p>
    <w:p w:rsidR="004D6EF7" w:rsidRDefault="004D6EF7" w:rsidP="007549E1">
      <w:pPr>
        <w:keepLines w:val="0"/>
        <w:spacing w:before="240" w:line="240" w:lineRule="auto"/>
        <w:jc w:val="left"/>
        <w:rPr>
          <w:rFonts w:ascii="Calibri" w:eastAsia="Calibri" w:hAnsi="Calibri"/>
          <w:vanish/>
          <w:sz w:val="22"/>
          <w:szCs w:val="22"/>
          <w:lang w:eastAsia="en-US"/>
        </w:rPr>
      </w:pPr>
    </w:p>
    <w:p w:rsidR="00D86095" w:rsidRDefault="00D86095">
      <w:pPr>
        <w:pageBreakBefore/>
        <w:sectPr w:rsidR="00D86095" w:rsidSect="007549E1">
          <w:headerReference w:type="even" r:id="rId37"/>
          <w:headerReference w:type="default" r:id="rId38"/>
          <w:footerReference w:type="even" r:id="rId39"/>
          <w:footerReference w:type="default" r:id="rId40"/>
          <w:headerReference w:type="first" r:id="rId41"/>
          <w:footerReference w:type="first" r:id="rId42"/>
          <w:type w:val="continuous"/>
          <w:pgSz w:w="11906" w:h="16838"/>
          <w:pgMar w:top="2466" w:right="2098" w:bottom="2466" w:left="2098" w:header="1899" w:footer="1899" w:gutter="0"/>
          <w:pgBorders>
            <w:top w:val="nil"/>
            <w:left w:val="nil"/>
            <w:bottom w:val="nil"/>
            <w:right w:val="nil"/>
          </w:pgBorders>
          <w:cols w:space="720"/>
          <w:docGrid w:linePitch="360"/>
        </w:sectPr>
      </w:pPr>
      <w:bookmarkStart w:id="18" w:name="RG_MARKER_11773"/>
      <w:bookmarkEnd w:id="18"/>
    </w:p>
    <w:p w:rsidR="00962E7C" w:rsidRPr="00AE6A35" w:rsidRDefault="00BA7A7F" w:rsidP="00962E7C">
      <w:pPr>
        <w:pStyle w:val="Heading1"/>
        <w:pageBreakBefore/>
        <w:rPr>
          <w:smallCaps w:val="0"/>
          <w:lang w:val="en-US"/>
        </w:rPr>
      </w:pPr>
      <w:bookmarkStart w:id="19" w:name="RG_MARKER_12158"/>
      <w:bookmarkStart w:id="20" w:name="_Toc508032980"/>
      <w:bookmarkStart w:id="21" w:name="_Toc112225828"/>
      <w:bookmarkStart w:id="22" w:name="_Toc112224367"/>
      <w:bookmarkStart w:id="23" w:name="_Toc112137860"/>
      <w:bookmarkStart w:id="24" w:name="_Toc112212042"/>
      <w:bookmarkStart w:id="25" w:name="_Toc112211948"/>
      <w:r w:rsidRPr="00AE6A35">
        <w:rPr>
          <w:rFonts w:cs="Arial"/>
          <w:smallCaps w:val="0"/>
          <w:lang w:val="en-US"/>
        </w:rPr>
        <w:lastRenderedPageBreak/>
        <w:t>User guide</w:t>
      </w:r>
      <w:bookmarkEnd w:id="19"/>
      <w:bookmarkEnd w:id="20"/>
      <w:bookmarkEnd w:id="21"/>
      <w:bookmarkEnd w:id="22"/>
      <w:bookmarkEnd w:id="23"/>
      <w:bookmarkEnd w:id="24"/>
      <w:bookmarkEnd w:id="25"/>
    </w:p>
    <w:p w:rsidR="00962E7C" w:rsidRDefault="00BA7A7F" w:rsidP="00962E7C">
      <w:r>
        <w:t xml:space="preserve">The purpose of the </w:t>
      </w:r>
      <w:r>
        <w:rPr>
          <w:i/>
        </w:rPr>
        <w:t xml:space="preserve">2022­23 Portfolio Budget Statements </w:t>
      </w:r>
      <w:r>
        <w:t>(PB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rsidR="00962E7C" w:rsidRDefault="00BA7A7F" w:rsidP="00962E7C">
      <w:r>
        <w:t>A key role of the PB Statements is to facilitate the understanding of proposed annual appropriations in Appropriation Bills (No. 1 and No. 2) 2022­23 (or Appropriation (Parliamentary Departments) Bill</w:t>
      </w:r>
      <w:r>
        <w:rPr>
          <w:i/>
        </w:rPr>
        <w:t xml:space="preserve"> (</w:t>
      </w:r>
      <w:r>
        <w:t xml:space="preserve">No. 1) 2022­23 for the parliamentary departments). In this sense, the PB Statements are Budget related papers and are declared by the Appropriation Acts to be ‘relevant documents’ to the interpretation of the Acts according to section 15AB of the </w:t>
      </w:r>
      <w:r>
        <w:rPr>
          <w:i/>
        </w:rPr>
        <w:t>Acts Interpretation Act 1901</w:t>
      </w:r>
      <w:r>
        <w:t>.</w:t>
      </w:r>
    </w:p>
    <w:p w:rsidR="00962E7C" w:rsidRDefault="00BA7A7F" w:rsidP="00962E7C">
      <w:r>
        <w:t>The PB Statements provide information, explanation and justification to enable Parliament to understand the purpose of each outcome proposed in the Bills.</w:t>
      </w:r>
    </w:p>
    <w:p w:rsidR="002A6715" w:rsidRDefault="00BA7A7F" w:rsidP="00356F6C">
      <w:r>
        <w:t xml:space="preserve">As required under section 12 of the </w:t>
      </w:r>
      <w:r>
        <w:rPr>
          <w:i/>
        </w:rPr>
        <w:t>Charter of Budget Honesty Act 1998</w:t>
      </w:r>
      <w:r>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rsidR="00297728" w:rsidRPr="00631897" w:rsidRDefault="00BA7A7F" w:rsidP="00AE6A35">
      <w:pPr>
        <w:pStyle w:val="Heading2NoTOC"/>
        <w:spacing w:before="360" w:after="120"/>
        <w:rPr>
          <w:rFonts w:cs="Arial"/>
          <w:b/>
          <w:sz w:val="26"/>
          <w:szCs w:val="26"/>
        </w:rPr>
      </w:pPr>
      <w:r w:rsidRPr="00631897">
        <w:rPr>
          <w:rFonts w:cs="Arial"/>
          <w:b/>
          <w:sz w:val="26"/>
          <w:szCs w:val="26"/>
        </w:rPr>
        <w:t>The Commonwealth Performance Framework</w:t>
      </w:r>
    </w:p>
    <w:p w:rsidR="005A1A65" w:rsidRDefault="00BA7A7F" w:rsidP="00356F6C">
      <w:r>
        <w:t>The following diagram outlines the key components of the enhanced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rsidR="00091657" w:rsidRDefault="00091657" w:rsidP="00356F6C">
      <w:pPr>
        <w:rPr>
          <w:vanish/>
        </w:rPr>
      </w:pPr>
    </w:p>
    <w:p w:rsidR="004D6EF7" w:rsidRDefault="00BA7A7F" w:rsidP="007549E1">
      <w:pPr>
        <w:keepLines w:val="0"/>
        <w:pageBreakBefore/>
        <w:spacing w:before="240" w:line="240" w:lineRule="auto"/>
        <w:sectPr w:rsidR="004D6EF7" w:rsidSect="00573CF4">
          <w:headerReference w:type="even" r:id="rId43"/>
          <w:headerReference w:type="default" r:id="rId44"/>
          <w:footerReference w:type="even" r:id="rId45"/>
          <w:footerReference w:type="default" r:id="rId46"/>
          <w:headerReference w:type="first" r:id="rId47"/>
          <w:footerReference w:type="first" r:id="rId4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bookmarkStart w:id="26" w:name="RG_MARKER_12370"/>
      <w:r>
        <w:rPr>
          <w:rFonts w:ascii="Times New Roman" w:hAnsi="Times New Roman"/>
          <w:noProof/>
          <w:sz w:val="24"/>
          <w:szCs w:val="24"/>
        </w:rPr>
        <w:lastRenderedPageBreak/>
        <mc:AlternateContent>
          <mc:Choice Requires="wpg">
            <w:drawing>
              <wp:anchor distT="0" distB="0" distL="114300" distR="114300" simplePos="0" relativeHeight="251662336" behindDoc="0" locked="0" layoutInCell="1" allowOverlap="1">
                <wp:simplePos x="0" y="0"/>
                <wp:positionH relativeFrom="margin">
                  <wp:align>left</wp:align>
                </wp:positionH>
                <wp:positionV relativeFrom="paragraph">
                  <wp:posOffset>4098</wp:posOffset>
                </wp:positionV>
                <wp:extent cx="4804913" cy="6590581"/>
                <wp:effectExtent l="0" t="0" r="15240" b="20320"/>
                <wp:wrapNone/>
                <wp:docPr id="9" name="Group 9"/>
                <wp:cNvGraphicFramePr/>
                <a:graphic xmlns:a="http://schemas.openxmlformats.org/drawingml/2006/main">
                  <a:graphicData uri="http://schemas.microsoft.com/office/word/2010/wordprocessingGroup">
                    <wpg:wgp>
                      <wpg:cNvGrpSpPr/>
                      <wpg:grpSpPr>
                        <a:xfrm>
                          <a:off x="0" y="0"/>
                          <a:ext cx="4804913" cy="6590581"/>
                          <a:chOff x="0" y="0"/>
                          <a:chExt cx="4882515" cy="6777990"/>
                        </a:xfrm>
                      </wpg:grpSpPr>
                      <wpg:grpSp>
                        <wpg:cNvPr id="1420708203" name="Group 2"/>
                        <wpg:cNvGrpSpPr/>
                        <wpg:grpSpPr>
                          <a:xfrm>
                            <a:off x="0" y="0"/>
                            <a:ext cx="4882515" cy="6777990"/>
                            <a:chOff x="0" y="0"/>
                            <a:chExt cx="48825" cy="57214"/>
                          </a:xfrm>
                        </wpg:grpSpPr>
                        <wps:wsp>
                          <wps:cNvPr id="4" name="Rectangle 4"/>
                          <wps:cNvSpPr>
                            <a:spLocks noChangeArrowheads="1"/>
                          </wps:cNvSpPr>
                          <wps:spPr bwMode="auto">
                            <a:xfrm>
                              <a:off x="0" y="0"/>
                              <a:ext cx="48825" cy="57214"/>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wps:wsp>
                        <wps:wsp>
                          <wps:cNvPr id="565231457" name="Rectangle 5"/>
                          <wps:cNvSpPr>
                            <a:spLocks noChangeArrowheads="1"/>
                          </wps:cNvSpPr>
                          <wps:spPr bwMode="auto">
                            <a:xfrm>
                              <a:off x="3511" y="1353"/>
                              <a:ext cx="41422" cy="4680"/>
                            </a:xfrm>
                            <a:prstGeom prst="rect">
                              <a:avLst/>
                            </a:prstGeom>
                            <a:solidFill>
                              <a:srgbClr val="0C0C0C"/>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A4285" w:rsidRDefault="00BA7A7F" w:rsidP="003A4285">
                                <w:pPr>
                                  <w:keepLines w:val="0"/>
                                  <w:widowControl w:val="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rsidR="003A4285" w:rsidRDefault="00BA7A7F" w:rsidP="003A4285">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p w:rsidR="003A4285" w:rsidRDefault="00BA7A7F" w:rsidP="003A4285">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wps:wsp>
                        <wps:wsp>
                          <wps:cNvPr id="6" name="Rectangle 6"/>
                          <wps:cNvSpPr>
                            <a:spLocks noChangeArrowheads="1"/>
                          </wps:cNvSpPr>
                          <wps:spPr bwMode="auto">
                            <a:xfrm>
                              <a:off x="1768" y="7429"/>
                              <a:ext cx="19739"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A4285" w:rsidRDefault="00BA7A7F" w:rsidP="003A4285">
                                <w:pPr>
                                  <w:keepLines w:val="0"/>
                                  <w:widowControl w:val="0"/>
                                  <w:jc w:val="center"/>
                                  <w:rPr>
                                    <w:rFonts w:ascii="Arial" w:hAnsi="Arial" w:cs="Arial"/>
                                    <w:color w:val="FFFFFF"/>
                                    <w:sz w:val="18"/>
                                    <w:szCs w:val="18"/>
                                  </w:rPr>
                                </w:pPr>
                                <w:r>
                                  <w:rPr>
                                    <w:rFonts w:ascii="Arial" w:hAnsi="Arial" w:cs="Arial"/>
                                    <w:color w:val="FFFFFF"/>
                                    <w:sz w:val="18"/>
                                    <w:szCs w:val="18"/>
                                  </w:rPr>
                                  <w:t xml:space="preserve">Portfolio Budget Statements (March) </w:t>
                                </w:r>
                                <w:r>
                                  <w:rPr>
                                    <w:rFonts w:ascii="Arial" w:hAnsi="Arial" w:cs="Arial"/>
                                    <w:color w:val="FFFFFF"/>
                                    <w:sz w:val="18"/>
                                    <w:szCs w:val="18"/>
                                  </w:rPr>
                                  <w:br/>
                                </w:r>
                                <w:r>
                                  <w:rPr>
                                    <w:i/>
                                    <w:iCs/>
                                    <w:color w:val="FFFFFF"/>
                                  </w:rPr>
                                  <w:t>Portfolio based</w:t>
                                </w:r>
                              </w:p>
                              <w:p w:rsidR="003A4285" w:rsidRDefault="00BA7A7F" w:rsidP="003A4285">
                                <w:pPr>
                                  <w:keepLines w:val="0"/>
                                  <w:widowControl w:val="0"/>
                                  <w:jc w:val="center"/>
                                  <w:rPr>
                                    <w:color w:val="FFFFFF"/>
                                  </w:rPr>
                                </w:pPr>
                                <w:r>
                                  <w:rPr>
                                    <w:color w:val="FFFFFF"/>
                                  </w:rPr>
                                  <w:t> </w:t>
                                </w:r>
                              </w:p>
                            </w:txbxContent>
                          </wps:txbx>
                          <wps:bodyPr rot="0" vert="horz" wrap="square" lIns="36576" tIns="36576" rIns="36576" bIns="36576" anchor="t" anchorCtr="0" upright="1"/>
                        </wps:wsp>
                        <wps:wsp>
                          <wps:cNvPr id="7" name="Rectangle 7"/>
                          <wps:cNvSpPr>
                            <a:spLocks noChangeArrowheads="1"/>
                          </wps:cNvSpPr>
                          <wps:spPr bwMode="auto">
                            <a:xfrm>
                              <a:off x="26963" y="7429"/>
                              <a:ext cx="19802"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A4285" w:rsidRDefault="00BA7A7F" w:rsidP="003A4285">
                                <w:pPr>
                                  <w:keepLines w:val="0"/>
                                  <w:widowControl w:val="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rsidR="003A4285" w:rsidRDefault="00BA7A7F" w:rsidP="003A4285">
                                <w:pPr>
                                  <w:keepLines w:val="0"/>
                                  <w:widowControl w:val="0"/>
                                  <w:jc w:val="center"/>
                                  <w:rPr>
                                    <w:color w:val="FFFFFF"/>
                                  </w:rPr>
                                </w:pPr>
                                <w:r>
                                  <w:rPr>
                                    <w:color w:val="FFFFFF"/>
                                  </w:rPr>
                                  <w:t> </w:t>
                                </w:r>
                              </w:p>
                            </w:txbxContent>
                          </wps:txbx>
                          <wps:bodyPr rot="0" vert="horz" wrap="square" lIns="36576" tIns="36576" rIns="36576" bIns="36576" anchor="t" anchorCtr="0" upright="1"/>
                        </wps:wsp>
                        <wps:wsp>
                          <wps:cNvPr id="8" name="Rectangle 8"/>
                          <wps:cNvSpPr>
                            <a:spLocks noChangeArrowheads="1"/>
                          </wps:cNvSpPr>
                          <wps:spPr bwMode="auto">
                            <a:xfrm>
                              <a:off x="1768" y="13019"/>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w:t>
                                </w:r>
                              </w:p>
                            </w:txbxContent>
                          </wps:txbx>
                          <wps:bodyPr rot="0" vert="horz" wrap="square" lIns="36576" tIns="36576" rIns="36576" bIns="36576" anchor="t" anchorCtr="0" upright="1"/>
                        </wps:wsp>
                        <wps:wsp>
                          <wps:cNvPr id="10" name="Rectangle 10"/>
                          <wps:cNvSpPr>
                            <a:spLocks noChangeArrowheads="1"/>
                          </wps:cNvSpPr>
                          <wps:spPr bwMode="auto">
                            <a:xfrm>
                              <a:off x="26965" y="13019"/>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wps:txbx>
                          <wps:bodyPr rot="0" vert="horz" wrap="square" lIns="36576" tIns="36576" rIns="36576" bIns="36576" anchor="t" anchorCtr="0" upright="1"/>
                        </wps:wsp>
                        <wps:wsp>
                          <wps:cNvPr id="11" name="AutoShape 9"/>
                          <wps:cNvCnPr>
                            <a:cxnSpLocks noChangeShapeType="1"/>
                          </wps:cNvCnPr>
                          <wps:spPr bwMode="auto">
                            <a:xfrm>
                              <a:off x="21507" y="22136"/>
                              <a:ext cx="5425" cy="0"/>
                            </a:xfrm>
                            <a:prstGeom prst="straightConnector1">
                              <a:avLst/>
                            </a:prstGeom>
                            <a:noFill/>
                            <a:ln w="15875">
                              <a:solidFill>
                                <a:schemeClr val="dk1">
                                  <a:lumMod val="0"/>
                                  <a:lumOff val="0"/>
                                </a:schemeClr>
                              </a:solidFill>
                              <a:round/>
                              <a:headEnd type="triangle"/>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2" name="Rectangle 12"/>
                          <wps:cNvSpPr>
                            <a:spLocks noChangeArrowheads="1"/>
                          </wps:cNvSpPr>
                          <wps:spPr bwMode="auto">
                            <a:xfrm>
                              <a:off x="6268" y="39967"/>
                              <a:ext cx="360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A4285" w:rsidRDefault="00BA7A7F" w:rsidP="003A4285">
                                <w:pPr>
                                  <w:keepLines w:val="0"/>
                                  <w:widowControl w:val="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rsidR="003A4285" w:rsidRDefault="00BA7A7F" w:rsidP="003A4285">
                                <w:pPr>
                                  <w:keepLines w:val="0"/>
                                  <w:widowControl w:val="0"/>
                                  <w:jc w:val="center"/>
                                  <w:rPr>
                                    <w:color w:val="FFFFFF"/>
                                  </w:rPr>
                                </w:pPr>
                                <w:r>
                                  <w:rPr>
                                    <w:color w:val="FFFFFF"/>
                                  </w:rPr>
                                  <w:t> </w:t>
                                </w:r>
                              </w:p>
                            </w:txbxContent>
                          </wps:txbx>
                          <wps:bodyPr rot="0" vert="horz" wrap="square" lIns="36576" tIns="36576" rIns="36576" bIns="36576" anchor="t" anchorCtr="0" upright="1"/>
                        </wps:wsp>
                        <wps:wsp>
                          <wps:cNvPr id="13" name="Rectangle 13"/>
                          <wps:cNvSpPr>
                            <a:spLocks noChangeArrowheads="1"/>
                          </wps:cNvSpPr>
                          <wps:spPr bwMode="auto">
                            <a:xfrm>
                              <a:off x="6268" y="44158"/>
                              <a:ext cx="36000" cy="11603"/>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wps:txbx>
                          <wps:bodyPr rot="0" vert="horz" wrap="square" lIns="36576" tIns="36576" rIns="36576" bIns="36576" anchor="t" anchorCtr="0" upright="1"/>
                        </wps:wsp>
                        <wps:wsp>
                          <wps:cNvPr id="14" name="AutoShape 12"/>
                          <wps:cNvCnPr>
                            <a:cxnSpLocks noChangeShapeType="1"/>
                          </wps:cNvCnPr>
                          <wps:spPr bwMode="auto">
                            <a:xfrm>
                              <a:off x="11370" y="35666"/>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5" name="AutoShape 14"/>
                          <wps:cNvCnPr>
                            <a:cxnSpLocks noChangeShapeType="1"/>
                          </wps:cNvCnPr>
                          <wps:spPr bwMode="auto">
                            <a:xfrm>
                              <a:off x="11308" y="37431"/>
                              <a:ext cx="25558" cy="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6" name="AutoShape 15"/>
                          <wps:cNvCnPr>
                            <a:cxnSpLocks noChangeShapeType="1"/>
                          </wps:cNvCnPr>
                          <wps:spPr bwMode="auto">
                            <a:xfrm>
                              <a:off x="24415" y="37446"/>
                              <a:ext cx="0" cy="2459"/>
                            </a:xfrm>
                            <a:prstGeom prst="straightConnector1">
                              <a:avLst/>
                            </a:prstGeom>
                            <a:noFill/>
                            <a:ln w="15875">
                              <a:solidFill>
                                <a:schemeClr val="dk1">
                                  <a:lumMod val="0"/>
                                  <a:lumOff val="0"/>
                                </a:schemeClr>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s:wsp>
                        <wps:cNvPr id="1413154283" name="AutoShape 12"/>
                        <wps:cNvCnPr>
                          <a:cxnSpLocks noChangeShapeType="1"/>
                        </wps:cNvCnPr>
                        <wps:spPr bwMode="auto">
                          <a:xfrm>
                            <a:off x="3678572" y="4228791"/>
                            <a:ext cx="0" cy="212725"/>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0;margin-top:.3pt;width:378.35pt;height:518.95pt;z-index:251662336;mso-position-horizontal:left;mso-position-horizontal-relative:margin"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">
                <v:group id="Group 2" o:spid="_x0000_s1027" style="position:absolute;width:48825;height:67779" coordsize="48825,57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B7GpM7IAAAA&#10;4wAAAA8AAAAAAAAAAAAAAAAAqgIAAGRycy9kb3ducmV2LnhtbFBLBQYAAAAABAAEAPoAAACfAwAA&#10;AAA=&#10;">
                  <v:rect id="Rectangle 4" o:spid="_x0000_s1028" style="position:absolute;width:48825;height:57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PA8UA&#10;AADaAAAADwAAAGRycy9kb3ducmV2LnhtbESPQWsCMRSE7wX/Q3iCt5ptsVVWoxTbQkEQ3Cp6fGxe&#10;dxeTlyWJ7ra/vikIPQ4z8w2zWPXWiCv50DhW8DDOQBCXTjdcKdh/vt/PQISIrNE4JgXfFGC1HNwt&#10;MNeu4x1di1iJBOGQo4I6xjaXMpQ1WQxj1xIn78t5izFJX0ntsUtwa+Rjlj1Liw2nhRpbWtdUnouL&#10;VbB5ffqZbt/8xnSn3XZ6NOvJ4VwoNRr2L3MQkfr4H761P7SCCfxdST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A8DxQAAANoAAAAPAAAAAAAAAAAAAAAAAJgCAABkcnMv&#10;ZG93bnJldi54bWxQSwUGAAAAAAQABAD1AAAAigMAAAAA&#10;" filled="f" fillcolor="#5b9bd5" strokecolor="black [0]" strokeweight="2pt">
                    <v:shadow color="black [0]"/>
                    <v:textbox inset="2.88pt,2.88pt,2.88pt,2.88pt"/>
                  </v:rect>
                  <v:rect id="Rectangle 5" o:spid="_x0000_s1029" style="position:absolute;left:3511;top:1353;width:41422;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7N8kA&#10;AADiAAAADwAAAGRycy9kb3ducmV2LnhtbESPQWvCQBSE7wX/w/KE3uomprGSuopWSns1LXh9Zp/J&#10;0uzbsLtq+u+7hUKPw8x8w6w2o+3FlXwwjhXkswwEceO04VbB58frwxJEiMgae8ek4JsCbNaTuxVW&#10;2t34QNc6tiJBOFSooItxqKQMTUcWw8wNxMk7O28xJulbqT3eEtz2cp5lC2nRcFrocKCXjpqv+mIV&#10;mJ1chu3eF3HIj/s3d6oPxdkodT8dt88gIo3xP/zXftcKykU5L/LH8gl+L6U7IN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B7N8kAAADiAAAADwAAAAAAAAAAAAAAAACYAgAA&#10;ZHJzL2Rvd25yZXYueG1sUEsFBgAAAAAEAAQA9QAAAI4DAAAAAA==&#10;" fillcolor="#0c0c0c" strokecolor="black [0]" strokeweight="2pt">
                    <v:shadow color="black [0]"/>
                    <v:textbox inset="2.88pt,2.88pt,2.88pt,2.88pt">
                      <w:txbxContent>
                        <w:p w:rsidR="003A4285" w:rsidRDefault="00BA7A7F" w:rsidP="003A4285">
                          <w:pPr>
                            <w:keepLines w:val="0"/>
                            <w:widowControl w:val="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rsidR="003A4285" w:rsidRDefault="00BA7A7F" w:rsidP="003A4285">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p w:rsidR="003A4285" w:rsidRDefault="00BA7A7F" w:rsidP="003A4285">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6" o:spid="_x0000_s1030" style="position:absolute;left:1768;top:7429;width:19739;height:5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44VsQA&#10;AADaAAAADwAAAGRycy9kb3ducmV2LnhtbESPQWvCQBSE7wX/w/IEL0U3tZBKdBUJFTz0oFYEb4/s&#10;Mwlm34bdVZN/7wqFHoeZ+YZZrDrTiDs5X1tW8DFJQBAXVtdcKjj+bsYzED4ga2wsk4KePKyWg7cF&#10;Zto+eE/3QyhFhLDPUEEVQptJ6YuKDPqJbYmjd7HOYIjSlVI7fES4aeQ0SVJpsOa4UGFLeUXF9XAz&#10;CtzufLqk/edPv8nr8nv/lb8Xt16p0bBbz0EE6sJ/+K+91QpSeF2JN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eOFbEAAAA2gAAAA8AAAAAAAAAAAAAAAAAmAIAAGRycy9k&#10;b3ducmV2LnhtbFBLBQYAAAAABAAEAPUAAACJAwAAAAA=&#10;" fillcolor="black [0]" strokecolor="black [0]" strokeweight="1pt">
                    <v:shadow color="black [0]"/>
                    <v:textbox inset="2.88pt,2.88pt,2.88pt,2.88pt">
                      <w:txbxContent>
                        <w:p w:rsidR="003A4285" w:rsidRDefault="00BA7A7F" w:rsidP="003A4285">
                          <w:pPr>
                            <w:keepLines w:val="0"/>
                            <w:widowControl w:val="0"/>
                            <w:jc w:val="center"/>
                            <w:rPr>
                              <w:rFonts w:ascii="Arial" w:hAnsi="Arial" w:cs="Arial"/>
                              <w:color w:val="FFFFFF"/>
                              <w:sz w:val="18"/>
                              <w:szCs w:val="18"/>
                            </w:rPr>
                          </w:pPr>
                          <w:r>
                            <w:rPr>
                              <w:rFonts w:ascii="Arial" w:hAnsi="Arial" w:cs="Arial"/>
                              <w:color w:val="FFFFFF"/>
                              <w:sz w:val="18"/>
                              <w:szCs w:val="18"/>
                            </w:rPr>
                            <w:t xml:space="preserve">Portfolio Budget Statements (March) </w:t>
                          </w:r>
                          <w:r>
                            <w:rPr>
                              <w:rFonts w:ascii="Arial" w:hAnsi="Arial" w:cs="Arial"/>
                              <w:color w:val="FFFFFF"/>
                              <w:sz w:val="18"/>
                              <w:szCs w:val="18"/>
                            </w:rPr>
                            <w:br/>
                          </w:r>
                          <w:r>
                            <w:rPr>
                              <w:i/>
                              <w:iCs/>
                              <w:color w:val="FFFFFF"/>
                            </w:rPr>
                            <w:t>Portfolio based</w:t>
                          </w:r>
                        </w:p>
                        <w:p w:rsidR="003A4285" w:rsidRDefault="00BA7A7F" w:rsidP="003A4285">
                          <w:pPr>
                            <w:keepLines w:val="0"/>
                            <w:widowControl w:val="0"/>
                            <w:jc w:val="center"/>
                            <w:rPr>
                              <w:color w:val="FFFFFF"/>
                            </w:rPr>
                          </w:pPr>
                          <w:r>
                            <w:rPr>
                              <w:color w:val="FFFFFF"/>
                            </w:rPr>
                            <w:t> </w:t>
                          </w:r>
                        </w:p>
                      </w:txbxContent>
                    </v:textbox>
                  </v:rect>
                  <v:rect id="Rectangle 7" o:spid="_x0000_s1031" style="position:absolute;left:26963;top:7429;width:19802;height:5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dzcQA&#10;AADaAAAADwAAAGRycy9kb3ducmV2LnhtbESPT4vCMBTE78J+h/AEL6KpCipdoyxFYQ8e/LMs7O3R&#10;PNti81KSqO233wiCx2FmfsOsNq2pxZ2crywrmIwTEMS51RUXCn7Ou9EShA/IGmvLpKAjD5v1R2+F&#10;qbYPPtL9FAoRIexTVFCG0KRS+rwkg35sG+LoXawzGKJ0hdQOHxFuajlNkrk0WHFcKLGhrKT8eroZ&#10;Be7w93uZd7N9t8uqYntcZMP81ik16LdfnyACteEdfrW/tYIFPK/EG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Snc3EAAAA2gAAAA8AAAAAAAAAAAAAAAAAmAIAAGRycy9k&#10;b3ducmV2LnhtbFBLBQYAAAAABAAEAPUAAACJAwAAAAA=&#10;" fillcolor="black [0]" strokecolor="black [0]" strokeweight="1pt">
                    <v:shadow color="black [0]"/>
                    <v:textbox inset="2.88pt,2.88pt,2.88pt,2.88pt">
                      <w:txbxContent>
                        <w:p w:rsidR="003A4285" w:rsidRDefault="00BA7A7F" w:rsidP="003A4285">
                          <w:pPr>
                            <w:keepLines w:val="0"/>
                            <w:widowControl w:val="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rsidR="003A4285" w:rsidRDefault="00BA7A7F" w:rsidP="003A4285">
                          <w:pPr>
                            <w:keepLines w:val="0"/>
                            <w:widowControl w:val="0"/>
                            <w:jc w:val="center"/>
                            <w:rPr>
                              <w:color w:val="FFFFFF"/>
                            </w:rPr>
                          </w:pPr>
                          <w:r>
                            <w:rPr>
                              <w:color w:val="FFFFFF"/>
                            </w:rPr>
                            <w:t> </w:t>
                          </w:r>
                        </w:p>
                      </w:txbxContent>
                    </v:textbox>
                  </v:rect>
                  <v:rect id="Rectangle 8" o:spid="_x0000_s1032" style="position:absolute;left:1768;top:13019;width:19800;height:22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NJnMAA&#10;AADaAAAADwAAAGRycy9kb3ducmV2LnhtbESPQYvCMBSE74L/ITzBm6btQaQaZXdB0IMHdX/Ao3k2&#10;xealm8Ra/fVmYWGPw8w3w6y3g21FTz40jhXk8wwEceV0w7WC78tutgQRIrLG1jEpeFKA7WY8WmOp&#10;3YNP1J9jLVIJhxIVmBi7UspQGbIY5q4jTt7VeYsxSV9L7fGRym0riyxbSIsNpwWDHX0Zqm7nu1Ww&#10;DD+Hw1H76sL5q8tr/ByK3Cg1nQwfKxCRhvgf/qP3OnHweyXdAL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RNJnMAAAADaAAAADwAAAAAAAAAAAAAAAACYAgAAZHJzL2Rvd25y&#10;ZXYueG1sUEsFBgAAAAAEAAQA9QAAAIUDAAAAAA==&#10;" filled="f" fillcolor="black [0]" strokecolor="black [0]" strokeweight=".5pt">
                    <v:shadow color="black [0]"/>
                    <v:textbox inset="2.88pt,2.88pt,2.88pt,2.88pt">
                      <w:txbxContent>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w:t>
                          </w:r>
                        </w:p>
                      </w:txbxContent>
                    </v:textbox>
                  </v:rect>
                  <v:rect id="Rectangle 10" o:spid="_x0000_s1033" style="position:absolute;left:26965;top:13019;width:19800;height:22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J28IA&#10;AADbAAAADwAAAGRycy9kb3ducmV2LnhtbESPQW/CMAyF70j8h8iTdoO0HBDqCAgmIY0DB2A/wGq8&#10;pqJxSpJB4dfPB6TdbL3n9z4v14Pv1I1iagMbKKcFKOI62JYbA9/n3WQBKmVki11gMvCgBOvVeLTE&#10;yoY7H+l2yo2SEE4VGnA595XWqXbkMU1DTyzaT4ges6yx0TbiXcJ9p2dFMdceW5YGhz19Oqovp19v&#10;YJGu+/3BxvrM5bMvG9wOs9IZ8/42bD5AZRryv/l1/WUFX+jlFxl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YnbwgAAANsAAAAPAAAAAAAAAAAAAAAAAJgCAABkcnMvZG93&#10;bnJldi54bWxQSwUGAAAAAAQABAD1AAAAhwMAAAAA&#10;" filled="f" fillcolor="black [0]" strokecolor="black [0]" strokeweight=".5pt">
                    <v:shadow color="black [0]"/>
                    <v:textbox inset="2.88pt,2.88pt,2.88pt,2.88pt">
                      <w:txbxContent>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21507;top:22136;width:54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Q8L4AAADbAAAADwAAAGRycy9kb3ducmV2LnhtbERPTYvCMBC9C/sfwizsTdPKspRqFBEW&#10;vGoXz2MzNsVmUpNsW/+9WVjwNo/3OevtZDsxkA+tYwX5IgNBXDvdcqPgp/qeFyBCRNbYOSYFDwqw&#10;3bzN1lhqN/KRhlNsRArhUKICE2NfShlqQxbDwvXEibs6bzEm6BupPY4p3HZymWVf0mLLqcFgT3tD&#10;9e30axVUl8vZXfVSFq66F5+Vz6X1nVIf79NuBSLSFF/if/dBp/k5/P2SDpCbJ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Ch1DwvgAAANsAAAAPAAAAAAAAAAAAAAAAAKEC&#10;AABkcnMvZG93bnJldi54bWxQSwUGAAAAAAQABAD5AAAAjAMAAAAA&#10;" strokecolor="black [0]" strokeweight="1.25pt">
                    <v:stroke startarrow="block" endarrow="block"/>
                    <v:shadow color="black [0]"/>
                  </v:shape>
                  <v:rect id="Rectangle 12" o:spid="_x0000_s1035" style="position:absolute;left:6268;top:39967;width:3600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iZMIA&#10;AADbAAAADwAAAGRycy9kb3ducmV2LnhtbERPS4vCMBC+C/sfwix4EU1XwZVqlKUo7MGDj0XwNjRj&#10;W2wmJYna/vuNIHibj+85i1VranEn5yvLCr5GCQji3OqKCwV/x81wBsIHZI21ZVLQkYfV8qO3wFTb&#10;B+/pfgiFiCHsU1RQhtCkUvq8JIN+ZBviyF2sMxgidIXUDh8x3NRynCRTabDi2FBiQ1lJ+fVwMwrc&#10;7ny6TLvJtttkVbHef2eD/NYp1f9sf+YgArXhLX65f3WcP4bnL/E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CCJkwgAAANsAAAAPAAAAAAAAAAAAAAAAAJgCAABkcnMvZG93&#10;bnJldi54bWxQSwUGAAAAAAQABAD1AAAAhwMAAAAA&#10;" fillcolor="black [0]" strokecolor="black [0]" strokeweight="1pt">
                    <v:shadow color="black [0]"/>
                    <v:textbox inset="2.88pt,2.88pt,2.88pt,2.88pt">
                      <w:txbxContent>
                        <w:p w:rsidR="003A4285" w:rsidRDefault="00BA7A7F" w:rsidP="003A4285">
                          <w:pPr>
                            <w:keepLines w:val="0"/>
                            <w:widowControl w:val="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rsidR="003A4285" w:rsidRDefault="00BA7A7F" w:rsidP="003A4285">
                          <w:pPr>
                            <w:keepLines w:val="0"/>
                            <w:widowControl w:val="0"/>
                            <w:jc w:val="center"/>
                            <w:rPr>
                              <w:color w:val="FFFFFF"/>
                            </w:rPr>
                          </w:pPr>
                          <w:r>
                            <w:rPr>
                              <w:color w:val="FFFFFF"/>
                            </w:rPr>
                            <w:t> </w:t>
                          </w:r>
                        </w:p>
                      </w:txbxContent>
                    </v:textbox>
                  </v:rect>
                  <v:rect id="Rectangle 13" o:spid="_x0000_s1036" style="position:absolute;left:6268;top:44158;width:36000;height:11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cXrMEA&#10;AADbAAAADwAAAGRycy9kb3ducmV2LnhtbERPzWrCQBC+C32HZQRvuomChOgqtVBoDh5MfIAhO82G&#10;ZmfT3a2mffquUOhtPr7f2R8nO4gb+dA7VpCvMhDErdM9dwquzeuyABEissbBMSn4pgDHw9Nsj6V2&#10;d77QrY6dSCEcSlRgYhxLKUNryGJYuZE4ce/OW4wJ+k5qj/cUbge5zrKttNhzajA40ouh9qP+sgqK&#10;8FlVZ+3bhvOfMe/wNK1zo9RiPj3vQESa4r/4z/2m0/wNPH5J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XF6zBAAAA2wAAAA8AAAAAAAAAAAAAAAAAmAIAAGRycy9kb3du&#10;cmV2LnhtbFBLBQYAAAAABAAEAPUAAACGAwAAAAA=&#10;" filled="f" fillcolor="black [0]" strokecolor="black [0]" strokeweight=".5pt">
                    <v:shadow color="black [0]"/>
                    <v:textbox inset="2.88pt,2.88pt,2.88pt,2.88pt">
                      <w:txbxContent>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rsidR="003A4285" w:rsidRDefault="00BA7A7F" w:rsidP="003A4285">
                          <w:pPr>
                            <w:keepLines w:val="0"/>
                            <w:widowControl w:val="0"/>
                            <w:spacing w:after="120" w:line="285" w:lineRule="auto"/>
                            <w:jc w:val="left"/>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v:textbox>
                  </v:rect>
                  <v:shape id="AutoShape 12" o:spid="_x0000_s1037" type="#_x0000_t32" style="position:absolute;left:11370;top:35666;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OFsQAAADbAAAADwAAAGRycy9kb3ducmV2LnhtbESPQWsCMRCF7wX/QxjBW81aWpGtUURo&#10;60WocUvpbdiMm2U3k2WT6vrvm4LgbYb33jdvluvBteJMfag9K5hNMxDEpTc1VwqK49vjAkSIyAZb&#10;z6TgSgHWq9HDEnPjL3ygs46VSBAOOSqwMXa5lKG05DBMfUectJPvHca09pU0PV4S3LXyKcvm0mHN&#10;6YLFjraWykb/ukT5sc2Xzl5CYz6/P5pir+fvg1ZqMh42ryAiDfFuvqV3JtV/hv9f0gB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L44WxAAAANsAAAAPAAAAAAAAAAAA&#10;AAAAAKECAABkcnMvZG93bnJldi54bWxQSwUGAAAAAAQABAD5AAAAkgMAAAAA&#10;" strokecolor="black [0]" strokeweight="1.25pt">
                    <v:shadow color="black [0]"/>
                  </v:shape>
                  <v:shape id="AutoShape 14" o:spid="_x0000_s1038" type="#_x0000_t32" style="position:absolute;left:11308;top:37431;width:255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MrjcMAAADbAAAADwAAAGRycy9kb3ducmV2LnhtbESPQWsCMRCF74X+hzAFbzVbQSmrUaSg&#10;9iJotBRvw2bcLLuZLJtU139vBKG3Gd5737yZLXrXiAt1ofKs4GOYgSAuvKm4VHA8rN4/QYSIbLDx&#10;TApuFGAxf32ZYW78lfd00bEUCcIhRwU2xjaXMhSWHIahb4mTdvadw5jWrpSmw2uCu0aOsmwiHVac&#10;Llhs6ctSUes/lygnW//obBxqs/vd1Metnqx7rdTgrV9OQUTq47/5mf42qf4YHr+kAe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jK43DAAAA2wAAAA8AAAAAAAAAAAAA&#10;AAAAoQIAAGRycy9kb3ducmV2LnhtbFBLBQYAAAAABAAEAPkAAACRAwAAAAA=&#10;" strokecolor="black [0]" strokeweight="1.25pt">
                    <v:shadow color="black [0]"/>
                  </v:shape>
                  <v:shape id="AutoShape 15" o:spid="_x0000_s1039" type="#_x0000_t32" style="position:absolute;left:24415;top:37446;width:0;height:2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A6mMMAAADbAAAADwAAAGRycy9kb3ducmV2LnhtbERPTUsDMRC9C/6HMAVvNtsiVdempRTU&#10;HgRx9dDexmTcXd1MlmS6Xf+9EQRv83ifs1yPvlMDxdQGNjCbFqCIbXAt1wbeXu8vb0AlQXbYBSYD&#10;35RgvTo/W2LpwolfaKikVjmEU4kGGpG+1DrZhjymaeiJM/cRokfJMNbaRTzlcN/peVEstMeWc0OD&#10;PW0bsl/V0Rt43su1VMeH4fPxsLuy8db69/mTMReTcXMHSmiUf/Gfe+fy/AX8/pIP0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wOpjDAAAA2wAAAA8AAAAAAAAAAAAA&#10;AAAAoQIAAGRycy9kb3ducmV2LnhtbFBLBQYAAAAABAAEAPkAAACRAwAAAAA=&#10;" strokecolor="black [0]" strokeweight="1.25pt">
                    <v:stroke endarrow="block"/>
                    <v:shadow color="black [0]"/>
                  </v:shape>
                </v:group>
                <v:shape id="AutoShape 12" o:spid="_x0000_s1040" type="#_x0000_t32" style="position:absolute;left:36785;top:42287;width:0;height:21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ua+bF8sAAADjAAAADwAA&#10;AAAAAAAAAAAAAAChAgAAZHJzL2Rvd25yZXYueG1sUEsFBgAAAAAEAAQA+QAAAJkDAAAAAA==&#10;" strokecolor="black [0]" strokeweight="1.25pt">
                  <v:shadow color="black [0]"/>
                </v:shape>
                <w10:wrap anchorx="margin"/>
              </v:group>
            </w:pict>
          </mc:Fallback>
        </mc:AlternateContent>
      </w:r>
      <w:bookmarkEnd w:id="26"/>
    </w:p>
    <w:p w:rsidR="00D86095" w:rsidRDefault="00BA7A7F" w:rsidP="00000969">
      <w:pPr>
        <w:pageBreakBefore/>
        <w:rPr>
          <w:color w:val="FFFFFF"/>
        </w:rPr>
      </w:pPr>
      <w:bookmarkStart w:id="27" w:name="RG_MARKER_12524"/>
      <w:bookmarkStart w:id="28" w:name="RG_MARKER_12527"/>
      <w:r w:rsidRPr="00DC0B18">
        <w:rPr>
          <w:color w:val="FFFFFF"/>
        </w:rPr>
        <w:lastRenderedPageBreak/>
        <w:t>This page is intentionally blank</w:t>
      </w:r>
      <w:bookmarkEnd w:id="27"/>
      <w:bookmarkEnd w:id="28"/>
    </w:p>
    <w:p w:rsidR="00DC0B18" w:rsidRPr="00DC0B18" w:rsidRDefault="00DC0B18" w:rsidP="00000969">
      <w:pPr>
        <w:rPr>
          <w:color w:val="FFFFFF"/>
        </w:rPr>
        <w:sectPr w:rsidR="00DC0B18" w:rsidRPr="00DC0B18" w:rsidSect="00D86095">
          <w:headerReference w:type="even" r:id="rId49"/>
          <w:headerReference w:type="default" r:id="rId50"/>
          <w:footerReference w:type="even" r:id="rId51"/>
          <w:footerReference w:type="default" r:id="rId52"/>
          <w:headerReference w:type="first" r:id="rId53"/>
          <w:footerReference w:type="first" r:id="rId54"/>
          <w:type w:val="continuous"/>
          <w:pgSz w:w="11906" w:h="16838"/>
          <w:pgMar w:top="2466" w:right="2098" w:bottom="2466" w:left="2098" w:header="1899" w:footer="1899" w:gutter="0"/>
          <w:pgBorders>
            <w:top w:val="nil"/>
            <w:left w:val="nil"/>
            <w:bottom w:val="nil"/>
            <w:right w:val="nil"/>
          </w:pgBorders>
          <w:cols w:space="720"/>
          <w:docGrid w:linePitch="360"/>
        </w:sectPr>
      </w:pPr>
    </w:p>
    <w:p w:rsidR="001E610A" w:rsidRPr="00B94556" w:rsidRDefault="00BA7A7F" w:rsidP="001E610A">
      <w:pPr>
        <w:pStyle w:val="ContentsHeading"/>
        <w:pageBreakBefore/>
        <w:rPr>
          <w:smallCaps w:val="0"/>
        </w:rPr>
      </w:pPr>
      <w:bookmarkStart w:id="29" w:name="RG_MARKER_11679"/>
      <w:bookmarkStart w:id="30" w:name="RG_MARKER_12263"/>
      <w:r w:rsidRPr="00B94556">
        <w:rPr>
          <w:smallCaps w:val="0"/>
        </w:rPr>
        <w:lastRenderedPageBreak/>
        <w:t>C</w:t>
      </w:r>
      <w:bookmarkEnd w:id="29"/>
      <w:bookmarkEnd w:id="30"/>
      <w:r w:rsidRPr="00B94556">
        <w:rPr>
          <w:smallCaps w:val="0"/>
          <w:snapToGrid w:val="0"/>
        </w:rPr>
        <w:t>ontents</w:t>
      </w:r>
    </w:p>
    <w:p w:rsidR="00632F03" w:rsidRDefault="00BA7A7F" w:rsidP="00D52482">
      <w:pPr>
        <w:pStyle w:val="TOC1"/>
      </w:pPr>
      <w:r>
        <w:t>USER GUIDE</w:t>
      </w:r>
      <w:r w:rsidRPr="00D52482">
        <w:tab/>
      </w:r>
      <w:r>
        <w:rPr>
          <w:caps w:val="0"/>
        </w:rPr>
        <w:t>vi</w:t>
      </w:r>
    </w:p>
    <w:p w:rsidR="001E610A" w:rsidRDefault="00BA7A7F" w:rsidP="00D52482">
      <w:pPr>
        <w:pStyle w:val="TOC1"/>
      </w:pPr>
      <w:r>
        <w:t>Industry, Science, Energy and Resources Portfolio</w:t>
      </w:r>
      <w:r w:rsidRPr="00D52482">
        <w:t xml:space="preserve"> Overview</w:t>
      </w:r>
      <w:r w:rsidRPr="00D52482">
        <w:tab/>
      </w:r>
      <w:r w:rsidR="00465EB5" w:rsidRPr="00465EB5">
        <w:t>3</w:t>
      </w:r>
    </w:p>
    <w:p w:rsidR="001E610A" w:rsidRDefault="00BA7A7F" w:rsidP="00D52482">
      <w:pPr>
        <w:pStyle w:val="TOC1"/>
      </w:pPr>
      <w:r w:rsidRPr="001008A7">
        <w:t xml:space="preserve">Entity </w:t>
      </w:r>
      <w:r>
        <w:t>r</w:t>
      </w:r>
      <w:r w:rsidRPr="001008A7">
        <w:t xml:space="preserve">esources and </w:t>
      </w:r>
      <w:r>
        <w:t>p</w:t>
      </w:r>
      <w:r w:rsidRPr="001008A7">
        <w:t xml:space="preserve">lanned </w:t>
      </w:r>
      <w:r>
        <w:t>p</w:t>
      </w:r>
      <w:r w:rsidRPr="001008A7">
        <w:t>erformance</w:t>
      </w:r>
      <w:r>
        <w:tab/>
      </w:r>
      <w:r w:rsidR="00465EB5" w:rsidRPr="00465EB5">
        <w:t>11</w:t>
      </w:r>
    </w:p>
    <w:p w:rsidR="00F3358E" w:rsidRPr="00F3358E" w:rsidRDefault="00BA7A7F" w:rsidP="00B96B50">
      <w:pPr>
        <w:pStyle w:val="TOC1"/>
      </w:pPr>
      <w:r>
        <w:t>Department of Industry, Science, Energy and Resources</w:t>
      </w:r>
      <w:r>
        <w:tab/>
      </w:r>
      <w:r w:rsidR="00465EB5" w:rsidRPr="00465EB5">
        <w:t>17</w:t>
      </w:r>
    </w:p>
    <w:p w:rsidR="00B952EA" w:rsidRDefault="00BA7A7F" w:rsidP="00B96B50">
      <w:pPr>
        <w:pStyle w:val="TOC1"/>
      </w:pPr>
      <w:r>
        <w:t>Australian Institute of Marine Science</w:t>
      </w:r>
      <w:r>
        <w:tab/>
      </w:r>
      <w:r w:rsidRPr="005B23E5">
        <w:t>87</w:t>
      </w:r>
    </w:p>
    <w:p w:rsidR="00F3358E" w:rsidRDefault="00BA7A7F" w:rsidP="00B96B50">
      <w:pPr>
        <w:pStyle w:val="TOC1"/>
      </w:pPr>
      <w:r>
        <w:t>Australian Nuclear Science and Technology Organisation</w:t>
      </w:r>
      <w:r>
        <w:tab/>
      </w:r>
      <w:r w:rsidR="009C0183" w:rsidRPr="009C0183">
        <w:t>111</w:t>
      </w:r>
    </w:p>
    <w:p w:rsidR="004C5E55" w:rsidRDefault="00BA7A7F" w:rsidP="004C5E55">
      <w:pPr>
        <w:pStyle w:val="TOC1"/>
      </w:pPr>
      <w:r>
        <w:t>Australian Renewable Energy Agency</w:t>
      </w:r>
      <w:r>
        <w:tab/>
      </w:r>
      <w:r w:rsidR="009C0183" w:rsidRPr="009C0183">
        <w:t>141</w:t>
      </w:r>
    </w:p>
    <w:p w:rsidR="00D1730E" w:rsidRDefault="00BA7A7F" w:rsidP="00B96B50">
      <w:pPr>
        <w:pStyle w:val="TOC1"/>
      </w:pPr>
      <w:r>
        <w:t>Clean Energy Finance Corporation</w:t>
      </w:r>
      <w:r>
        <w:tab/>
      </w:r>
      <w:r w:rsidR="009C0183" w:rsidRPr="009C0183">
        <w:t>163</w:t>
      </w:r>
    </w:p>
    <w:p w:rsidR="00D1730E" w:rsidRPr="00D1730E" w:rsidRDefault="00BA7A7F" w:rsidP="00B96B50">
      <w:pPr>
        <w:pStyle w:val="TOC1"/>
      </w:pPr>
      <w:r>
        <w:t>Clean Energy Regulator</w:t>
      </w:r>
      <w:r>
        <w:tab/>
      </w:r>
      <w:r w:rsidR="00E35BED" w:rsidRPr="00E35BED">
        <w:t>193</w:t>
      </w:r>
    </w:p>
    <w:p w:rsidR="001E610A" w:rsidRDefault="00BA7A7F" w:rsidP="00B96B50">
      <w:pPr>
        <w:pStyle w:val="TOC1"/>
      </w:pPr>
      <w:r>
        <w:t>Climate Change Authority</w:t>
      </w:r>
      <w:r>
        <w:tab/>
      </w:r>
      <w:r w:rsidR="003B7495" w:rsidRPr="003B7495">
        <w:t>223</w:t>
      </w:r>
    </w:p>
    <w:p w:rsidR="00046E7F" w:rsidRPr="00F3358E" w:rsidRDefault="00BA7A7F" w:rsidP="00B96B50">
      <w:pPr>
        <w:pStyle w:val="TOC1"/>
      </w:pPr>
      <w:r>
        <w:t>Commonwealth Scientific and Industrial Research Organisation</w:t>
      </w:r>
      <w:r>
        <w:tab/>
      </w:r>
      <w:r w:rsidR="003B7495" w:rsidRPr="003B7495">
        <w:t>239</w:t>
      </w:r>
    </w:p>
    <w:p w:rsidR="00046E7F" w:rsidRPr="00F3358E" w:rsidRDefault="00BA7A7F" w:rsidP="00B96B50">
      <w:pPr>
        <w:pStyle w:val="TOC1"/>
      </w:pPr>
      <w:r>
        <w:t>Geoscience Australia</w:t>
      </w:r>
      <w:r>
        <w:tab/>
      </w:r>
      <w:r w:rsidRPr="00F85055">
        <w:t>267</w:t>
      </w:r>
    </w:p>
    <w:p w:rsidR="00046E7F" w:rsidRDefault="00BA7A7F" w:rsidP="00B96B50">
      <w:pPr>
        <w:pStyle w:val="TOC1"/>
      </w:pPr>
      <w:r>
        <w:t>IP Australia</w:t>
      </w:r>
      <w:r>
        <w:tab/>
      </w:r>
      <w:r w:rsidRPr="00F85055">
        <w:t>295</w:t>
      </w:r>
    </w:p>
    <w:p w:rsidR="00632F03" w:rsidRPr="002175BB" w:rsidRDefault="00BA7A7F" w:rsidP="00841C04">
      <w:pPr>
        <w:pStyle w:val="TOC1"/>
        <w:sectPr w:rsidR="00632F03" w:rsidRPr="002175BB" w:rsidSect="00C17528">
          <w:headerReference w:type="even" r:id="rId55"/>
          <w:headerReference w:type="default" r:id="rId56"/>
          <w:footerReference w:type="even" r:id="rId57"/>
          <w:footerReference w:type="default" r:id="rId58"/>
          <w:headerReference w:type="first" r:id="rId59"/>
          <w:footerReference w:type="first" r:id="rId60"/>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t>National Offshore Petroleum Safety and Environmental Management Authority</w:t>
      </w:r>
      <w:r>
        <w:tab/>
      </w:r>
      <w:r w:rsidRPr="00F85055">
        <w:t>319</w:t>
      </w:r>
    </w:p>
    <w:p w:rsidR="00D86095" w:rsidRDefault="00BA7A7F" w:rsidP="00000969">
      <w:pPr>
        <w:pageBreakBefore/>
        <w:rPr>
          <w:color w:val="FFFFFF"/>
        </w:rPr>
      </w:pPr>
      <w:bookmarkStart w:id="31" w:name="RG_MARKER_11685"/>
      <w:bookmarkStart w:id="32" w:name="RG_MARKER_11767"/>
      <w:r w:rsidRPr="00DC0B18">
        <w:rPr>
          <w:color w:val="FFFFFF"/>
        </w:rPr>
        <w:t>This page is intentionally blank</w:t>
      </w:r>
      <w:bookmarkEnd w:id="31"/>
      <w:bookmarkEnd w:id="32"/>
    </w:p>
    <w:p w:rsidR="00DC0B18" w:rsidRPr="00DC0B18" w:rsidRDefault="00DC0B18" w:rsidP="00000969">
      <w:pPr>
        <w:rPr>
          <w:color w:val="FFFFFF"/>
        </w:rPr>
        <w:sectPr w:rsidR="00DC0B18" w:rsidRPr="00DC0B18" w:rsidSect="00D86095">
          <w:headerReference w:type="even" r:id="rId61"/>
          <w:headerReference w:type="default" r:id="rId62"/>
          <w:footerReference w:type="even" r:id="rId63"/>
          <w:footerReference w:type="default" r:id="rId64"/>
          <w:headerReference w:type="first" r:id="rId65"/>
          <w:footerReference w:type="first" r:id="rId66"/>
          <w:type w:val="continuous"/>
          <w:pgSz w:w="11906" w:h="16838"/>
          <w:pgMar w:top="2466" w:right="2098" w:bottom="2466" w:left="2098" w:header="1899" w:footer="1899" w:gutter="0"/>
          <w:pgBorders>
            <w:top w:val="nil"/>
            <w:left w:val="nil"/>
            <w:bottom w:val="nil"/>
            <w:right w:val="nil"/>
          </w:pgBorders>
          <w:cols w:space="720"/>
          <w:docGrid w:linePitch="360"/>
        </w:sectPr>
      </w:pPr>
    </w:p>
    <w:p w:rsidR="00BC368D" w:rsidRPr="009E55EC" w:rsidRDefault="00BA7A7F" w:rsidP="00BC368D">
      <w:pPr>
        <w:pStyle w:val="PartHeading"/>
        <w:keepLines/>
        <w:pageBreakBefore/>
        <w:spacing w:before="240" w:after="240"/>
        <w:rPr>
          <w:bCs w:val="0"/>
          <w:color w:val="FFFFFF"/>
          <w:kern w:val="0"/>
        </w:rPr>
      </w:pPr>
      <w:bookmarkStart w:id="33" w:name="RG_MARKER_11702"/>
      <w:bookmarkStart w:id="34" w:name="RG_MARKER_11683"/>
      <w:bookmarkStart w:id="35" w:name="RG_MARKER_11847"/>
      <w:r>
        <w:rPr>
          <w:rFonts w:ascii="Arial" w:hAnsi="Arial"/>
          <w:bCs w:val="0"/>
          <w:smallCaps/>
          <w:color w:val="FFFFFF"/>
          <w:kern w:val="0"/>
          <w:szCs w:val="20"/>
        </w:rPr>
        <w:t xml:space="preserve"> </w:t>
      </w:r>
      <w:bookmarkEnd w:id="33"/>
      <w:bookmarkEnd w:id="34"/>
      <w:bookmarkEnd w:id="35"/>
    </w:p>
    <w:p w:rsidR="00BC368D" w:rsidRPr="009E55EC" w:rsidRDefault="00BA7A7F" w:rsidP="00BC368D">
      <w:pPr>
        <w:pStyle w:val="PartHeading"/>
        <w:keepLines/>
        <w:spacing w:before="240" w:after="240"/>
        <w:rPr>
          <w:bCs w:val="0"/>
          <w:color w:val="FFFFFF"/>
          <w:kern w:val="0"/>
        </w:rPr>
      </w:pPr>
      <w:r>
        <w:rPr>
          <w:rFonts w:ascii="Arial" w:hAnsi="Arial"/>
          <w:bCs w:val="0"/>
          <w:smallCaps/>
          <w:color w:val="FFFFFF"/>
          <w:kern w:val="0"/>
          <w:szCs w:val="20"/>
        </w:rPr>
        <w:t xml:space="preserve"> </w:t>
      </w:r>
    </w:p>
    <w:p w:rsidR="00BC368D" w:rsidRPr="009E55EC" w:rsidRDefault="00BA7A7F" w:rsidP="00BC368D">
      <w:pPr>
        <w:pStyle w:val="PartHeading"/>
        <w:keepLines/>
        <w:spacing w:before="240" w:after="240"/>
        <w:rPr>
          <w:bCs w:val="0"/>
          <w:color w:val="FFFFFF"/>
          <w:kern w:val="0"/>
        </w:rPr>
      </w:pPr>
      <w:r>
        <w:rPr>
          <w:rFonts w:ascii="Arial" w:hAnsi="Arial"/>
          <w:bCs w:val="0"/>
          <w:smallCaps/>
          <w:color w:val="FFFFFF"/>
          <w:kern w:val="0"/>
          <w:szCs w:val="20"/>
        </w:rPr>
        <w:t xml:space="preserve"> </w:t>
      </w:r>
    </w:p>
    <w:p w:rsidR="00BC368D" w:rsidRDefault="00BA7A7F" w:rsidP="00BC368D">
      <w:pPr>
        <w:pStyle w:val="PartHeading"/>
        <w:keepLines/>
        <w:spacing w:before="240" w:after="240"/>
        <w:rPr>
          <w:bCs w:val="0"/>
          <w:color w:val="FFFFFF"/>
          <w:kern w:val="0"/>
        </w:rPr>
      </w:pPr>
      <w:r>
        <w:rPr>
          <w:rFonts w:ascii="Arial" w:hAnsi="Arial"/>
          <w:bCs w:val="0"/>
          <w:smallCaps/>
          <w:color w:val="FFFFFF"/>
          <w:kern w:val="0"/>
          <w:szCs w:val="20"/>
        </w:rPr>
        <w:t xml:space="preserve"> </w:t>
      </w:r>
    </w:p>
    <w:p w:rsidR="00D86D30" w:rsidRPr="001F2898" w:rsidRDefault="00D86D30" w:rsidP="00D86D30">
      <w:pPr>
        <w:keepLines w:val="0"/>
        <w:spacing w:after="200" w:line="276" w:lineRule="auto"/>
        <w:jc w:val="left"/>
        <w:rPr>
          <w:rFonts w:ascii="Calibri" w:eastAsia="Calibri" w:hAnsi="Calibri" w:cs="Arial"/>
          <w:sz w:val="32"/>
          <w:szCs w:val="22"/>
        </w:rPr>
      </w:pPr>
    </w:p>
    <w:p w:rsidR="00D86D30" w:rsidRDefault="00D86D30" w:rsidP="00D86D30">
      <w:pPr>
        <w:keepLines w:val="0"/>
        <w:spacing w:after="200" w:line="276" w:lineRule="auto"/>
        <w:jc w:val="left"/>
        <w:rPr>
          <w:rFonts w:ascii="Calibri" w:eastAsia="Calibri" w:hAnsi="Calibri" w:cs="Arial"/>
          <w:sz w:val="22"/>
          <w:szCs w:val="22"/>
        </w:rPr>
      </w:pPr>
    </w:p>
    <w:p w:rsidR="00D86D30" w:rsidRPr="00D86D30" w:rsidRDefault="00D86D30" w:rsidP="00D86D30">
      <w:pPr>
        <w:keepLines w:val="0"/>
        <w:spacing w:after="200" w:line="276" w:lineRule="auto"/>
        <w:jc w:val="left"/>
        <w:rPr>
          <w:rFonts w:ascii="Calibri" w:eastAsia="Calibri" w:hAnsi="Calibri" w:cs="Arial"/>
          <w:sz w:val="22"/>
          <w:szCs w:val="22"/>
        </w:rPr>
      </w:pPr>
    </w:p>
    <w:p w:rsidR="00B33C18" w:rsidRPr="00F82C17" w:rsidRDefault="00BA7A7F" w:rsidP="00B33C18">
      <w:pPr>
        <w:pStyle w:val="PartHeading"/>
        <w:keepLines/>
        <w:spacing w:before="240" w:after="240"/>
        <w:rPr>
          <w:bCs w:val="0"/>
          <w:kern w:val="0"/>
        </w:rPr>
        <w:sectPr w:rsidR="00B33C18" w:rsidRPr="00F82C17" w:rsidSect="00D86095">
          <w:headerReference w:type="even" r:id="rId67"/>
          <w:headerReference w:type="default" r:id="rId68"/>
          <w:footerReference w:type="even" r:id="rId69"/>
          <w:footerReference w:type="default" r:id="rId70"/>
          <w:headerReference w:type="first" r:id="rId71"/>
          <w:footerReference w:type="first" r:id="rId72"/>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rsidRPr="00F82C17">
        <w:rPr>
          <w:rFonts w:ascii="Arial" w:hAnsi="Arial"/>
          <w:bCs w:val="0"/>
          <w:kern w:val="0"/>
          <w:szCs w:val="20"/>
        </w:rPr>
        <w:t>Portfolio Overview</w:t>
      </w:r>
    </w:p>
    <w:p w:rsidR="00D86095" w:rsidRDefault="00BA7A7F">
      <w:pPr>
        <w:pageBreakBefore/>
        <w:rPr>
          <w:color w:val="FFFFFF"/>
        </w:rPr>
      </w:pPr>
      <w:bookmarkStart w:id="36" w:name="RG_MARKER_11720"/>
      <w:bookmarkStart w:id="37" w:name="RG_MARKER_11818"/>
      <w:r w:rsidRPr="00BE5DA2">
        <w:rPr>
          <w:color w:val="FFFFFF"/>
        </w:rPr>
        <w:t>This page is intentionally blank</w:t>
      </w:r>
      <w:bookmarkEnd w:id="36"/>
      <w:bookmarkEnd w:id="37"/>
    </w:p>
    <w:p w:rsidR="00BE5DA2" w:rsidRPr="00BE5DA2" w:rsidRDefault="00BE5DA2">
      <w:pPr>
        <w:rPr>
          <w:color w:val="FFFFFF"/>
        </w:rPr>
        <w:sectPr w:rsidR="00BE5DA2" w:rsidRPr="00BE5DA2" w:rsidSect="00D86095">
          <w:headerReference w:type="even" r:id="rId73"/>
          <w:headerReference w:type="default" r:id="rId74"/>
          <w:footerReference w:type="even" r:id="rId75"/>
          <w:footerReference w:type="default" r:id="rId76"/>
          <w:headerReference w:type="first" r:id="rId77"/>
          <w:footerReference w:type="first" r:id="rId78"/>
          <w:type w:val="continuous"/>
          <w:pgSz w:w="11906" w:h="16838"/>
          <w:pgMar w:top="2466" w:right="2098" w:bottom="2466" w:left="2098" w:header="1899" w:footer="1899" w:gutter="0"/>
          <w:pgBorders>
            <w:top w:val="nil"/>
            <w:left w:val="nil"/>
            <w:bottom w:val="nil"/>
            <w:right w:val="nil"/>
          </w:pgBorders>
          <w:cols w:space="720"/>
          <w:docGrid w:linePitch="360"/>
        </w:sectPr>
      </w:pPr>
    </w:p>
    <w:p w:rsidR="00B3639E" w:rsidRPr="00D36161" w:rsidRDefault="00BA7A7F" w:rsidP="00B3639E">
      <w:pPr>
        <w:pStyle w:val="Heading1"/>
        <w:pageBreakBefore/>
        <w:ind w:left="284" w:hanging="284"/>
        <w:rPr>
          <w:smallCaps w:val="0"/>
        </w:rPr>
      </w:pPr>
      <w:bookmarkStart w:id="38" w:name="RG_MARKER_11682"/>
      <w:bookmarkStart w:id="39" w:name="RG_MARKER_12217"/>
      <w:r w:rsidRPr="00D36161">
        <w:rPr>
          <w:smallCaps w:val="0"/>
        </w:rPr>
        <w:t>Industry, Science, Energy and Resources</w:t>
      </w:r>
      <w:bookmarkEnd w:id="38"/>
      <w:bookmarkEnd w:id="39"/>
      <w:r w:rsidRPr="00D36161">
        <w:rPr>
          <w:smallCaps w:val="0"/>
        </w:rPr>
        <w:t xml:space="preserve"> Portfolio </w:t>
      </w:r>
      <w:bookmarkStart w:id="40" w:name="_Toc436626775"/>
      <w:r w:rsidRPr="00D36161">
        <w:rPr>
          <w:smallCaps w:val="0"/>
        </w:rPr>
        <w:t>overview</w:t>
      </w:r>
      <w:bookmarkEnd w:id="40"/>
    </w:p>
    <w:p w:rsidR="00B3639E" w:rsidRPr="0049738B" w:rsidRDefault="00BA7A7F" w:rsidP="005C340D">
      <w:pPr>
        <w:pStyle w:val="Heading2"/>
        <w:spacing w:after="120"/>
        <w:ind w:left="284" w:hanging="284"/>
        <w:jc w:val="both"/>
        <w:rPr>
          <w:b/>
          <w:sz w:val="26"/>
          <w:szCs w:val="26"/>
        </w:rPr>
      </w:pPr>
      <w:r w:rsidRPr="0049738B">
        <w:rPr>
          <w:b/>
          <w:sz w:val="26"/>
          <w:szCs w:val="26"/>
        </w:rPr>
        <w:t>Ministers and portfolio responsibilities</w:t>
      </w:r>
    </w:p>
    <w:p w:rsidR="009A319D" w:rsidRPr="00701173" w:rsidRDefault="00BA7A7F" w:rsidP="00087CA8">
      <w:pPr>
        <w:keepLines w:val="0"/>
        <w:rPr>
          <w:rFonts w:eastAsia="Calibri" w:cs="Arial"/>
          <w:sz w:val="22"/>
          <w:szCs w:val="22"/>
        </w:rPr>
      </w:pPr>
      <w:r w:rsidRPr="00701173">
        <w:rPr>
          <w:rFonts w:eastAsia="Calibri" w:cs="Arial"/>
          <w:sz w:val="22"/>
          <w:szCs w:val="22"/>
        </w:rPr>
        <w:t>The Hon Angus Taylor MP is responsible for Industry, Energy and Emissions Reduction. Minister Taylor is charged with:</w:t>
      </w:r>
    </w:p>
    <w:p w:rsidR="009A319D" w:rsidRPr="00701173" w:rsidRDefault="00BA7A7F" w:rsidP="00087CA8">
      <w:pPr>
        <w:pStyle w:val="ListParagraph"/>
        <w:numPr>
          <w:ilvl w:val="0"/>
          <w:numId w:val="1"/>
        </w:numPr>
        <w:ind w:left="284" w:hanging="284"/>
        <w:contextualSpacing w:val="0"/>
        <w:rPr>
          <w:rFonts w:eastAsia="Calibri" w:cs="Arial"/>
          <w:lang w:val="en-AU" w:eastAsia="en-AU"/>
        </w:rPr>
      </w:pPr>
      <w:r>
        <w:rPr>
          <w:rFonts w:eastAsia="Calibri" w:cs="Arial"/>
          <w:lang w:val="en-AU" w:eastAsia="en-AU"/>
        </w:rPr>
        <w:t>b</w:t>
      </w:r>
      <w:r w:rsidR="00A40DF5" w:rsidRPr="00102A52">
        <w:rPr>
          <w:rFonts w:eastAsia="Calibri" w:cs="Arial"/>
          <w:lang w:val="en-AU" w:eastAsia="en-AU"/>
        </w:rPr>
        <w:t>oosting Australia’s competitiveness and facilitating economic and productivity growth, including by boosting the competitiveness of Australian manufacturing, our sovereign capability, and the capability of Australian businesses</w:t>
      </w:r>
      <w:r w:rsidR="00A40DF5" w:rsidRPr="00701173">
        <w:rPr>
          <w:rFonts w:eastAsia="Calibri" w:cs="Arial"/>
          <w:lang w:val="en-AU" w:eastAsia="en-AU"/>
        </w:rPr>
        <w:t>;</w:t>
      </w:r>
    </w:p>
    <w:p w:rsidR="009A319D" w:rsidRPr="00701173" w:rsidRDefault="00BA7A7F" w:rsidP="00087CA8">
      <w:pPr>
        <w:pStyle w:val="ListParagraph"/>
        <w:numPr>
          <w:ilvl w:val="0"/>
          <w:numId w:val="1"/>
        </w:numPr>
        <w:ind w:left="284" w:hanging="284"/>
        <w:contextualSpacing w:val="0"/>
        <w:rPr>
          <w:rFonts w:eastAsia="Calibri" w:cs="Arial"/>
          <w:lang w:val="en-AU" w:eastAsia="en-AU"/>
        </w:rPr>
      </w:pPr>
      <w:r>
        <w:rPr>
          <w:rFonts w:eastAsia="Calibri" w:cs="Arial"/>
          <w:lang w:val="en-AU" w:eastAsia="en-AU"/>
        </w:rPr>
        <w:t>s</w:t>
      </w:r>
      <w:r w:rsidR="00A40DF5" w:rsidRPr="00701173">
        <w:rPr>
          <w:rFonts w:eastAsia="Calibri" w:cs="Arial"/>
          <w:lang w:val="en-AU" w:eastAsia="en-AU"/>
        </w:rPr>
        <w:t>upporting the affordable, reliable, secure and competitive operation of energy markets for the long term benefit of the Australian community; and</w:t>
      </w:r>
    </w:p>
    <w:p w:rsidR="009A319D" w:rsidRPr="00701173" w:rsidRDefault="00BA7A7F" w:rsidP="00087CA8">
      <w:pPr>
        <w:pStyle w:val="ListParagraph"/>
        <w:numPr>
          <w:ilvl w:val="0"/>
          <w:numId w:val="1"/>
        </w:numPr>
        <w:ind w:left="284" w:hanging="284"/>
        <w:contextualSpacing w:val="0"/>
        <w:rPr>
          <w:rFonts w:eastAsia="Calibri" w:cs="Arial"/>
          <w:lang w:val="en-AU" w:eastAsia="en-AU"/>
        </w:rPr>
      </w:pPr>
      <w:r>
        <w:rPr>
          <w:rFonts w:eastAsia="Calibri" w:cs="Arial"/>
          <w:lang w:val="en-AU" w:eastAsia="en-AU"/>
        </w:rPr>
        <w:t>reducing the cost of deploying low emissions technologies to enable households and businesses to reduce their emissions and increase energy productivity where i</w:t>
      </w:r>
      <w:r w:rsidR="0023078D">
        <w:rPr>
          <w:rFonts w:eastAsia="Calibri" w:cs="Arial"/>
          <w:lang w:val="en-AU" w:eastAsia="en-AU"/>
        </w:rPr>
        <w:t>t makes sense for them to do so, thereby contributing to meeting and exceeding Australia’s 2030 Paris Agreement emissions reduction target and</w:t>
      </w:r>
      <w:r w:rsidR="00A40DF5" w:rsidRPr="00701173">
        <w:rPr>
          <w:rFonts w:eastAsia="Calibri" w:cs="Arial"/>
          <w:lang w:val="en-AU" w:eastAsia="en-AU"/>
        </w:rPr>
        <w:t xml:space="preserve"> effective global action on climate change.</w:t>
      </w:r>
    </w:p>
    <w:p w:rsidR="009A319D" w:rsidRPr="00701173" w:rsidRDefault="00BA7A7F" w:rsidP="00087CA8">
      <w:pPr>
        <w:keepLines w:val="0"/>
        <w:spacing w:line="240" w:lineRule="exact"/>
        <w:rPr>
          <w:rFonts w:eastAsia="Calibri" w:cs="Arial"/>
          <w:sz w:val="22"/>
          <w:szCs w:val="22"/>
        </w:rPr>
      </w:pPr>
      <w:r w:rsidRPr="00701173">
        <w:rPr>
          <w:rFonts w:eastAsia="Calibri" w:cs="Arial"/>
          <w:sz w:val="22"/>
          <w:szCs w:val="22"/>
        </w:rPr>
        <w:t>Minister Taylor’s portfolio is supported by Senator the Hon Jonathon Duniam, Assistant Minister for Industry Development and the Hon Tim Wilson MP, Assistant Minister to the Minister for Industry, Energy and Emissions Reduction.</w:t>
      </w:r>
    </w:p>
    <w:p w:rsidR="009A319D" w:rsidRPr="00701173" w:rsidRDefault="00BA7A7F" w:rsidP="00667C13">
      <w:pPr>
        <w:keepLines w:val="0"/>
        <w:rPr>
          <w:rFonts w:eastAsia="Calibri" w:cs="Arial"/>
          <w:sz w:val="22"/>
          <w:szCs w:val="22"/>
        </w:rPr>
      </w:pPr>
      <w:r w:rsidRPr="00701173">
        <w:rPr>
          <w:rFonts w:eastAsia="Calibri" w:cs="Arial"/>
          <w:sz w:val="22"/>
          <w:szCs w:val="22"/>
        </w:rPr>
        <w:t xml:space="preserve">The Hon Melissa Price MP is responsible for Science and Technology. </w:t>
      </w:r>
      <w:r w:rsidRPr="00832BC0">
        <w:rPr>
          <w:rFonts w:eastAsia="Calibri" w:cs="Arial"/>
          <w:sz w:val="22"/>
          <w:szCs w:val="22"/>
          <w:lang w:val="en-US" w:eastAsia="en-US"/>
        </w:rPr>
        <w:t>Minister</w:t>
      </w:r>
      <w:r>
        <w:rPr>
          <w:rFonts w:eastAsia="Calibri" w:cs="Arial"/>
          <w:sz w:val="22"/>
          <w:szCs w:val="22"/>
          <w:lang w:val="en-US" w:eastAsia="en-US"/>
        </w:rPr>
        <w:t> </w:t>
      </w:r>
      <w:r w:rsidRPr="00832BC0">
        <w:rPr>
          <w:rFonts w:eastAsia="Calibri" w:cs="Arial"/>
          <w:sz w:val="22"/>
          <w:szCs w:val="22"/>
          <w:lang w:val="en-US" w:eastAsia="en-US"/>
        </w:rPr>
        <w:t>Price</w:t>
      </w:r>
      <w:r w:rsidRPr="00701173">
        <w:rPr>
          <w:rFonts w:eastAsia="Calibri" w:cs="Arial"/>
          <w:sz w:val="22"/>
          <w:szCs w:val="22"/>
        </w:rPr>
        <w:t xml:space="preserve"> is charged with:</w:t>
      </w:r>
    </w:p>
    <w:p w:rsidR="00E853A5" w:rsidRDefault="00BA7A7F" w:rsidP="00087CA8">
      <w:pPr>
        <w:pStyle w:val="ListParagraph"/>
        <w:numPr>
          <w:ilvl w:val="0"/>
          <w:numId w:val="2"/>
        </w:numPr>
        <w:ind w:left="284" w:hanging="284"/>
        <w:contextualSpacing w:val="0"/>
        <w:rPr>
          <w:rFonts w:eastAsia="Calibri" w:cs="Arial"/>
          <w:lang w:val="en-AU" w:eastAsia="en-AU"/>
        </w:rPr>
      </w:pPr>
      <w:r>
        <w:rPr>
          <w:rFonts w:eastAsia="Calibri" w:cs="Arial"/>
          <w:lang w:val="en-AU" w:eastAsia="en-AU"/>
        </w:rPr>
        <w:t>s</w:t>
      </w:r>
      <w:r w:rsidR="00A40DF5" w:rsidRPr="00701173">
        <w:rPr>
          <w:rFonts w:eastAsia="Calibri" w:cs="Arial"/>
          <w:lang w:val="en-AU" w:eastAsia="en-AU"/>
        </w:rPr>
        <w:t>upporting science, technology and commercialisation that enables e</w:t>
      </w:r>
      <w:r w:rsidR="00A40DF5">
        <w:rPr>
          <w:rFonts w:eastAsia="Calibri" w:cs="Arial"/>
          <w:lang w:val="en-AU" w:eastAsia="en-AU"/>
        </w:rPr>
        <w:t>conomic growth and job creation</w:t>
      </w:r>
      <w:r>
        <w:rPr>
          <w:rFonts w:eastAsia="Calibri" w:cs="Arial"/>
          <w:lang w:val="en-AU" w:eastAsia="en-AU"/>
        </w:rPr>
        <w:t>;</w:t>
      </w:r>
    </w:p>
    <w:p w:rsidR="009A319D" w:rsidRPr="00701173" w:rsidRDefault="00BA7A7F" w:rsidP="00087CA8">
      <w:pPr>
        <w:pStyle w:val="ListParagraph"/>
        <w:numPr>
          <w:ilvl w:val="0"/>
          <w:numId w:val="2"/>
        </w:numPr>
        <w:ind w:left="284" w:hanging="284"/>
        <w:contextualSpacing w:val="0"/>
        <w:rPr>
          <w:rFonts w:eastAsia="Calibri" w:cs="Arial"/>
          <w:lang w:val="en-AU" w:eastAsia="en-AU"/>
        </w:rPr>
      </w:pPr>
      <w:r>
        <w:rPr>
          <w:rFonts w:eastAsia="Calibri" w:cs="Arial"/>
          <w:lang w:val="en-AU" w:eastAsia="en-AU"/>
        </w:rPr>
        <w:t>b</w:t>
      </w:r>
      <w:r w:rsidR="00A40DF5">
        <w:rPr>
          <w:rFonts w:eastAsia="Calibri" w:cs="Arial"/>
          <w:lang w:val="en-AU" w:eastAsia="en-AU"/>
        </w:rPr>
        <w:t>oosting our space industry capability and working to establish Australia as a space-faring nation.</w:t>
      </w:r>
      <w:r w:rsidR="00A40DF5" w:rsidRPr="00701173">
        <w:rPr>
          <w:rFonts w:eastAsia="Calibri" w:cs="Arial"/>
          <w:lang w:val="en-AU" w:eastAsia="en-AU"/>
        </w:rPr>
        <w:t xml:space="preserve"> </w:t>
      </w:r>
    </w:p>
    <w:p w:rsidR="009A319D" w:rsidRPr="00701173" w:rsidRDefault="00BA7A7F" w:rsidP="004331E9">
      <w:pPr>
        <w:keepLines w:val="0"/>
        <w:spacing w:line="240" w:lineRule="exact"/>
        <w:rPr>
          <w:rFonts w:eastAsia="Calibri" w:cs="Arial"/>
          <w:sz w:val="22"/>
          <w:szCs w:val="22"/>
        </w:rPr>
      </w:pPr>
      <w:r w:rsidRPr="00701173">
        <w:rPr>
          <w:rFonts w:eastAsia="Calibri" w:cs="Arial"/>
          <w:sz w:val="22"/>
          <w:szCs w:val="22"/>
        </w:rPr>
        <w:t>The Hon Keith Pitt MP is responsible for Resources. Minister Pitt is charged with:</w:t>
      </w:r>
    </w:p>
    <w:p w:rsidR="009A319D" w:rsidRPr="00701173" w:rsidRDefault="00BA7A7F" w:rsidP="00087CA8">
      <w:pPr>
        <w:pStyle w:val="ListParagraph"/>
        <w:numPr>
          <w:ilvl w:val="0"/>
          <w:numId w:val="2"/>
        </w:numPr>
        <w:ind w:left="284" w:hanging="284"/>
        <w:contextualSpacing w:val="0"/>
        <w:rPr>
          <w:rFonts w:eastAsia="Calibri" w:cs="Arial"/>
          <w:lang w:val="en-AU" w:eastAsia="en-AU"/>
        </w:rPr>
      </w:pPr>
      <w:r>
        <w:rPr>
          <w:rFonts w:eastAsia="Calibri" w:cs="Arial"/>
          <w:lang w:val="en-AU" w:eastAsia="en-AU"/>
        </w:rPr>
        <w:t>w</w:t>
      </w:r>
      <w:r w:rsidR="00A40DF5" w:rsidRPr="00701173">
        <w:rPr>
          <w:rFonts w:eastAsia="Calibri" w:cs="Arial"/>
          <w:lang w:val="en-AU" w:eastAsia="en-AU"/>
        </w:rPr>
        <w:t xml:space="preserve">orking closely with the Australian resources and critical minerals sectors, </w:t>
      </w:r>
      <w:r w:rsidR="00A40DF5">
        <w:rPr>
          <w:rFonts w:eastAsia="Calibri" w:cs="Arial"/>
          <w:lang w:val="en-AU" w:eastAsia="en-AU"/>
        </w:rPr>
        <w:t>which are m</w:t>
      </w:r>
      <w:r w:rsidR="00A40DF5" w:rsidRPr="00701173">
        <w:rPr>
          <w:rFonts w:eastAsia="Calibri" w:cs="Arial"/>
          <w:lang w:val="en-AU" w:eastAsia="en-AU"/>
        </w:rPr>
        <w:t xml:space="preserve">ajor contributors to Australia’s economic prosperity, and for positioning Australia as a reliable, responsible and </w:t>
      </w:r>
      <w:r w:rsidR="00F40F3F">
        <w:rPr>
          <w:rFonts w:eastAsia="Calibri" w:cs="Arial"/>
          <w:lang w:val="en-AU" w:eastAsia="en-AU"/>
        </w:rPr>
        <w:t xml:space="preserve">secure partner for the supply </w:t>
      </w:r>
      <w:r w:rsidR="00A40DF5" w:rsidRPr="00701173">
        <w:rPr>
          <w:rFonts w:eastAsia="Calibri" w:cs="Arial"/>
          <w:lang w:val="en-AU" w:eastAsia="en-AU"/>
        </w:rPr>
        <w:t>of mineral resources to the world.</w:t>
      </w:r>
    </w:p>
    <w:p w:rsidR="00865F65" w:rsidRPr="00865F65" w:rsidRDefault="00865F65" w:rsidP="00865F65">
      <w:pPr>
        <w:keepLines w:val="0"/>
        <w:spacing w:after="0" w:line="240" w:lineRule="auto"/>
        <w:ind w:left="284" w:hanging="284"/>
        <w:rPr>
          <w:rFonts w:eastAsia="Calibri" w:cs="Arial"/>
          <w:sz w:val="4"/>
          <w:szCs w:val="4"/>
        </w:rPr>
      </w:pPr>
    </w:p>
    <w:p w:rsidR="00865F65" w:rsidRPr="00865F65" w:rsidRDefault="00865F65" w:rsidP="00865F65">
      <w:pPr>
        <w:keepLines w:val="0"/>
        <w:spacing w:after="0" w:line="240" w:lineRule="auto"/>
        <w:ind w:left="284" w:hanging="284"/>
        <w:rPr>
          <w:rFonts w:eastAsia="Calibri" w:cs="Arial"/>
          <w:vanish/>
          <w:sz w:val="2"/>
          <w:szCs w:val="2"/>
        </w:rPr>
        <w:sectPr w:rsidR="00865F65" w:rsidRPr="00865F65" w:rsidSect="00B571D1">
          <w:headerReference w:type="even" r:id="rId79"/>
          <w:headerReference w:type="default" r:id="rId80"/>
          <w:footerReference w:type="even" r:id="rId81"/>
          <w:footerReference w:type="default" r:id="rId82"/>
          <w:headerReference w:type="first" r:id="rId83"/>
          <w:footerReference w:type="first" r:id="rId84"/>
          <w:type w:val="continuous"/>
          <w:pgSz w:w="11906" w:h="16838"/>
          <w:pgMar w:top="2466" w:right="2098" w:bottom="2466" w:left="2098" w:header="1899" w:footer="1899" w:gutter="0"/>
          <w:pgBorders>
            <w:top w:val="nil"/>
            <w:left w:val="nil"/>
            <w:bottom w:val="nil"/>
            <w:right w:val="nil"/>
          </w:pgBorders>
          <w:cols w:space="720"/>
          <w:docGrid w:linePitch="360"/>
        </w:sectPr>
      </w:pPr>
    </w:p>
    <w:p w:rsidR="00C26EF8" w:rsidRPr="00E22205" w:rsidRDefault="00BA7A7F" w:rsidP="00E95CD6">
      <w:pPr>
        <w:keepLines w:val="0"/>
        <w:pageBreakBefore/>
        <w:rPr>
          <w:rFonts w:eastAsia="Calibri" w:cs="Arial"/>
          <w:sz w:val="22"/>
          <w:szCs w:val="22"/>
          <w:bdr w:val="none" w:sz="0" w:space="0" w:color="auto" w:frame="1"/>
          <w:lang w:val="en-US" w:eastAsia="en-US"/>
        </w:rPr>
      </w:pPr>
      <w:bookmarkStart w:id="41" w:name="RG_MARKER_11852"/>
      <w:r w:rsidRPr="00E22205">
        <w:rPr>
          <w:rFonts w:eastAsia="Calibri" w:cs="Arial"/>
          <w:sz w:val="22"/>
          <w:szCs w:val="22"/>
          <w:bdr w:val="none" w:sz="0" w:space="0" w:color="auto" w:frame="1"/>
          <w:lang w:val="en-US" w:eastAsia="en-US"/>
        </w:rPr>
        <w:t>The portfolio was established by the Administrative Arrangements Orders made on 18 March 2021 and amended on 15 April 2021 and 2 July 2021 and comprises:</w:t>
      </w:r>
      <w:bookmarkEnd w:id="41"/>
    </w:p>
    <w:p w:rsidR="00E565F1" w:rsidRDefault="00BA7A7F" w:rsidP="00E95CD6">
      <w:pPr>
        <w:keepLines w:val="0"/>
        <w:spacing w:before="120"/>
        <w:rPr>
          <w:rFonts w:eastAsia="Calibri" w:cs="Arial"/>
          <w:b/>
          <w:sz w:val="22"/>
          <w:szCs w:val="22"/>
          <w:bdr w:val="none" w:sz="0" w:space="0" w:color="auto" w:frame="1"/>
          <w:lang w:val="en-US" w:eastAsia="en-US"/>
        </w:rPr>
      </w:pPr>
      <w:r>
        <w:rPr>
          <w:rFonts w:eastAsia="Calibri" w:cs="Arial"/>
          <w:b/>
          <w:sz w:val="22"/>
          <w:szCs w:val="22"/>
          <w:bdr w:val="none" w:sz="0" w:space="0" w:color="auto" w:frame="1"/>
          <w:lang w:val="en-US" w:eastAsia="en-US"/>
        </w:rPr>
        <w:t>Department of Industry, Science, Energy and Resources (the department)</w:t>
      </w:r>
    </w:p>
    <w:p w:rsidR="00E565F1" w:rsidRPr="00E565F1" w:rsidRDefault="00BA7A7F" w:rsidP="00E95CD6">
      <w:pPr>
        <w:keepLines w:val="0"/>
        <w:rPr>
          <w:rFonts w:eastAsia="Calibri" w:cs="Arial"/>
          <w:sz w:val="22"/>
          <w:szCs w:val="22"/>
          <w:bdr w:val="none" w:sz="0" w:space="0" w:color="auto" w:frame="1"/>
          <w:lang w:val="en-US" w:eastAsia="en-US"/>
        </w:rPr>
      </w:pPr>
      <w:r>
        <w:rPr>
          <w:rFonts w:eastAsia="Calibri" w:cs="Arial"/>
          <w:sz w:val="22"/>
          <w:szCs w:val="22"/>
          <w:bdr w:val="none" w:sz="0" w:space="0" w:color="auto" w:frame="1"/>
          <w:lang w:val="en-US" w:eastAsia="en-US"/>
        </w:rPr>
        <w:t>The department</w:t>
      </w:r>
      <w:r w:rsidRPr="00E565F1">
        <w:rPr>
          <w:rFonts w:eastAsia="Calibri" w:cs="Arial"/>
          <w:sz w:val="22"/>
          <w:szCs w:val="22"/>
          <w:bdr w:val="none" w:sz="0" w:space="0" w:color="auto" w:frame="1"/>
          <w:lang w:val="en-US" w:eastAsia="en-US"/>
        </w:rPr>
        <w:t xml:space="preserve"> supports economic recovery, productivity and growth, and job creation for Australians by supporting</w:t>
      </w:r>
      <w:r>
        <w:rPr>
          <w:rFonts w:eastAsia="Calibri" w:cs="Arial"/>
          <w:sz w:val="22"/>
          <w:szCs w:val="22"/>
          <w:bdr w:val="none" w:sz="0" w:space="0" w:color="auto" w:frame="1"/>
          <w:lang w:val="en-US" w:eastAsia="en-US"/>
        </w:rPr>
        <w:t xml:space="preserve"> industry,</w:t>
      </w:r>
      <w:r w:rsidRPr="00E565F1">
        <w:rPr>
          <w:rFonts w:eastAsia="Calibri" w:cs="Arial"/>
          <w:sz w:val="22"/>
          <w:szCs w:val="22"/>
          <w:bdr w:val="none" w:sz="0" w:space="0" w:color="auto" w:frame="1"/>
          <w:lang w:val="en-US" w:eastAsia="en-US"/>
        </w:rPr>
        <w:t xml:space="preserve"> manufacturing, business capability, technology, science and innovation, particularly in emerging growth sectors such as space and artificial intelligence. </w:t>
      </w:r>
      <w:r>
        <w:rPr>
          <w:rFonts w:eastAsia="Calibri" w:cs="Arial"/>
          <w:sz w:val="22"/>
          <w:szCs w:val="22"/>
          <w:bdr w:val="none" w:sz="0" w:space="0" w:color="auto" w:frame="1"/>
          <w:lang w:val="en-US" w:eastAsia="en-US"/>
        </w:rPr>
        <w:t>In support of economic growth, productivity and job creation, the department supports</w:t>
      </w:r>
      <w:r w:rsidRPr="00E565F1">
        <w:rPr>
          <w:rFonts w:eastAsia="Calibri" w:cs="Arial"/>
          <w:sz w:val="22"/>
          <w:szCs w:val="22"/>
          <w:bdr w:val="none" w:sz="0" w:space="0" w:color="auto" w:frame="1"/>
          <w:lang w:val="en-US" w:eastAsia="en-US"/>
        </w:rPr>
        <w:t xml:space="preserve"> the affordable, reliable, secure and competitive operation of energy markets and Australia’s </w:t>
      </w:r>
      <w:r>
        <w:rPr>
          <w:rFonts w:eastAsia="Calibri" w:cs="Arial"/>
          <w:sz w:val="22"/>
          <w:szCs w:val="22"/>
          <w:bdr w:val="none" w:sz="0" w:space="0" w:color="auto" w:frame="1"/>
          <w:lang w:val="en-US" w:eastAsia="en-US"/>
        </w:rPr>
        <w:t xml:space="preserve">efforts </w:t>
      </w:r>
      <w:r w:rsidRPr="00E565F1">
        <w:rPr>
          <w:rFonts w:eastAsia="Calibri" w:cs="Arial"/>
          <w:sz w:val="22"/>
          <w:szCs w:val="22"/>
          <w:bdr w:val="none" w:sz="0" w:space="0" w:color="auto" w:frame="1"/>
          <w:lang w:val="en-US" w:eastAsia="en-US"/>
        </w:rPr>
        <w:t>to</w:t>
      </w:r>
      <w:r>
        <w:rPr>
          <w:rFonts w:eastAsia="Calibri" w:cs="Arial"/>
          <w:sz w:val="22"/>
          <w:szCs w:val="22"/>
          <w:bdr w:val="none" w:sz="0" w:space="0" w:color="auto" w:frame="1"/>
          <w:lang w:val="en-US" w:eastAsia="en-US"/>
        </w:rPr>
        <w:t xml:space="preserve"> achieve net zero emissions by 2050, </w:t>
      </w:r>
      <w:r w:rsidRPr="00E565F1">
        <w:rPr>
          <w:rFonts w:eastAsia="Calibri" w:cs="Arial"/>
          <w:sz w:val="22"/>
          <w:szCs w:val="22"/>
          <w:bdr w:val="none" w:sz="0" w:space="0" w:color="auto" w:frame="1"/>
          <w:lang w:val="en-US" w:eastAsia="en-US"/>
        </w:rPr>
        <w:t xml:space="preserve">including </w:t>
      </w:r>
      <w:r>
        <w:rPr>
          <w:rFonts w:eastAsia="Calibri" w:cs="Arial"/>
          <w:sz w:val="22"/>
          <w:szCs w:val="22"/>
          <w:bdr w:val="none" w:sz="0" w:space="0" w:color="auto" w:frame="1"/>
          <w:lang w:val="en-US" w:eastAsia="en-US"/>
        </w:rPr>
        <w:t xml:space="preserve">by </w:t>
      </w:r>
      <w:r w:rsidRPr="00E565F1">
        <w:rPr>
          <w:rFonts w:eastAsia="Calibri" w:cs="Arial"/>
          <w:sz w:val="22"/>
          <w:szCs w:val="22"/>
          <w:bdr w:val="none" w:sz="0" w:space="0" w:color="auto" w:frame="1"/>
          <w:lang w:val="en-US" w:eastAsia="en-US"/>
        </w:rPr>
        <w:t>encouraging the commercialisation and uptake o</w:t>
      </w:r>
      <w:r>
        <w:rPr>
          <w:rFonts w:eastAsia="Calibri" w:cs="Arial"/>
          <w:sz w:val="22"/>
          <w:szCs w:val="22"/>
          <w:bdr w:val="none" w:sz="0" w:space="0" w:color="auto" w:frame="1"/>
          <w:lang w:val="en-US" w:eastAsia="en-US"/>
        </w:rPr>
        <w:t>f low emissions technologies. The department</w:t>
      </w:r>
      <w:r w:rsidRPr="00E565F1">
        <w:rPr>
          <w:rFonts w:eastAsia="Calibri" w:cs="Arial"/>
          <w:sz w:val="22"/>
          <w:szCs w:val="22"/>
          <w:bdr w:val="none" w:sz="0" w:space="0" w:color="auto" w:frame="1"/>
          <w:lang w:val="en-US" w:eastAsia="en-US"/>
        </w:rPr>
        <w:t xml:space="preserve"> also backs Australia’s strong resources sector by supporting the development of Australia’s mineral and energy resources for the benefit of the nation.</w:t>
      </w:r>
    </w:p>
    <w:p w:rsidR="00E565F1" w:rsidRDefault="00BA7A7F" w:rsidP="00E95CD6">
      <w:pPr>
        <w:keepLines w:val="0"/>
        <w:spacing w:before="120"/>
        <w:rPr>
          <w:rFonts w:eastAsia="Calibri" w:cs="Arial"/>
          <w:sz w:val="22"/>
          <w:szCs w:val="22"/>
          <w:bdr w:val="none" w:sz="0" w:space="0" w:color="auto" w:frame="1"/>
          <w:lang w:val="en-US" w:eastAsia="en-US"/>
        </w:rPr>
      </w:pPr>
      <w:r>
        <w:rPr>
          <w:rFonts w:eastAsia="Calibri" w:cs="Arial"/>
          <w:b/>
          <w:sz w:val="22"/>
          <w:szCs w:val="22"/>
          <w:bdr w:val="none" w:sz="0" w:space="0" w:color="auto" w:frame="1"/>
          <w:lang w:val="en-US" w:eastAsia="en-US"/>
        </w:rPr>
        <w:t>Australian Institute of Marine Science (AIMS)</w:t>
      </w:r>
    </w:p>
    <w:p w:rsidR="00E565F1" w:rsidRDefault="00BA7A7F" w:rsidP="00E95CD6">
      <w:pPr>
        <w:keepLines w:val="0"/>
        <w:rPr>
          <w:rFonts w:eastAsia="Calibri" w:cs="Arial"/>
          <w:sz w:val="22"/>
          <w:szCs w:val="22"/>
          <w:bdr w:val="none" w:sz="0" w:space="0" w:color="auto" w:frame="1"/>
          <w:lang w:val="en-US" w:eastAsia="en-US"/>
        </w:rPr>
      </w:pPr>
      <w:r>
        <w:rPr>
          <w:rFonts w:eastAsia="Calibri" w:cs="Arial"/>
          <w:sz w:val="22"/>
          <w:szCs w:val="22"/>
          <w:bdr w:val="none" w:sz="0" w:space="0" w:color="auto" w:frame="1"/>
          <w:lang w:val="en-US" w:eastAsia="en-US"/>
        </w:rPr>
        <w:t>AIMS’ mission is to provide the research and knowledge of Australia’s tropical marine estate required to support growth in its sustainable use, effective environmental management and protection of its unique ecosystems.</w:t>
      </w:r>
    </w:p>
    <w:p w:rsidR="00E565F1" w:rsidRDefault="00BA7A7F" w:rsidP="00E95CD6">
      <w:pPr>
        <w:keepLines w:val="0"/>
        <w:rPr>
          <w:rFonts w:eastAsia="Calibri" w:cs="Arial"/>
          <w:b/>
          <w:sz w:val="22"/>
          <w:szCs w:val="22"/>
          <w:bdr w:val="none" w:sz="0" w:space="0" w:color="auto" w:frame="1"/>
          <w:lang w:val="en-US" w:eastAsia="en-US"/>
        </w:rPr>
      </w:pPr>
      <w:r>
        <w:rPr>
          <w:rFonts w:eastAsia="Calibri" w:cs="Arial"/>
          <w:b/>
          <w:sz w:val="22"/>
          <w:szCs w:val="22"/>
          <w:bdr w:val="none" w:sz="0" w:space="0" w:color="auto" w:frame="1"/>
          <w:lang w:val="en-US" w:eastAsia="en-US"/>
        </w:rPr>
        <w:t>Australian Nuclear Science and Technology Organisation (ANSTO)</w:t>
      </w:r>
    </w:p>
    <w:p w:rsidR="00E565F1" w:rsidRDefault="00BA7A7F" w:rsidP="00E95CD6">
      <w:pPr>
        <w:keepLines w:val="0"/>
        <w:rPr>
          <w:rFonts w:eastAsia="Calibri" w:cs="Arial"/>
          <w:sz w:val="22"/>
          <w:szCs w:val="22"/>
          <w:bdr w:val="none" w:sz="0" w:space="0" w:color="auto" w:frame="1"/>
          <w:lang w:val="en-US" w:eastAsia="en-US"/>
        </w:rPr>
      </w:pPr>
      <w:r>
        <w:rPr>
          <w:rFonts w:eastAsia="Calibri" w:cs="Arial"/>
          <w:sz w:val="22"/>
          <w:szCs w:val="22"/>
          <w:bdr w:val="none" w:sz="0" w:space="0" w:color="auto" w:frame="1"/>
          <w:lang w:val="en-US" w:eastAsia="en-US"/>
        </w:rPr>
        <w:t>ANSTO is Australia’s national nuclear research and development organisation and the custodian of Australia’s nuclear capabilities and expertise, including the provision of life-saving nuclear medicines for Australians.</w:t>
      </w:r>
    </w:p>
    <w:p w:rsidR="00E565F1" w:rsidRDefault="00BA7A7F" w:rsidP="00E95CD6">
      <w:pPr>
        <w:keepLines w:val="0"/>
        <w:rPr>
          <w:rFonts w:eastAsia="Calibri" w:cs="Arial"/>
          <w:b/>
          <w:sz w:val="22"/>
          <w:szCs w:val="22"/>
          <w:bdr w:val="none" w:sz="0" w:space="0" w:color="auto" w:frame="1"/>
          <w:lang w:val="en-US" w:eastAsia="en-US"/>
        </w:rPr>
      </w:pPr>
      <w:r>
        <w:rPr>
          <w:rFonts w:eastAsia="Calibri" w:cs="Arial"/>
          <w:b/>
          <w:sz w:val="22"/>
          <w:szCs w:val="22"/>
          <w:bdr w:val="none" w:sz="0" w:space="0" w:color="auto" w:frame="1"/>
          <w:lang w:val="en-US" w:eastAsia="en-US"/>
        </w:rPr>
        <w:t>Australian Renewable Energy Agency (ARENA)</w:t>
      </w:r>
    </w:p>
    <w:p w:rsidR="00A5003A" w:rsidRDefault="00BA7A7F" w:rsidP="00E95CD6">
      <w:pPr>
        <w:keepLines w:val="0"/>
        <w:rPr>
          <w:rFonts w:eastAsia="Calibri" w:cs="Arial"/>
          <w:sz w:val="22"/>
          <w:szCs w:val="22"/>
          <w:bdr w:val="none" w:sz="0" w:space="0" w:color="auto" w:frame="1"/>
          <w:lang w:val="en-US" w:eastAsia="en-US"/>
        </w:rPr>
      </w:pPr>
      <w:r w:rsidRPr="00A5003A">
        <w:rPr>
          <w:rFonts w:eastAsia="Calibri" w:cs="Arial"/>
          <w:sz w:val="22"/>
          <w:szCs w:val="22"/>
          <w:bdr w:val="none" w:sz="0" w:space="0" w:color="auto" w:frame="1"/>
          <w:lang w:val="en-US" w:eastAsia="en-US"/>
        </w:rPr>
        <w:t xml:space="preserve">ARENA’s purpose is to support improvements in the competitiveness and supply of renewable energy and other low emissions technologies by providing financial assistance and sharing knowledge, to accelerate innovation that benefits all Australians.  </w:t>
      </w:r>
    </w:p>
    <w:p w:rsidR="00E565F1" w:rsidRDefault="00BA7A7F" w:rsidP="00E95CD6">
      <w:pPr>
        <w:keepLines w:val="0"/>
        <w:rPr>
          <w:rFonts w:eastAsia="Calibri" w:cs="Arial"/>
          <w:b/>
          <w:sz w:val="22"/>
          <w:szCs w:val="22"/>
          <w:bdr w:val="none" w:sz="0" w:space="0" w:color="auto" w:frame="1"/>
          <w:lang w:val="en-US" w:eastAsia="en-US"/>
        </w:rPr>
      </w:pPr>
      <w:r>
        <w:rPr>
          <w:rFonts w:eastAsia="Calibri" w:cs="Arial"/>
          <w:b/>
          <w:sz w:val="22"/>
          <w:szCs w:val="22"/>
          <w:bdr w:val="none" w:sz="0" w:space="0" w:color="auto" w:frame="1"/>
          <w:lang w:val="en-US" w:eastAsia="en-US"/>
        </w:rPr>
        <w:t>Clean Energy Finance Corporation (CEFC)</w:t>
      </w:r>
    </w:p>
    <w:p w:rsidR="00E565F1" w:rsidRDefault="00BA7A7F" w:rsidP="00E95CD6">
      <w:pPr>
        <w:keepLines w:val="0"/>
        <w:rPr>
          <w:rFonts w:eastAsia="Calibri" w:cs="Arial"/>
          <w:b/>
          <w:sz w:val="22"/>
          <w:szCs w:val="22"/>
          <w:bdr w:val="none" w:sz="0" w:space="0" w:color="auto" w:frame="1"/>
          <w:lang w:val="en-US" w:eastAsia="en-US"/>
        </w:rPr>
      </w:pPr>
      <w:r>
        <w:rPr>
          <w:rFonts w:eastAsia="Calibri" w:cs="Arial"/>
          <w:sz w:val="22"/>
          <w:szCs w:val="22"/>
          <w:bdr w:val="none" w:sz="0" w:space="0" w:color="auto" w:frame="1"/>
          <w:lang w:val="en-US" w:eastAsia="en-US"/>
        </w:rPr>
        <w:t>CEFC seeks to mobilise capital investment in renewable energy, low-emissions technology and energy efficiency in Australia through commercial loans, equity investments and in limited circumstances, loan guarantees.</w:t>
      </w:r>
    </w:p>
    <w:p w:rsidR="008E1516" w:rsidRDefault="00BA7A7F" w:rsidP="00E95CD6">
      <w:pPr>
        <w:keepLines w:val="0"/>
        <w:rPr>
          <w:rFonts w:eastAsia="Calibri" w:cs="Arial"/>
          <w:b/>
          <w:sz w:val="22"/>
          <w:szCs w:val="22"/>
          <w:bdr w:val="none" w:sz="0" w:space="0" w:color="auto" w:frame="1"/>
          <w:lang w:val="en-US" w:eastAsia="en-US"/>
        </w:rPr>
      </w:pPr>
      <w:r>
        <w:rPr>
          <w:rFonts w:eastAsia="Calibri" w:cs="Arial"/>
          <w:b/>
          <w:sz w:val="22"/>
          <w:szCs w:val="22"/>
          <w:bdr w:val="none" w:sz="0" w:space="0" w:color="auto" w:frame="1"/>
          <w:lang w:val="en-US" w:eastAsia="en-US"/>
        </w:rPr>
        <w:br w:type="page"/>
      </w:r>
    </w:p>
    <w:p w:rsidR="00E565F1" w:rsidRDefault="00BA7A7F" w:rsidP="00E95CD6">
      <w:pPr>
        <w:keepLines w:val="0"/>
        <w:rPr>
          <w:rFonts w:eastAsia="Calibri" w:cs="Arial"/>
          <w:b/>
          <w:sz w:val="22"/>
          <w:szCs w:val="22"/>
          <w:bdr w:val="none" w:sz="0" w:space="0" w:color="auto" w:frame="1"/>
          <w:lang w:val="en-US" w:eastAsia="en-US"/>
        </w:rPr>
      </w:pPr>
      <w:r>
        <w:rPr>
          <w:rFonts w:eastAsia="Calibri" w:cs="Arial"/>
          <w:b/>
          <w:sz w:val="22"/>
          <w:szCs w:val="22"/>
          <w:bdr w:val="none" w:sz="0" w:space="0" w:color="auto" w:frame="1"/>
          <w:lang w:val="en-US" w:eastAsia="en-US"/>
        </w:rPr>
        <w:t>Clean Energy Regulator (CER)</w:t>
      </w:r>
    </w:p>
    <w:p w:rsidR="00E565F1" w:rsidRDefault="00BA7A7F" w:rsidP="00E95CD6">
      <w:pPr>
        <w:keepLines w:val="0"/>
        <w:rPr>
          <w:rFonts w:eastAsia="Calibri" w:cs="Arial"/>
          <w:sz w:val="22"/>
          <w:szCs w:val="22"/>
          <w:bdr w:val="none" w:sz="0" w:space="0" w:color="auto" w:frame="1"/>
          <w:lang w:val="en-US" w:eastAsia="en-US"/>
        </w:rPr>
      </w:pPr>
      <w:r>
        <w:rPr>
          <w:rFonts w:eastAsia="Calibri" w:cs="Arial"/>
          <w:sz w:val="22"/>
          <w:szCs w:val="22"/>
          <w:bdr w:val="none" w:sz="0" w:space="0" w:color="auto" w:frame="1"/>
          <w:lang w:val="en-US" w:eastAsia="en-US"/>
        </w:rPr>
        <w:t>CER contributes to a reduction in Australia’s net greenhouse gas emissions throu</w:t>
      </w:r>
      <w:r w:rsidR="000B1C10">
        <w:rPr>
          <w:rFonts w:eastAsia="Calibri" w:cs="Arial"/>
          <w:sz w:val="22"/>
          <w:szCs w:val="22"/>
          <w:bdr w:val="none" w:sz="0" w:space="0" w:color="auto" w:frame="1"/>
          <w:lang w:val="en-US" w:eastAsia="en-US"/>
        </w:rPr>
        <w:t>gh the administration of market-</w:t>
      </w:r>
      <w:r>
        <w:rPr>
          <w:rFonts w:eastAsia="Calibri" w:cs="Arial"/>
          <w:sz w:val="22"/>
          <w:szCs w:val="22"/>
          <w:bdr w:val="none" w:sz="0" w:space="0" w:color="auto" w:frame="1"/>
          <w:lang w:val="en-US" w:eastAsia="en-US"/>
        </w:rPr>
        <w:t>based mechanisms that incentivise reduction in emissions and the promotion of additional ren</w:t>
      </w:r>
      <w:r w:rsidR="00003A85">
        <w:rPr>
          <w:rFonts w:eastAsia="Calibri" w:cs="Arial"/>
          <w:sz w:val="22"/>
          <w:szCs w:val="22"/>
          <w:bdr w:val="none" w:sz="0" w:space="0" w:color="auto" w:frame="1"/>
          <w:lang w:val="en-US" w:eastAsia="en-US"/>
        </w:rPr>
        <w:t xml:space="preserve">ewable electricity generation. </w:t>
      </w:r>
      <w:r>
        <w:rPr>
          <w:rFonts w:eastAsia="Calibri" w:cs="Arial"/>
          <w:sz w:val="22"/>
          <w:szCs w:val="22"/>
          <w:bdr w:val="none" w:sz="0" w:space="0" w:color="auto" w:frame="1"/>
          <w:lang w:val="en-US" w:eastAsia="en-US"/>
        </w:rPr>
        <w:t>CER also provides data and information to Commonwealth organisations for policy development and to meet international reporting obligations. In addition, this information and data is provided to state and territory organisations to reduce their need to duplicate emissions and energy reporting.</w:t>
      </w:r>
    </w:p>
    <w:p w:rsidR="00E565F1" w:rsidRDefault="00BA7A7F" w:rsidP="00E95CD6">
      <w:pPr>
        <w:keepLines w:val="0"/>
        <w:rPr>
          <w:rFonts w:eastAsia="Calibri" w:cs="Arial"/>
          <w:b/>
          <w:sz w:val="22"/>
          <w:szCs w:val="22"/>
          <w:bdr w:val="none" w:sz="0" w:space="0" w:color="auto" w:frame="1"/>
          <w:lang w:val="en-US" w:eastAsia="en-US"/>
        </w:rPr>
      </w:pPr>
      <w:r>
        <w:rPr>
          <w:rFonts w:eastAsia="Calibri" w:cs="Arial"/>
          <w:b/>
          <w:sz w:val="22"/>
          <w:szCs w:val="22"/>
          <w:bdr w:val="none" w:sz="0" w:space="0" w:color="auto" w:frame="1"/>
          <w:lang w:val="en-US" w:eastAsia="en-US"/>
        </w:rPr>
        <w:t>Climate Change Authority (CCA)</w:t>
      </w:r>
    </w:p>
    <w:p w:rsidR="00E565F1" w:rsidRDefault="00BA7A7F" w:rsidP="00E95CD6">
      <w:pPr>
        <w:keepLines w:val="0"/>
        <w:rPr>
          <w:rFonts w:eastAsia="Calibri" w:cs="Arial"/>
          <w:sz w:val="22"/>
          <w:szCs w:val="22"/>
          <w:bdr w:val="none" w:sz="0" w:space="0" w:color="auto" w:frame="1"/>
          <w:lang w:val="en-US" w:eastAsia="en-US"/>
        </w:rPr>
      </w:pPr>
      <w:r>
        <w:rPr>
          <w:rFonts w:eastAsia="Calibri" w:cs="Arial"/>
          <w:sz w:val="22"/>
          <w:szCs w:val="22"/>
          <w:bdr w:val="none" w:sz="0" w:space="0" w:color="auto" w:frame="1"/>
          <w:lang w:val="en-US" w:eastAsia="en-US"/>
        </w:rPr>
        <w:t>CCA provides expert advice to the Australian Government on climate change initiatives, conducting regular and specifically commissioned reviews and through undertaking climate change research.</w:t>
      </w:r>
    </w:p>
    <w:p w:rsidR="00E565F1" w:rsidRDefault="00BA7A7F" w:rsidP="00E95CD6">
      <w:pPr>
        <w:keepLines w:val="0"/>
        <w:rPr>
          <w:rFonts w:eastAsia="Calibri" w:cs="Arial"/>
          <w:b/>
          <w:sz w:val="22"/>
          <w:szCs w:val="22"/>
          <w:bdr w:val="none" w:sz="0" w:space="0" w:color="auto" w:frame="1"/>
          <w:lang w:val="en-US" w:eastAsia="en-US"/>
        </w:rPr>
      </w:pPr>
      <w:r>
        <w:rPr>
          <w:rFonts w:eastAsia="Calibri" w:cs="Arial"/>
          <w:b/>
          <w:sz w:val="22"/>
          <w:szCs w:val="22"/>
          <w:bdr w:val="none" w:sz="0" w:space="0" w:color="auto" w:frame="1"/>
          <w:lang w:val="en-US" w:eastAsia="en-US"/>
        </w:rPr>
        <w:t xml:space="preserve">Commonwealth Scientific and Industrial Research Organisation (CSIRO) </w:t>
      </w:r>
    </w:p>
    <w:p w:rsidR="00A744E5" w:rsidRDefault="00BA7A7F" w:rsidP="00E95CD6">
      <w:pPr>
        <w:keepLines w:val="0"/>
        <w:rPr>
          <w:rFonts w:eastAsia="Calibri" w:cs="Arial"/>
          <w:sz w:val="22"/>
          <w:szCs w:val="22"/>
          <w:bdr w:val="none" w:sz="0" w:space="0" w:color="auto" w:frame="1"/>
          <w:lang w:val="en-US" w:eastAsia="en-US"/>
        </w:rPr>
      </w:pPr>
      <w:r w:rsidRPr="00A744E5">
        <w:rPr>
          <w:rFonts w:eastAsia="Calibri" w:cs="Arial"/>
          <w:sz w:val="22"/>
          <w:szCs w:val="22"/>
          <w:bdr w:val="none" w:sz="0" w:space="0" w:color="auto" w:frame="1"/>
          <w:lang w:val="en-US" w:eastAsia="en-US"/>
        </w:rPr>
        <w:t xml:space="preserve">CSIRO is Australia’s national science agency and innovation catalyst, collaborating across sectors to boost innovation performance to solve Australia’s greatest challenges through innovative science and technology. </w:t>
      </w:r>
    </w:p>
    <w:p w:rsidR="00E565F1" w:rsidRDefault="00BA7A7F" w:rsidP="00E95CD6">
      <w:pPr>
        <w:keepLines w:val="0"/>
        <w:rPr>
          <w:rFonts w:eastAsia="Calibri" w:cs="Arial"/>
          <w:b/>
          <w:sz w:val="22"/>
          <w:szCs w:val="22"/>
          <w:bdr w:val="none" w:sz="0" w:space="0" w:color="auto" w:frame="1"/>
          <w:lang w:val="en-US" w:eastAsia="en-US"/>
        </w:rPr>
      </w:pPr>
      <w:r>
        <w:rPr>
          <w:rFonts w:eastAsia="Calibri" w:cs="Arial"/>
          <w:b/>
          <w:sz w:val="22"/>
          <w:szCs w:val="22"/>
          <w:bdr w:val="none" w:sz="0" w:space="0" w:color="auto" w:frame="1"/>
          <w:lang w:val="en-US" w:eastAsia="en-US"/>
        </w:rPr>
        <w:t>Geoscience Australia</w:t>
      </w:r>
    </w:p>
    <w:p w:rsidR="00E565F1" w:rsidRDefault="00BA7A7F" w:rsidP="00E95CD6">
      <w:pPr>
        <w:keepLines w:val="0"/>
        <w:rPr>
          <w:rFonts w:eastAsia="Calibri" w:cs="Arial"/>
          <w:sz w:val="22"/>
          <w:szCs w:val="22"/>
          <w:bdr w:val="none" w:sz="0" w:space="0" w:color="auto" w:frame="1"/>
          <w:lang w:val="en-US" w:eastAsia="en-US"/>
        </w:rPr>
      </w:pPr>
      <w:r>
        <w:rPr>
          <w:rFonts w:eastAsia="Calibri" w:cs="Arial"/>
          <w:sz w:val="22"/>
          <w:szCs w:val="22"/>
          <w:bdr w:val="none" w:sz="0" w:space="0" w:color="auto" w:frame="1"/>
          <w:lang w:val="en-US" w:eastAsia="en-US"/>
        </w:rPr>
        <w:t>Geoscience Australia is Australia’s national public sector geoscience organisation and the nation’s trusted adviser on the geology and geography of Australia. Geoscience Australia applies science and technology to describe and understand the Earth for the benefit of Australia.</w:t>
      </w:r>
    </w:p>
    <w:p w:rsidR="00E565F1" w:rsidRDefault="00BA7A7F" w:rsidP="00E95CD6">
      <w:pPr>
        <w:keepLines w:val="0"/>
        <w:rPr>
          <w:rFonts w:eastAsia="Calibri" w:cs="Arial"/>
          <w:b/>
          <w:sz w:val="22"/>
          <w:szCs w:val="22"/>
          <w:bdr w:val="none" w:sz="0" w:space="0" w:color="auto" w:frame="1"/>
          <w:lang w:val="en-US" w:eastAsia="en-US"/>
        </w:rPr>
      </w:pPr>
      <w:r>
        <w:rPr>
          <w:rFonts w:eastAsia="Calibri" w:cs="Arial"/>
          <w:b/>
          <w:sz w:val="22"/>
          <w:szCs w:val="22"/>
          <w:bdr w:val="none" w:sz="0" w:space="0" w:color="auto" w:frame="1"/>
          <w:lang w:val="en-US" w:eastAsia="en-US"/>
        </w:rPr>
        <w:t>IP Australia</w:t>
      </w:r>
    </w:p>
    <w:p w:rsidR="00E565F1" w:rsidRDefault="00BA7A7F" w:rsidP="00E95CD6">
      <w:pPr>
        <w:keepLines w:val="0"/>
        <w:rPr>
          <w:rFonts w:eastAsia="Calibri" w:cs="Arial"/>
          <w:sz w:val="22"/>
          <w:szCs w:val="22"/>
          <w:bdr w:val="none" w:sz="0" w:space="0" w:color="auto" w:frame="1"/>
          <w:lang w:val="en-US" w:eastAsia="en-US"/>
        </w:rPr>
      </w:pPr>
      <w:r>
        <w:rPr>
          <w:rFonts w:eastAsia="Calibri" w:cs="Arial"/>
          <w:sz w:val="22"/>
          <w:szCs w:val="22"/>
          <w:bdr w:val="none" w:sz="0" w:space="0" w:color="auto" w:frame="1"/>
          <w:lang w:val="en-US" w:eastAsia="en-US"/>
        </w:rPr>
        <w:t>IP Australia is responsible for administering Australia’s intellectual property rights system, specifically trademarks, pat</w:t>
      </w:r>
      <w:r w:rsidR="000B1C10">
        <w:rPr>
          <w:rFonts w:eastAsia="Calibri" w:cs="Arial"/>
          <w:sz w:val="22"/>
          <w:szCs w:val="22"/>
          <w:bdr w:val="none" w:sz="0" w:space="0" w:color="auto" w:frame="1"/>
          <w:lang w:val="en-US" w:eastAsia="en-US"/>
        </w:rPr>
        <w:t>ents, designs and plant breeder</w:t>
      </w:r>
      <w:r>
        <w:rPr>
          <w:rFonts w:eastAsia="Calibri" w:cs="Arial"/>
          <w:sz w:val="22"/>
          <w:szCs w:val="22"/>
          <w:bdr w:val="none" w:sz="0" w:space="0" w:color="auto" w:frame="1"/>
          <w:lang w:val="en-US" w:eastAsia="en-US"/>
        </w:rPr>
        <w:t>’s rights.</w:t>
      </w:r>
    </w:p>
    <w:p w:rsidR="00E565F1" w:rsidRDefault="00BA7A7F" w:rsidP="00E95CD6">
      <w:pPr>
        <w:keepLines w:val="0"/>
        <w:rPr>
          <w:rFonts w:eastAsia="Calibri" w:cs="Arial"/>
          <w:b/>
          <w:sz w:val="22"/>
          <w:szCs w:val="22"/>
          <w:bdr w:val="none" w:sz="0" w:space="0" w:color="auto" w:frame="1"/>
          <w:lang w:val="en-US" w:eastAsia="en-US"/>
        </w:rPr>
      </w:pPr>
      <w:r>
        <w:rPr>
          <w:rFonts w:eastAsia="Calibri" w:cs="Arial"/>
          <w:b/>
          <w:sz w:val="22"/>
          <w:szCs w:val="22"/>
          <w:bdr w:val="none" w:sz="0" w:space="0" w:color="auto" w:frame="1"/>
          <w:lang w:val="en-US" w:eastAsia="en-US"/>
        </w:rPr>
        <w:t>National Offshore Petroleum Safety and Environmental Management Authority (NOPSEMA)</w:t>
      </w:r>
    </w:p>
    <w:p w:rsidR="00E565F1" w:rsidRDefault="00BA7A7F" w:rsidP="00E95CD6">
      <w:pPr>
        <w:keepLines w:val="0"/>
        <w:rPr>
          <w:rFonts w:eastAsia="Calibri" w:cs="Arial"/>
          <w:sz w:val="22"/>
          <w:szCs w:val="22"/>
          <w:bdr w:val="none" w:sz="0" w:space="0" w:color="auto" w:frame="1"/>
          <w:lang w:val="en-US" w:eastAsia="en-US"/>
        </w:rPr>
      </w:pPr>
      <w:r>
        <w:rPr>
          <w:rFonts w:eastAsia="Calibri" w:cs="Arial"/>
          <w:sz w:val="22"/>
          <w:szCs w:val="22"/>
          <w:bdr w:val="none" w:sz="0" w:space="0" w:color="auto" w:frame="1"/>
          <w:lang w:val="en-US" w:eastAsia="en-US"/>
        </w:rPr>
        <w:t>NOPSEMA is responsible for regulating the workplace health and safety, well integrity and environmental management of petroleum and greenhouse gas storage operations in Commonwealth waters.</w:t>
      </w:r>
    </w:p>
    <w:p w:rsidR="00E565F1" w:rsidRDefault="00BA7A7F" w:rsidP="00016A33">
      <w:pPr>
        <w:keepNext/>
        <w:rPr>
          <w:rFonts w:eastAsia="Calibri" w:cs="Arial"/>
          <w:b/>
          <w:sz w:val="22"/>
          <w:szCs w:val="22"/>
          <w:bdr w:val="none" w:sz="0" w:space="0" w:color="auto" w:frame="1"/>
          <w:lang w:val="en-US" w:eastAsia="en-US"/>
        </w:rPr>
      </w:pPr>
      <w:r>
        <w:rPr>
          <w:rFonts w:eastAsia="Calibri" w:cs="Arial"/>
          <w:b/>
          <w:sz w:val="22"/>
          <w:szCs w:val="22"/>
          <w:bdr w:val="none" w:sz="0" w:space="0" w:color="auto" w:frame="1"/>
          <w:lang w:val="en-US" w:eastAsia="en-US"/>
        </w:rPr>
        <w:t xml:space="preserve">Snowy Hydro Limited </w:t>
      </w:r>
    </w:p>
    <w:p w:rsidR="00A744E5" w:rsidRDefault="00BA7A7F" w:rsidP="00016A33">
      <w:pPr>
        <w:keepNext/>
        <w:keepLines w:val="0"/>
        <w:rPr>
          <w:rFonts w:eastAsia="Calibri" w:cs="Arial"/>
          <w:sz w:val="22"/>
          <w:szCs w:val="22"/>
          <w:bdr w:val="none" w:sz="0" w:space="0" w:color="auto" w:frame="1"/>
          <w:lang w:val="en-US" w:eastAsia="en-US"/>
        </w:rPr>
      </w:pPr>
      <w:r>
        <w:rPr>
          <w:rFonts w:eastAsia="Calibri" w:cs="Arial"/>
          <w:sz w:val="22"/>
          <w:szCs w:val="22"/>
          <w:bdr w:val="none" w:sz="0" w:space="0" w:color="auto" w:frame="1"/>
          <w:lang w:val="en-US" w:eastAsia="en-US"/>
        </w:rPr>
        <w:t>Snowy Hydro Limited owns and operates 16 power stations with a combined generation capacity of 5,500 megawatts, including the Snowy Mountains Hydro Electricity Scheme, and has more than one million retail customers in the National Electricity Market.</w:t>
      </w:r>
    </w:p>
    <w:p w:rsidR="00E565F1" w:rsidRDefault="00BA7A7F" w:rsidP="00E95CD6">
      <w:pPr>
        <w:keepLines w:val="0"/>
        <w:rPr>
          <w:rFonts w:eastAsia="Calibri" w:cs="Arial"/>
          <w:sz w:val="22"/>
          <w:szCs w:val="22"/>
          <w:bdr w:val="none" w:sz="0" w:space="0" w:color="auto" w:frame="1"/>
          <w:lang w:val="en-US" w:eastAsia="en-US"/>
        </w:rPr>
      </w:pPr>
      <w:r>
        <w:rPr>
          <w:rFonts w:eastAsia="Calibri" w:cs="Arial"/>
          <w:sz w:val="22"/>
          <w:szCs w:val="22"/>
          <w:bdr w:val="none" w:sz="0" w:space="0" w:color="auto" w:frame="1"/>
          <w:lang w:val="en-US" w:eastAsia="en-US"/>
        </w:rPr>
        <w:t xml:space="preserve">Snowy Hydro Limited is a wholly-owned Commonwealth Company and Government Business Enterprise operating under the </w:t>
      </w:r>
      <w:r>
        <w:rPr>
          <w:rFonts w:eastAsia="Calibri" w:cs="Arial"/>
          <w:i/>
          <w:sz w:val="22"/>
          <w:szCs w:val="22"/>
          <w:bdr w:val="none" w:sz="0" w:space="0" w:color="auto" w:frame="1"/>
          <w:lang w:val="en-US" w:eastAsia="en-US"/>
        </w:rPr>
        <w:t>Corporations Act 2001</w:t>
      </w:r>
      <w:r>
        <w:rPr>
          <w:rFonts w:eastAsia="Calibri" w:cs="Arial"/>
          <w:sz w:val="22"/>
          <w:szCs w:val="22"/>
          <w:bdr w:val="none" w:sz="0" w:space="0" w:color="auto" w:frame="1"/>
          <w:lang w:val="en-US" w:eastAsia="en-US"/>
        </w:rPr>
        <w:t xml:space="preserve"> and the </w:t>
      </w:r>
      <w:r>
        <w:rPr>
          <w:rFonts w:eastAsia="Calibri" w:cs="Arial"/>
          <w:i/>
          <w:sz w:val="22"/>
          <w:szCs w:val="22"/>
          <w:bdr w:val="none" w:sz="0" w:space="0" w:color="auto" w:frame="1"/>
          <w:lang w:val="en-US" w:eastAsia="en-US"/>
        </w:rPr>
        <w:t>Public Governance, Performance and Accountability Act 2013</w:t>
      </w:r>
      <w:r>
        <w:rPr>
          <w:rFonts w:eastAsia="Calibri" w:cs="Arial"/>
          <w:sz w:val="22"/>
          <w:szCs w:val="22"/>
          <w:bdr w:val="none" w:sz="0" w:space="0" w:color="auto" w:frame="1"/>
          <w:lang w:val="en-US" w:eastAsia="en-US"/>
        </w:rPr>
        <w:t>. As such, financial reporting information for Snowy Hydro Limited is not disclosed in the Portfolio Budget Statements. Snowy Hydro Limited publishes financial statements in its annual reports.</w:t>
      </w:r>
    </w:p>
    <w:p w:rsidR="007B7E1D" w:rsidRPr="00E565F1" w:rsidRDefault="00BA7A7F" w:rsidP="00E95CD6">
      <w:pPr>
        <w:keepLines w:val="0"/>
        <w:rPr>
          <w:rFonts w:eastAsia="Calibri" w:cs="Arial"/>
          <w:sz w:val="22"/>
          <w:szCs w:val="22"/>
          <w:lang w:val="en-US" w:eastAsia="en-US"/>
        </w:rPr>
      </w:pPr>
      <w:r>
        <w:rPr>
          <w:rFonts w:eastAsia="Calibri" w:cs="Arial"/>
          <w:sz w:val="22"/>
          <w:szCs w:val="22"/>
          <w:lang w:val="en-US" w:eastAsia="en-US"/>
        </w:rPr>
        <w:t xml:space="preserve">For information on resourcing across the portfolio, please refer to Part 1: Agency Financial Resourcing in </w:t>
      </w:r>
      <w:r>
        <w:rPr>
          <w:rFonts w:eastAsia="Calibri" w:cs="Arial"/>
          <w:i/>
          <w:sz w:val="22"/>
          <w:szCs w:val="22"/>
          <w:lang w:val="en-US" w:eastAsia="en-US"/>
        </w:rPr>
        <w:t>Budget Paper No. 4: Agency Resourcing</w:t>
      </w:r>
      <w:r>
        <w:rPr>
          <w:rFonts w:eastAsia="Calibri" w:cs="Arial"/>
          <w:sz w:val="22"/>
          <w:szCs w:val="22"/>
          <w:lang w:val="en-US" w:eastAsia="en-US"/>
        </w:rPr>
        <w:t>.</w:t>
      </w:r>
    </w:p>
    <w:p w:rsidR="00AA057F" w:rsidRDefault="00BA7A7F" w:rsidP="00AA057F">
      <w:pPr>
        <w:pStyle w:val="TableHeading"/>
        <w:pageBreakBefore/>
      </w:pPr>
      <w:bookmarkStart w:id="42" w:name="RG_MARKER_12161"/>
      <w:r w:rsidRPr="001672B7">
        <w:t xml:space="preserve">Figure 1: </w:t>
      </w:r>
      <w:bookmarkEnd w:id="42"/>
      <w:r w:rsidRPr="001672B7">
        <w:t xml:space="preserve">Industry, Science, Energy and Resources </w:t>
      </w:r>
      <w:r>
        <w:t>p</w:t>
      </w:r>
      <w:r w:rsidRPr="001672B7">
        <w:t>ortfolio structure and outcomes</w:t>
      </w:r>
    </w:p>
    <w:p w:rsidR="00AA057F" w:rsidRDefault="00BA7A7F" w:rsidP="00AA057F">
      <w:pPr>
        <w:pStyle w:val="TableHeading"/>
      </w:pPr>
      <w:r>
        <w:rPr>
          <w:noProof/>
        </w:rPr>
        <mc:AlternateContent>
          <mc:Choice Requires="wpg">
            <w:drawing>
              <wp:anchor distT="0" distB="0" distL="114300" distR="114300" simplePos="0" relativeHeight="251660288" behindDoc="0" locked="0" layoutInCell="1" allowOverlap="1">
                <wp:simplePos x="0" y="0"/>
                <wp:positionH relativeFrom="column">
                  <wp:posOffset>4864</wp:posOffset>
                </wp:positionH>
                <wp:positionV relativeFrom="paragraph">
                  <wp:posOffset>148710</wp:posOffset>
                </wp:positionV>
                <wp:extent cx="4955201" cy="6760845"/>
                <wp:effectExtent l="0" t="0" r="17145" b="20955"/>
                <wp:wrapNone/>
                <wp:docPr id="585334842" name="Group 3"/>
                <wp:cNvGraphicFramePr/>
                <a:graphic xmlns:a="http://schemas.openxmlformats.org/drawingml/2006/main">
                  <a:graphicData uri="http://schemas.microsoft.com/office/word/2010/wordprocessingGroup">
                    <wpg:wgp>
                      <wpg:cNvGrpSpPr/>
                      <wpg:grpSpPr>
                        <a:xfrm>
                          <a:off x="0" y="0"/>
                          <a:ext cx="4955201" cy="6760845"/>
                          <a:chOff x="-601" y="0"/>
                          <a:chExt cx="5565673" cy="6769891"/>
                        </a:xfrm>
                      </wpg:grpSpPr>
                      <wps:wsp>
                        <wps:cNvPr id="30" name="Text Box 6"/>
                        <wps:cNvSpPr txBox="1"/>
                        <wps:spPr>
                          <a:xfrm>
                            <a:off x="1198" y="1487988"/>
                            <a:ext cx="5563874" cy="432677"/>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57F" w:rsidRDefault="00BA7A7F" w:rsidP="00AA057F">
                              <w:pPr>
                                <w:pStyle w:val="HeadingsBoxes"/>
                                <w:spacing w:before="60" w:after="60"/>
                                <w:rPr>
                                  <w:b w:val="0"/>
                                  <w:bCs w:val="0"/>
                                </w:rPr>
                              </w:pPr>
                              <w:r>
                                <w:rPr>
                                  <w:b w:val="0"/>
                                  <w:bCs w:val="0"/>
                                </w:rPr>
                                <w:t>Assistant Minister for Industry Development</w:t>
                              </w:r>
                            </w:p>
                            <w:p w:rsidR="00AA057F" w:rsidRDefault="00BA7A7F" w:rsidP="00AA057F">
                              <w:pPr>
                                <w:pStyle w:val="HeadingsBoxes"/>
                                <w:spacing w:before="60" w:after="60"/>
                              </w:pPr>
                              <w:r>
                                <w:rPr>
                                  <w:bCs w:val="0"/>
                                </w:rPr>
                                <w:t>Senator the Hon Jonathon Duniam</w:t>
                              </w:r>
                            </w:p>
                            <w:p w:rsidR="00AA057F" w:rsidRDefault="00AA057F" w:rsidP="00AA057F">
                              <w:pPr>
                                <w:pStyle w:val="HeadingsBoxes"/>
                                <w:spacing w:before="60" w:after="60"/>
                              </w:pPr>
                            </w:p>
                          </w:txbxContent>
                        </wps:txbx>
                        <wps:bodyPr rot="0" spcFirstLastPara="0" vert="horz" wrap="square" numCol="1" spcCol="0" rtlCol="0" fromWordArt="0" anchor="t" anchorCtr="0" forceAA="0" compatLnSpc="1">
                          <a:prstTxWarp prst="textNoShape">
                            <a:avLst/>
                          </a:prstTxWarp>
                        </wps:bodyPr>
                      </wps:wsp>
                      <wps:wsp>
                        <wps:cNvPr id="31" name="Text Box 8"/>
                        <wps:cNvSpPr txBox="1"/>
                        <wps:spPr>
                          <a:xfrm>
                            <a:off x="-601" y="485667"/>
                            <a:ext cx="5563874" cy="425368"/>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57F" w:rsidRDefault="00BA7A7F" w:rsidP="00AA057F">
                              <w:pPr>
                                <w:pStyle w:val="HeadingsBoxes"/>
                                <w:spacing w:before="60" w:after="60"/>
                                <w:rPr>
                                  <w:b w:val="0"/>
                                  <w:bCs w:val="0"/>
                                </w:rPr>
                              </w:pPr>
                              <w:r>
                                <w:rPr>
                                  <w:b w:val="0"/>
                                  <w:bCs w:val="0"/>
                                </w:rPr>
                                <w:t>Minister for Science and Technology</w:t>
                              </w:r>
                            </w:p>
                            <w:p w:rsidR="00AA057F" w:rsidRDefault="00BA7A7F" w:rsidP="00AA057F">
                              <w:pPr>
                                <w:pStyle w:val="HeadingsBoxes"/>
                                <w:spacing w:before="60" w:after="60"/>
                              </w:pPr>
                              <w:r>
                                <w:rPr>
                                  <w:bCs w:val="0"/>
                                </w:rPr>
                                <w:t>The Hon Melissa Price MP</w:t>
                              </w:r>
                            </w:p>
                            <w:p w:rsidR="00AA057F" w:rsidRDefault="00AA057F" w:rsidP="00AA057F">
                              <w:pPr>
                                <w:pStyle w:val="HeadingsBoxes"/>
                                <w:spacing w:before="60" w:after="60"/>
                                <w:rPr>
                                  <w:color w:val="auto"/>
                                </w:rPr>
                              </w:pPr>
                            </w:p>
                          </w:txbxContent>
                        </wps:txbx>
                        <wps:bodyPr rot="0" spcFirstLastPara="0" vert="horz" wrap="square" numCol="1" spcCol="0" rtlCol="0" fromWordArt="0" anchor="t" anchorCtr="0" forceAA="0" compatLnSpc="1">
                          <a:prstTxWarp prst="textNoShape">
                            <a:avLst/>
                          </a:prstTxWarp>
                        </wps:bodyPr>
                      </wps:wsp>
                      <wps:wsp>
                        <wps:cNvPr id="33" name="Text Box 10"/>
                        <wps:cNvSpPr txBox="1"/>
                        <wps:spPr>
                          <a:xfrm>
                            <a:off x="-601" y="987510"/>
                            <a:ext cx="5563874" cy="439788"/>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57F" w:rsidRDefault="00BA7A7F" w:rsidP="00AA057F">
                              <w:pPr>
                                <w:pStyle w:val="HeadingsBoxes"/>
                                <w:spacing w:before="60" w:after="60"/>
                                <w:rPr>
                                  <w:b w:val="0"/>
                                  <w:color w:val="auto"/>
                                </w:rPr>
                              </w:pPr>
                              <w:r>
                                <w:rPr>
                                  <w:b w:val="0"/>
                                  <w:color w:val="auto"/>
                                </w:rPr>
                                <w:t>Minister for Resources and Water</w:t>
                              </w:r>
                            </w:p>
                            <w:p w:rsidR="00AA057F" w:rsidRDefault="00BA7A7F" w:rsidP="00AA057F">
                              <w:pPr>
                                <w:pStyle w:val="HeadingsBoxes"/>
                                <w:spacing w:before="60" w:after="60"/>
                                <w:rPr>
                                  <w:color w:val="auto"/>
                                </w:rPr>
                              </w:pPr>
                              <w:r>
                                <w:rPr>
                                  <w:color w:val="auto"/>
                                </w:rPr>
                                <w:t>The Hon Keith Pitt MP</w:t>
                              </w:r>
                            </w:p>
                            <w:p w:rsidR="00AA057F" w:rsidRDefault="00AA057F" w:rsidP="00AA057F">
                              <w:pPr>
                                <w:pStyle w:val="HeadingsBoxes"/>
                                <w:spacing w:before="60" w:after="60"/>
                              </w:pPr>
                            </w:p>
                          </w:txbxContent>
                        </wps:txbx>
                        <wps:bodyPr rot="0" spcFirstLastPara="0" vert="horz" wrap="square" numCol="1" spcCol="0" rtlCol="0" fromWordArt="0" anchor="t" anchorCtr="0" forceAA="0" compatLnSpc="1">
                          <a:prstTxWarp prst="textNoShape">
                            <a:avLst/>
                          </a:prstTxWarp>
                        </wps:bodyPr>
                      </wps:wsp>
                      <wps:wsp>
                        <wps:cNvPr id="34" name="Text Box 15"/>
                        <wps:cNvSpPr txBox="1"/>
                        <wps:spPr>
                          <a:xfrm>
                            <a:off x="599" y="1985552"/>
                            <a:ext cx="5563875" cy="420286"/>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57F" w:rsidRDefault="00BA7A7F" w:rsidP="00AA057F">
                              <w:pPr>
                                <w:keepLines w:val="0"/>
                                <w:spacing w:before="60" w:after="0" w:line="240" w:lineRule="auto"/>
                                <w:jc w:val="center"/>
                                <w:rPr>
                                  <w:rFonts w:ascii="Arial" w:hAnsi="Arial" w:cs="Arial"/>
                                  <w:sz w:val="16"/>
                                  <w:szCs w:val="16"/>
                                </w:rPr>
                              </w:pPr>
                              <w:r>
                                <w:rPr>
                                  <w:rFonts w:ascii="Arial" w:hAnsi="Arial" w:cs="Arial"/>
                                  <w:sz w:val="16"/>
                                  <w:szCs w:val="16"/>
                                </w:rPr>
                                <w:t>Assistant Minister to the Minister for Industry, Energy and Emissions Reduction</w:t>
                              </w:r>
                            </w:p>
                            <w:p w:rsidR="00AA057F" w:rsidRDefault="00BA7A7F" w:rsidP="00AA057F">
                              <w:pPr>
                                <w:keepLines w:val="0"/>
                                <w:spacing w:before="60" w:after="144" w:line="240" w:lineRule="auto"/>
                                <w:jc w:val="center"/>
                                <w:rPr>
                                  <w:rFonts w:ascii="Arial" w:hAnsi="Arial" w:cs="Arial"/>
                                  <w:sz w:val="16"/>
                                  <w:szCs w:val="16"/>
                                </w:rPr>
                              </w:pPr>
                              <w:r>
                                <w:rPr>
                                  <w:rFonts w:ascii="Arial" w:hAnsi="Arial" w:cs="Arial"/>
                                  <w:b/>
                                  <w:sz w:val="16"/>
                                  <w:szCs w:val="16"/>
                                </w:rPr>
                                <w:t>The Hon Tim Wilson MP</w:t>
                              </w:r>
                            </w:p>
                          </w:txbxContent>
                        </wps:txbx>
                        <wps:bodyPr rot="0" spcFirstLastPara="0" vert="horz" wrap="square" numCol="1" spcCol="0" rtlCol="0" fromWordArt="0" anchor="ctr" anchorCtr="0" forceAA="0" compatLnSpc="1">
                          <a:prstTxWarp prst="textNoShape">
                            <a:avLst/>
                          </a:prstTxWarp>
                        </wps:bodyPr>
                      </wps:wsp>
                      <wps:wsp>
                        <wps:cNvPr id="35" name="Text Box 17"/>
                        <wps:cNvSpPr txBox="1"/>
                        <wps:spPr>
                          <a:xfrm>
                            <a:off x="-600" y="2483574"/>
                            <a:ext cx="5562600" cy="1616484"/>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A057F" w:rsidRDefault="00BA7A7F" w:rsidP="00AA057F">
                              <w:pPr>
                                <w:pStyle w:val="HeadingsBoxes"/>
                                <w:spacing w:before="60" w:after="60"/>
                              </w:pPr>
                              <w:r>
                                <w:t>Department of Industry, Science, Energy and Resources</w:t>
                              </w:r>
                            </w:p>
                            <w:p w:rsidR="00AA057F" w:rsidRDefault="00BA7A7F" w:rsidP="00AA057F">
                              <w:pPr>
                                <w:keepLines w:val="0"/>
                                <w:spacing w:before="60" w:after="60" w:line="240" w:lineRule="auto"/>
                                <w:jc w:val="center"/>
                                <w:rPr>
                                  <w:rFonts w:ascii="Arial" w:hAnsi="Arial" w:cs="Arial"/>
                                  <w:sz w:val="16"/>
                                  <w:szCs w:val="16"/>
                                </w:rPr>
                              </w:pPr>
                              <w:r>
                                <w:rPr>
                                  <w:rFonts w:ascii="Arial" w:hAnsi="Arial" w:cs="Arial"/>
                                  <w:sz w:val="16"/>
                                  <w:szCs w:val="16"/>
                                </w:rPr>
                                <w:t>Portfolio Secretary: Mr David Fredericks PSM</w:t>
                              </w:r>
                            </w:p>
                            <w:p w:rsidR="00AA057F" w:rsidRDefault="00BA7A7F" w:rsidP="00AA057F">
                              <w:pPr>
                                <w:keepLines w:val="0"/>
                                <w:spacing w:after="0" w:line="240" w:lineRule="auto"/>
                                <w:jc w:val="center"/>
                                <w:rPr>
                                  <w:rFonts w:ascii="Arial" w:hAnsi="Arial" w:cs="Arial"/>
                                  <w:sz w:val="16"/>
                                  <w:szCs w:val="16"/>
                                </w:rPr>
                              </w:pPr>
                              <w:r>
                                <w:rPr>
                                  <w:rFonts w:ascii="Arial" w:hAnsi="Arial" w:cs="Arial"/>
                                  <w:sz w:val="16"/>
                                  <w:szCs w:val="16"/>
                                </w:rPr>
                                <w:t>Outcome 1: Support economic growth, productivity and job creation for all Australians by investing in science, technology and commercialisation, growing innovative and competitive businesses, industries and regions, and supporting resources</w:t>
                              </w:r>
                            </w:p>
                            <w:p w:rsidR="00AA057F" w:rsidRDefault="00BA7A7F" w:rsidP="00AA057F">
                              <w:pPr>
                                <w:keepLines w:val="0"/>
                                <w:spacing w:before="60" w:after="60" w:line="240" w:lineRule="auto"/>
                                <w:jc w:val="center"/>
                                <w:rPr>
                                  <w:rFonts w:ascii="Arial" w:hAnsi="Arial" w:cs="Arial"/>
                                  <w:sz w:val="16"/>
                                  <w:szCs w:val="16"/>
                                </w:rPr>
                              </w:pPr>
                              <w:r>
                                <w:rPr>
                                  <w:rFonts w:ascii="Arial" w:hAnsi="Arial" w:cs="Arial"/>
                                  <w:sz w:val="16"/>
                                  <w:szCs w:val="16"/>
                                </w:rPr>
                                <w:t>Outcome 2: Reduce Australia’s greenhouse gas emissions, contribute to effective global action on climate change, and support technological innovation in clean and renewable energy, through developing and implementing a national response to climate change</w:t>
                              </w:r>
                            </w:p>
                            <w:p w:rsidR="00AA057F" w:rsidRDefault="00BA7A7F" w:rsidP="00AA057F">
                              <w:pPr>
                                <w:keepLines w:val="0"/>
                                <w:spacing w:before="60" w:after="60" w:line="240" w:lineRule="auto"/>
                                <w:jc w:val="center"/>
                                <w:rPr>
                                  <w:rFonts w:ascii="Arial" w:hAnsi="Arial" w:cs="Arial"/>
                                  <w:b/>
                                  <w:sz w:val="16"/>
                                  <w:szCs w:val="16"/>
                                </w:rPr>
                              </w:pPr>
                              <w:r>
                                <w:rPr>
                                  <w:rFonts w:ascii="Arial" w:hAnsi="Arial" w:cs="Arial"/>
                                  <w:sz w:val="16"/>
                                  <w:szCs w:val="16"/>
                                </w:rPr>
                                <w:t>Outcome 3: Support the affordable, reliable, secure and competitive operation of energy markets for the long term benefit of the Australian community through improving Australia’s energy supply, efficiency, quality, performance and productivity</w:t>
                              </w:r>
                            </w:p>
                          </w:txbxContent>
                        </wps:txbx>
                        <wps:bodyPr rot="0" spcFirstLastPara="0" vert="horz" wrap="square" numCol="1" spcCol="0" rtlCol="0" fromWordArt="0" anchor="t" anchorCtr="0" forceAA="0" compatLnSpc="1">
                          <a:prstTxWarp prst="textNoShape">
                            <a:avLst/>
                          </a:prstTxWarp>
                        </wps:bodyPr>
                      </wps:wsp>
                      <wps:wsp>
                        <wps:cNvPr id="36" name="Text Box 19"/>
                        <wps:cNvSpPr txBox="1"/>
                        <wps:spPr>
                          <a:xfrm>
                            <a:off x="-1" y="4167836"/>
                            <a:ext cx="5563875" cy="72145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57F" w:rsidRDefault="00BA7A7F" w:rsidP="00AA057F">
                              <w:pPr>
                                <w:pStyle w:val="HeadingsBoxes"/>
                                <w:spacing w:before="60" w:after="60"/>
                              </w:pPr>
                              <w:r>
                                <w:t>Australian Institute of Marine Science (AIMS)</w:t>
                              </w:r>
                            </w:p>
                            <w:p w:rsidR="00AA057F" w:rsidRDefault="00BA7A7F" w:rsidP="00AA057F">
                              <w:pPr>
                                <w:keepLines w:val="0"/>
                                <w:spacing w:before="60" w:after="60" w:line="240" w:lineRule="auto"/>
                                <w:jc w:val="center"/>
                                <w:rPr>
                                  <w:rFonts w:ascii="Arial" w:hAnsi="Arial" w:cs="Arial"/>
                                  <w:sz w:val="16"/>
                                  <w:szCs w:val="16"/>
                                </w:rPr>
                              </w:pPr>
                              <w:r>
                                <w:rPr>
                                  <w:rFonts w:ascii="Arial" w:hAnsi="Arial" w:cs="Arial"/>
                                  <w:sz w:val="16"/>
                                  <w:szCs w:val="16"/>
                                </w:rPr>
                                <w:t>Chief Executive Officer: Dr Paul Hardisty</w:t>
                              </w:r>
                            </w:p>
                            <w:p w:rsidR="00AA057F" w:rsidRDefault="00BA7A7F" w:rsidP="00AA057F">
                              <w:pPr>
                                <w:keepLines w:val="0"/>
                                <w:spacing w:before="60" w:after="60" w:line="240" w:lineRule="auto"/>
                                <w:jc w:val="center"/>
                                <w:rPr>
                                  <w:rFonts w:ascii="Arial" w:hAnsi="Arial" w:cs="Arial"/>
                                  <w:sz w:val="16"/>
                                  <w:szCs w:val="16"/>
                                </w:rPr>
                              </w:pPr>
                              <w:r>
                                <w:rPr>
                                  <w:rFonts w:ascii="Arial" w:hAnsi="Arial" w:cs="Arial"/>
                                  <w:sz w:val="16"/>
                                  <w:szCs w:val="16"/>
                                </w:rPr>
                                <w:t>Outcome: Growth of knowledge to support protection and sustainable development of Australia’s marine resources through innovative marine science and technology</w:t>
                              </w:r>
                            </w:p>
                          </w:txbxContent>
                        </wps:txbx>
                        <wps:bodyPr rot="0" spcFirstLastPara="0" vert="horz" wrap="square" numCol="1" spcCol="0" rtlCol="0" fromWordArt="0" anchor="t" anchorCtr="0" forceAA="0" compatLnSpc="1">
                          <a:prstTxWarp prst="textNoShape">
                            <a:avLst/>
                          </a:prstTxWarp>
                        </wps:bodyPr>
                      </wps:wsp>
                      <wps:wsp>
                        <wps:cNvPr id="37" name="Text Box 20"/>
                        <wps:cNvSpPr txBox="1"/>
                        <wps:spPr>
                          <a:xfrm>
                            <a:off x="599" y="4950166"/>
                            <a:ext cx="5563875" cy="88656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57F" w:rsidRDefault="00BA7A7F" w:rsidP="00AA057F">
                              <w:pPr>
                                <w:pStyle w:val="HeadingsBoxes"/>
                                <w:spacing w:before="60" w:after="60"/>
                              </w:pPr>
                              <w:r>
                                <w:t>Australian Nuclear Science and Technology Organisation (ANSTO)</w:t>
                              </w:r>
                            </w:p>
                            <w:p w:rsidR="00AA057F" w:rsidRDefault="00BA7A7F" w:rsidP="00AA057F">
                              <w:pPr>
                                <w:keepLines w:val="0"/>
                                <w:spacing w:before="60" w:after="60" w:line="240" w:lineRule="auto"/>
                                <w:jc w:val="center"/>
                                <w:rPr>
                                  <w:rFonts w:ascii="Arial" w:hAnsi="Arial" w:cs="Arial"/>
                                  <w:sz w:val="16"/>
                                  <w:szCs w:val="16"/>
                                </w:rPr>
                              </w:pPr>
                              <w:r>
                                <w:rPr>
                                  <w:rFonts w:ascii="Arial" w:hAnsi="Arial" w:cs="Arial"/>
                                  <w:sz w:val="16"/>
                                  <w:szCs w:val="16"/>
                                </w:rPr>
                                <w:t xml:space="preserve">Chief Executive Officer: Mr </w:t>
                              </w:r>
                              <w:r>
                                <w:rPr>
                                  <w:rFonts w:ascii="Arial" w:hAnsi="Arial" w:cs="Arial"/>
                                  <w:iCs/>
                                  <w:sz w:val="16"/>
                                  <w:szCs w:val="16"/>
                                </w:rPr>
                                <w:t>Shaun Jenkinson</w:t>
                              </w:r>
                            </w:p>
                            <w:p w:rsidR="00AA057F" w:rsidRDefault="00BA7A7F" w:rsidP="00AA057F">
                              <w:pPr>
                                <w:keepLines w:val="0"/>
                                <w:spacing w:before="60" w:after="60" w:line="240" w:lineRule="auto"/>
                                <w:jc w:val="center"/>
                                <w:rPr>
                                  <w:rFonts w:ascii="Arial" w:hAnsi="Arial" w:cs="Arial"/>
                                  <w:color w:val="000000"/>
                                  <w:sz w:val="16"/>
                                  <w:szCs w:val="16"/>
                                </w:rPr>
                              </w:pPr>
                              <w:r>
                                <w:rPr>
                                  <w:rFonts w:ascii="Arial" w:hAnsi="Arial" w:cs="Arial"/>
                                  <w:sz w:val="16"/>
                                  <w:szCs w:val="16"/>
                                </w:rPr>
                                <w:t>Outcome: Improved knowledge, innovative capacity and healthcare through nuclear-based facilities, research, training, products, services and advice to government, industry, the education sector and the Australian population</w:t>
                              </w:r>
                            </w:p>
                          </w:txbxContent>
                        </wps:txbx>
                        <wps:bodyPr rot="0" spcFirstLastPara="0" vert="horz" wrap="square" numCol="1" spcCol="0" rtlCol="0" fromWordArt="0" anchor="t" anchorCtr="0" forceAA="0" compatLnSpc="1">
                          <a:prstTxWarp prst="textNoShape">
                            <a:avLst/>
                          </a:prstTxWarp>
                        </wps:bodyPr>
                      </wps:wsp>
                      <wps:wsp>
                        <wps:cNvPr id="38" name="Text Box 28"/>
                        <wps:cNvSpPr txBox="1"/>
                        <wps:spPr>
                          <a:xfrm>
                            <a:off x="-1" y="5903274"/>
                            <a:ext cx="5563875" cy="86661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57F" w:rsidRDefault="00BA7A7F" w:rsidP="00AA057F">
                              <w:pPr>
                                <w:keepLines w:val="0"/>
                                <w:spacing w:before="60" w:after="60" w:line="240" w:lineRule="auto"/>
                                <w:jc w:val="center"/>
                                <w:rPr>
                                  <w:rFonts w:ascii="Arial" w:hAnsi="Arial" w:cs="Arial"/>
                                  <w:b/>
                                  <w:bCs/>
                                  <w:sz w:val="16"/>
                                  <w:szCs w:val="16"/>
                                </w:rPr>
                              </w:pPr>
                              <w:r>
                                <w:rPr>
                                  <w:rFonts w:ascii="Arial" w:hAnsi="Arial" w:cs="Arial"/>
                                  <w:b/>
                                  <w:bCs/>
                                  <w:sz w:val="16"/>
                                  <w:szCs w:val="16"/>
                                </w:rPr>
                                <w:t>Australian Renewable Energy Agency (ARENA)</w:t>
                              </w:r>
                            </w:p>
                            <w:p w:rsidR="00AA057F" w:rsidRDefault="00BA7A7F" w:rsidP="00AA057F">
                              <w:pPr>
                                <w:keepLines w:val="0"/>
                                <w:spacing w:before="60" w:after="60" w:line="240" w:lineRule="auto"/>
                                <w:jc w:val="center"/>
                                <w:rPr>
                                  <w:rFonts w:ascii="Arial" w:hAnsi="Arial" w:cs="Arial"/>
                                  <w:bCs/>
                                  <w:sz w:val="16"/>
                                  <w:szCs w:val="16"/>
                                </w:rPr>
                              </w:pPr>
                              <w:r>
                                <w:rPr>
                                  <w:rFonts w:ascii="Arial" w:hAnsi="Arial" w:cs="Arial"/>
                                  <w:bCs/>
                                  <w:sz w:val="16"/>
                                  <w:szCs w:val="16"/>
                                </w:rPr>
                                <w:t>Chief Executive Officer: Mr Darren Miller</w:t>
                              </w:r>
                            </w:p>
                            <w:p w:rsidR="00AA057F" w:rsidRDefault="00BA7A7F" w:rsidP="00AA057F">
                              <w:pPr>
                                <w:keepLines w:val="0"/>
                                <w:spacing w:before="60" w:after="60" w:line="240" w:lineRule="auto"/>
                                <w:jc w:val="center"/>
                                <w:rPr>
                                  <w:rFonts w:ascii="Arial" w:hAnsi="Arial" w:cs="Arial"/>
                                  <w:sz w:val="16"/>
                                  <w:szCs w:val="16"/>
                                </w:rPr>
                              </w:pPr>
                              <w:r>
                                <w:rPr>
                                  <w:rFonts w:ascii="Arial" w:hAnsi="Arial" w:cs="Arial"/>
                                  <w:bCs/>
                                  <w:sz w:val="16"/>
                                  <w:szCs w:val="16"/>
                                </w:rPr>
                                <w:t>Outcome: Support improvements in the competitiveness of renewable energy and related technologies and the supply of renewable energy by administering financial assistance, developing analysis and advice about, and sharing information and knowledge with regard to, renewable energy and related technologies</w:t>
                              </w:r>
                            </w:p>
                          </w:txbxContent>
                        </wps:txbx>
                        <wps:bodyPr rot="0" spcFirstLastPara="0" vert="horz" wrap="square" numCol="1" spcCol="0" rtlCol="0" fromWordArt="0" anchor="t" anchorCtr="0" forceAA="0" compatLnSpc="1">
                          <a:prstTxWarp prst="textNoShape">
                            <a:avLst/>
                          </a:prstTxWarp>
                        </wps:bodyPr>
                      </wps:wsp>
                      <wps:wsp>
                        <wps:cNvPr id="39" name="Text Box 47"/>
                        <wps:cNvSpPr txBox="1"/>
                        <wps:spPr>
                          <a:xfrm>
                            <a:off x="-1" y="0"/>
                            <a:ext cx="5563874" cy="410949"/>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057F" w:rsidRDefault="00BA7A7F" w:rsidP="00AA057F">
                              <w:pPr>
                                <w:keepLines w:val="0"/>
                                <w:spacing w:before="60" w:after="60" w:line="240" w:lineRule="auto"/>
                                <w:jc w:val="center"/>
                                <w:rPr>
                                  <w:rFonts w:ascii="Arial" w:hAnsi="Arial" w:cs="Arial"/>
                                  <w:sz w:val="16"/>
                                  <w:szCs w:val="16"/>
                                </w:rPr>
                              </w:pPr>
                              <w:r>
                                <w:rPr>
                                  <w:rFonts w:ascii="Arial" w:hAnsi="Arial" w:cs="Arial"/>
                                  <w:sz w:val="16"/>
                                  <w:szCs w:val="16"/>
                                </w:rPr>
                                <w:t>Minister for Industry, Energy and Emissions Reduction</w:t>
                              </w:r>
                            </w:p>
                            <w:p w:rsidR="00AA057F" w:rsidRDefault="00BA7A7F" w:rsidP="00AA057F">
                              <w:pPr>
                                <w:pStyle w:val="HeadingsBoxes"/>
                                <w:spacing w:before="60" w:after="60"/>
                              </w:pPr>
                              <w:r>
                                <w:t>The Hon Angus Taylor MP</w:t>
                              </w:r>
                            </w:p>
                          </w:txbxContent>
                        </wps:txbx>
                        <wps:bodyPr rot="0" spcFirstLastPara="0"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 o:spid="_x0000_s1041" style="position:absolute;margin-left:.4pt;margin-top:11.7pt;width:390.15pt;height:532.35pt;z-index:251660288;mso-width-relative:margin;mso-height-relative:margin" coordorigin="-6" coordsize="55656,67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">
                <v:shapetype id="_x0000_t202" coordsize="21600,21600" o:spt="202" path="m,l,21600r21600,l21600,xe">
                  <v:stroke joinstyle="miter"/>
                  <v:path gradientshapeok="t" o:connecttype="rect"/>
                </v:shapetype>
                <v:shape id="Text Box 6" o:spid="_x0000_s1042" type="#_x0000_t202" style="position:absolute;left:11;top:14879;width:55639;height:4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H/b8A&#10;AADbAAAADwAAAGRycy9kb3ducmV2LnhtbERPTYvCMBC9C/sfwgheRFNXkFKNIgvCgougLqzHoRnb&#10;YDMpSbT1328OgsfH+15tetuIB/lgHCuYTTMQxKXThisFv+fdJAcRIrLGxjEpeFKAzfpjsMJCu46P&#10;9DjFSqQQDgUqqGNsCylDWZPFMHUtceKuzluMCfpKao9dCreN/MyyhbRoODXU2NJXTeXtdLcKDGU3&#10;0/kf+zc+zPL52O39Ze+VGg377RJEpD6+xS/3t1YwT+vTl/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X8f9vwAAANsAAAAPAAAAAAAAAAAAAAAAAJgCAABkcnMvZG93bnJl&#10;di54bWxQSwUGAAAAAAQABAD1AAAAhAMAAAAA&#10;" fillcolor="#d8d8d8 [2732]" strokeweight=".5pt">
                  <v:textbox>
                    <w:txbxContent>
                      <w:p w:rsidR="00AA057F" w:rsidRDefault="00BA7A7F" w:rsidP="00AA057F">
                        <w:pPr>
                          <w:pStyle w:val="HeadingsBoxes"/>
                          <w:spacing w:before="60" w:after="60"/>
                          <w:rPr>
                            <w:b w:val="0"/>
                            <w:bCs w:val="0"/>
                          </w:rPr>
                        </w:pPr>
                        <w:r>
                          <w:rPr>
                            <w:b w:val="0"/>
                            <w:bCs w:val="0"/>
                          </w:rPr>
                          <w:t>Assistant Minister for Industry Development</w:t>
                        </w:r>
                      </w:p>
                      <w:p w:rsidR="00AA057F" w:rsidRDefault="00BA7A7F" w:rsidP="00AA057F">
                        <w:pPr>
                          <w:pStyle w:val="HeadingsBoxes"/>
                          <w:spacing w:before="60" w:after="60"/>
                        </w:pPr>
                        <w:r>
                          <w:rPr>
                            <w:bCs w:val="0"/>
                          </w:rPr>
                          <w:t>Senator the Hon Jonathon Duniam</w:t>
                        </w:r>
                      </w:p>
                      <w:p w:rsidR="00AA057F" w:rsidRDefault="00AA057F" w:rsidP="00AA057F">
                        <w:pPr>
                          <w:pStyle w:val="HeadingsBoxes"/>
                          <w:spacing w:before="60" w:after="60"/>
                        </w:pPr>
                      </w:p>
                    </w:txbxContent>
                  </v:textbox>
                </v:shape>
                <v:shape id="Text Box 8" o:spid="_x0000_s1043" type="#_x0000_t202" style="position:absolute;left:-6;top:4856;width:55638;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iZsMA&#10;AADbAAAADwAAAGRycy9kb3ducmV2LnhtbESPX2vCMBTF3wW/Q7jCXmSmnSClM8oQhIFD8A/o46W5&#10;a4PNTUky2317Mxj4eDjn/A5nuR5sK+7kg3GsIJ9lIIgrpw3XCs6n7WsBIkRkja1jUvBLAdar8WiJ&#10;pXY9H+h+jLVIEA4lKmhi7EopQ9WQxTBzHXHyvp23GJP0tdQe+wS3rXzLsoW0aDgtNNjRpqHqdvyx&#10;CgxlN9P7L3uZ7vNiPnU7f915pV4mw8c7iEhDfIb/259awTyHvy/p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NiZsMAAADbAAAADwAAAAAAAAAAAAAAAACYAgAAZHJzL2Rv&#10;d25yZXYueG1sUEsFBgAAAAAEAAQA9QAAAIgDAAAAAA==&#10;" fillcolor="#d8d8d8 [2732]" strokeweight=".5pt">
                  <v:textbox>
                    <w:txbxContent>
                      <w:p w:rsidR="00AA057F" w:rsidRDefault="00BA7A7F" w:rsidP="00AA057F">
                        <w:pPr>
                          <w:pStyle w:val="HeadingsBoxes"/>
                          <w:spacing w:before="60" w:after="60"/>
                          <w:rPr>
                            <w:b w:val="0"/>
                            <w:bCs w:val="0"/>
                          </w:rPr>
                        </w:pPr>
                        <w:r>
                          <w:rPr>
                            <w:b w:val="0"/>
                            <w:bCs w:val="0"/>
                          </w:rPr>
                          <w:t>Minister for Science and Technology</w:t>
                        </w:r>
                      </w:p>
                      <w:p w:rsidR="00AA057F" w:rsidRDefault="00BA7A7F" w:rsidP="00AA057F">
                        <w:pPr>
                          <w:pStyle w:val="HeadingsBoxes"/>
                          <w:spacing w:before="60" w:after="60"/>
                        </w:pPr>
                        <w:r>
                          <w:rPr>
                            <w:bCs w:val="0"/>
                          </w:rPr>
                          <w:t>The Hon Melissa Price MP</w:t>
                        </w:r>
                      </w:p>
                      <w:p w:rsidR="00AA057F" w:rsidRDefault="00AA057F" w:rsidP="00AA057F">
                        <w:pPr>
                          <w:pStyle w:val="HeadingsBoxes"/>
                          <w:spacing w:before="60" w:after="60"/>
                          <w:rPr>
                            <w:color w:val="auto"/>
                          </w:rPr>
                        </w:pPr>
                      </w:p>
                    </w:txbxContent>
                  </v:textbox>
                </v:shape>
                <v:shape id="Text Box 10" o:spid="_x0000_s1044" type="#_x0000_t202" style="position:absolute;left:-6;top:9875;width:55638;height:4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1ZisMA&#10;AADbAAAADwAAAGRycy9kb3ducmV2LnhtbESPQWsCMRSE74L/ITzBi9SsLohsjVIEoaAI2oIeH5vX&#10;3eDmZUlSd/33plDwOMzMN8xq09tG3MkH41jBbJqBIC6dNlwp+P7avS1BhIissXFMCh4UYLMeDlZY&#10;aNfxie7nWIkE4VCggjrGtpAylDVZDFPXEifvx3mLMUlfSe2xS3DbyHmWLaRFw2mhxpa2NZW3869V&#10;YCi7mc4f7GVynC3zidv7694rNR71H+8gIvXxFf5vf2oFeQ5/X9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1ZisMAAADbAAAADwAAAAAAAAAAAAAAAACYAgAAZHJzL2Rv&#10;d25yZXYueG1sUEsFBgAAAAAEAAQA9QAAAIgDAAAAAA==&#10;" fillcolor="#d8d8d8 [2732]" strokeweight=".5pt">
                  <v:textbox>
                    <w:txbxContent>
                      <w:p w:rsidR="00AA057F" w:rsidRDefault="00BA7A7F" w:rsidP="00AA057F">
                        <w:pPr>
                          <w:pStyle w:val="HeadingsBoxes"/>
                          <w:spacing w:before="60" w:after="60"/>
                          <w:rPr>
                            <w:b w:val="0"/>
                            <w:color w:val="auto"/>
                          </w:rPr>
                        </w:pPr>
                        <w:r>
                          <w:rPr>
                            <w:b w:val="0"/>
                            <w:color w:val="auto"/>
                          </w:rPr>
                          <w:t>Minister for Resources and Water</w:t>
                        </w:r>
                      </w:p>
                      <w:p w:rsidR="00AA057F" w:rsidRDefault="00BA7A7F" w:rsidP="00AA057F">
                        <w:pPr>
                          <w:pStyle w:val="HeadingsBoxes"/>
                          <w:spacing w:before="60" w:after="60"/>
                          <w:rPr>
                            <w:color w:val="auto"/>
                          </w:rPr>
                        </w:pPr>
                        <w:r>
                          <w:rPr>
                            <w:color w:val="auto"/>
                          </w:rPr>
                          <w:t>The Hon Keith Pitt MP</w:t>
                        </w:r>
                      </w:p>
                      <w:p w:rsidR="00AA057F" w:rsidRDefault="00AA057F" w:rsidP="00AA057F">
                        <w:pPr>
                          <w:pStyle w:val="HeadingsBoxes"/>
                          <w:spacing w:before="60" w:after="60"/>
                        </w:pPr>
                      </w:p>
                    </w:txbxContent>
                  </v:textbox>
                </v:shape>
                <v:shape id="_x0000_s1045" type="#_x0000_t202" style="position:absolute;left:5;top:19855;width:55639;height:4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jaDMMA&#10;AADbAAAADwAAAGRycy9kb3ducmV2LnhtbESPX2vCQBDE3wt+h2MF3+pFbYtETxFRsC/F+ud9ya1J&#10;MLcXc6uJ375XKPRxmJnfMPNl5yr1oCaUng2Mhgko4szbknMDp+P2dQoqCLLFyjMZeFKA5aL3MsfU&#10;+pa/6XGQXEUIhxQNFCJ1qnXICnIYhr4mjt7FNw4lyibXtsE2wl2lx0nyoR2WHBcKrGldUHY93J2B&#10;/ZRvZ3lffe03E7JyzK7nz3ZjzKDfrWaghDr5D/+1d9bA5A1+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jaDMMAAADbAAAADwAAAAAAAAAAAAAAAACYAgAAZHJzL2Rv&#10;d25yZXYueG1sUEsFBgAAAAAEAAQA9QAAAIgDAAAAAA==&#10;" fillcolor="#d8d8d8 [2732]" strokeweight=".5pt">
                  <v:textbox>
                    <w:txbxContent>
                      <w:p w:rsidR="00AA057F" w:rsidRDefault="00BA7A7F" w:rsidP="00AA057F">
                        <w:pPr>
                          <w:keepLines w:val="0"/>
                          <w:spacing w:before="60" w:after="0" w:line="240" w:lineRule="auto"/>
                          <w:jc w:val="center"/>
                          <w:rPr>
                            <w:rFonts w:ascii="Arial" w:hAnsi="Arial" w:cs="Arial"/>
                            <w:sz w:val="16"/>
                            <w:szCs w:val="16"/>
                          </w:rPr>
                        </w:pPr>
                        <w:r>
                          <w:rPr>
                            <w:rFonts w:ascii="Arial" w:hAnsi="Arial" w:cs="Arial"/>
                            <w:sz w:val="16"/>
                            <w:szCs w:val="16"/>
                          </w:rPr>
                          <w:t>Assistant Minister to the Minister for Industry, Energy and Emissions Reduction</w:t>
                        </w:r>
                      </w:p>
                      <w:p w:rsidR="00AA057F" w:rsidRDefault="00BA7A7F" w:rsidP="00AA057F">
                        <w:pPr>
                          <w:keepLines w:val="0"/>
                          <w:spacing w:before="60" w:after="144" w:line="240" w:lineRule="auto"/>
                          <w:jc w:val="center"/>
                          <w:rPr>
                            <w:rFonts w:ascii="Arial" w:hAnsi="Arial" w:cs="Arial"/>
                            <w:sz w:val="16"/>
                            <w:szCs w:val="16"/>
                          </w:rPr>
                        </w:pPr>
                        <w:r>
                          <w:rPr>
                            <w:rFonts w:ascii="Arial" w:hAnsi="Arial" w:cs="Arial"/>
                            <w:b/>
                            <w:sz w:val="16"/>
                            <w:szCs w:val="16"/>
                          </w:rPr>
                          <w:t>The Hon Tim Wilson MP</w:t>
                        </w:r>
                      </w:p>
                    </w:txbxContent>
                  </v:textbox>
                </v:shape>
                <v:shape id="Text Box 17" o:spid="_x0000_s1046" type="#_x0000_t202" style="position:absolute;left:-6;top:24835;width:55626;height:16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7ggcQA&#10;AADbAAAADwAAAGRycy9kb3ducmV2LnhtbESPQWsCMRSE70L/Q3hCL6LZWpSyGpdSKLZeRK3g8bF5&#10;bpbdvCxJqtt/3wiCx2FmvmGWRW9bcSEfascKXiYZCOLS6ZorBT+Hz/EbiBCRNbaOScEfBShWT4Ml&#10;5tpdeUeXfaxEgnDIUYGJsculDKUhi2HiOuLknZ23GJP0ldQerwluWznNsrm0WHNaMNjRh6Gy2f9a&#10;BdxPfZybTTi4bt18r7d02h5HSj0P+/cFiEh9fITv7S+t4HUGt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O4IHEAAAA2wAAAA8AAAAAAAAAAAAAAAAAmAIAAGRycy9k&#10;b3ducmV2LnhtbFBLBQYAAAAABAAEAPUAAACJAwAAAAA=&#10;" fillcolor="white [3201]" strokecolor="black [3213]" strokeweight=".5pt">
                  <v:textbox>
                    <w:txbxContent>
                      <w:p w:rsidR="00AA057F" w:rsidRDefault="00BA7A7F" w:rsidP="00AA057F">
                        <w:pPr>
                          <w:pStyle w:val="HeadingsBoxes"/>
                          <w:spacing w:before="60" w:after="60"/>
                        </w:pPr>
                        <w:r>
                          <w:t>Department of Industry, Science, Energy and Resources</w:t>
                        </w:r>
                      </w:p>
                      <w:p w:rsidR="00AA057F" w:rsidRDefault="00BA7A7F" w:rsidP="00AA057F">
                        <w:pPr>
                          <w:keepLines w:val="0"/>
                          <w:spacing w:before="60" w:after="60" w:line="240" w:lineRule="auto"/>
                          <w:jc w:val="center"/>
                          <w:rPr>
                            <w:rFonts w:ascii="Arial" w:hAnsi="Arial" w:cs="Arial"/>
                            <w:sz w:val="16"/>
                            <w:szCs w:val="16"/>
                          </w:rPr>
                        </w:pPr>
                        <w:r>
                          <w:rPr>
                            <w:rFonts w:ascii="Arial" w:hAnsi="Arial" w:cs="Arial"/>
                            <w:sz w:val="16"/>
                            <w:szCs w:val="16"/>
                          </w:rPr>
                          <w:t>Portfolio Secretary: Mr David Fredericks PSM</w:t>
                        </w:r>
                      </w:p>
                      <w:p w:rsidR="00AA057F" w:rsidRDefault="00BA7A7F" w:rsidP="00AA057F">
                        <w:pPr>
                          <w:keepLines w:val="0"/>
                          <w:spacing w:after="0" w:line="240" w:lineRule="auto"/>
                          <w:jc w:val="center"/>
                          <w:rPr>
                            <w:rFonts w:ascii="Arial" w:hAnsi="Arial" w:cs="Arial"/>
                            <w:sz w:val="16"/>
                            <w:szCs w:val="16"/>
                          </w:rPr>
                        </w:pPr>
                        <w:r>
                          <w:rPr>
                            <w:rFonts w:ascii="Arial" w:hAnsi="Arial" w:cs="Arial"/>
                            <w:sz w:val="16"/>
                            <w:szCs w:val="16"/>
                          </w:rPr>
                          <w:t>Outcome 1: Support economic growth, productivity and job creation for all Australians by investing in science, technology and commercialisation, growing innovative and competitive businesses, industries and regions, and supporting resources</w:t>
                        </w:r>
                      </w:p>
                      <w:p w:rsidR="00AA057F" w:rsidRDefault="00BA7A7F" w:rsidP="00AA057F">
                        <w:pPr>
                          <w:keepLines w:val="0"/>
                          <w:spacing w:before="60" w:after="60" w:line="240" w:lineRule="auto"/>
                          <w:jc w:val="center"/>
                          <w:rPr>
                            <w:rFonts w:ascii="Arial" w:hAnsi="Arial" w:cs="Arial"/>
                            <w:sz w:val="16"/>
                            <w:szCs w:val="16"/>
                          </w:rPr>
                        </w:pPr>
                        <w:r>
                          <w:rPr>
                            <w:rFonts w:ascii="Arial" w:hAnsi="Arial" w:cs="Arial"/>
                            <w:sz w:val="16"/>
                            <w:szCs w:val="16"/>
                          </w:rPr>
                          <w:t>Outcome 2: Reduce Australia’s greenhouse gas emissions, contribute to effective global action on climate change, and support technological innovation in clean and renewable energy, through developing and implementing a national response to climate change</w:t>
                        </w:r>
                      </w:p>
                      <w:p w:rsidR="00AA057F" w:rsidRDefault="00BA7A7F" w:rsidP="00AA057F">
                        <w:pPr>
                          <w:keepLines w:val="0"/>
                          <w:spacing w:before="60" w:after="60" w:line="240" w:lineRule="auto"/>
                          <w:jc w:val="center"/>
                          <w:rPr>
                            <w:rFonts w:ascii="Arial" w:hAnsi="Arial" w:cs="Arial"/>
                            <w:b/>
                            <w:sz w:val="16"/>
                            <w:szCs w:val="16"/>
                          </w:rPr>
                        </w:pPr>
                        <w:r>
                          <w:rPr>
                            <w:rFonts w:ascii="Arial" w:hAnsi="Arial" w:cs="Arial"/>
                            <w:sz w:val="16"/>
                            <w:szCs w:val="16"/>
                          </w:rPr>
                          <w:t>Outcome 3: Support the affordable, reliable, secure and competitive operation of energy markets for the long term benefit of the Australian community through improving Australia’s energy supply, efficiency, quality, performance and productivity</w:t>
                        </w:r>
                      </w:p>
                    </w:txbxContent>
                  </v:textbox>
                </v:shape>
                <v:shape id="Text Box 19" o:spid="_x0000_s1047" type="#_x0000_t202" style="position:absolute;top:41678;width:55638;height:7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nTsYA&#10;AADbAAAADwAAAGRycy9kb3ducmV2LnhtbESPQWsCMRSE74X+h/AEbzVrpbZsjVJKBQUp1Bb1+Ny8&#10;bpYmL+smrqu/vhEKPQ4z8w0zmXXOipaaUHlWMBxkIIgLrysuFXx9zu+eQISIrNF6JgVnCjCb3t5M&#10;MNf+xB/UrmMpEoRDjgpMjHUuZSgMOQwDXxMn79s3DmOSTSl1g6cEd1beZ9lYOqw4LRis6dVQ8bM+&#10;OgWrzfbwNn/fZVva2+qhtY9medkr1e91L88gInXxP/zXXmgFozFcv6Qf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SnTsYAAADbAAAADwAAAAAAAAAAAAAAAACYAgAAZHJz&#10;L2Rvd25yZXYueG1sUEsFBgAAAAAEAAQA9QAAAIsDAAAAAA==&#10;" filled="f" strokeweight=".5pt">
                  <v:textbox>
                    <w:txbxContent>
                      <w:p w:rsidR="00AA057F" w:rsidRDefault="00BA7A7F" w:rsidP="00AA057F">
                        <w:pPr>
                          <w:pStyle w:val="HeadingsBoxes"/>
                          <w:spacing w:before="60" w:after="60"/>
                        </w:pPr>
                        <w:r>
                          <w:t>Australian Institute of Marine Science (AIMS)</w:t>
                        </w:r>
                      </w:p>
                      <w:p w:rsidR="00AA057F" w:rsidRDefault="00BA7A7F" w:rsidP="00AA057F">
                        <w:pPr>
                          <w:keepLines w:val="0"/>
                          <w:spacing w:before="60" w:after="60" w:line="240" w:lineRule="auto"/>
                          <w:jc w:val="center"/>
                          <w:rPr>
                            <w:rFonts w:ascii="Arial" w:hAnsi="Arial" w:cs="Arial"/>
                            <w:sz w:val="16"/>
                            <w:szCs w:val="16"/>
                          </w:rPr>
                        </w:pPr>
                        <w:r>
                          <w:rPr>
                            <w:rFonts w:ascii="Arial" w:hAnsi="Arial" w:cs="Arial"/>
                            <w:sz w:val="16"/>
                            <w:szCs w:val="16"/>
                          </w:rPr>
                          <w:t>Chief Executive Officer: Dr Paul Hardisty</w:t>
                        </w:r>
                      </w:p>
                      <w:p w:rsidR="00AA057F" w:rsidRDefault="00BA7A7F" w:rsidP="00AA057F">
                        <w:pPr>
                          <w:keepLines w:val="0"/>
                          <w:spacing w:before="60" w:after="60" w:line="240" w:lineRule="auto"/>
                          <w:jc w:val="center"/>
                          <w:rPr>
                            <w:rFonts w:ascii="Arial" w:hAnsi="Arial" w:cs="Arial"/>
                            <w:sz w:val="16"/>
                            <w:szCs w:val="16"/>
                          </w:rPr>
                        </w:pPr>
                        <w:r>
                          <w:rPr>
                            <w:rFonts w:ascii="Arial" w:hAnsi="Arial" w:cs="Arial"/>
                            <w:sz w:val="16"/>
                            <w:szCs w:val="16"/>
                          </w:rPr>
                          <w:t>Outcome: Growth of knowledge to support protection and sustainable development of Australia’s marine resources through innovative marine science and technology</w:t>
                        </w:r>
                      </w:p>
                    </w:txbxContent>
                  </v:textbox>
                </v:shape>
                <v:shape id="Text Box 20" o:spid="_x0000_s1048" type="#_x0000_t202" style="position:absolute;left:5;top:49501;width:55639;height:8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C1cYA&#10;AADbAAAADwAAAGRycy9kb3ducmV2LnhtbESPQWsCMRSE74X+h/AEbzVrpbVsjVJKBQURaot6fG5e&#10;N0uTl3UT19Vf3xQKPQ4z8w0zmXXOipaaUHlWMBxkIIgLrysuFXx+zO+eQISIrNF6JgUXCjCb3t5M&#10;MNf+zO/UbmIpEoRDjgpMjHUuZSgMOQwDXxMn78s3DmOSTSl1g+cEd1beZ9mjdFhxWjBY06uh4ntz&#10;cgpW293xbb7eZzs62OqhtWOzvB6U6ve6l2cQkbr4H/5rL7SC0Rh+v6QfIK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gC1cYAAADbAAAADwAAAAAAAAAAAAAAAACYAgAAZHJz&#10;L2Rvd25yZXYueG1sUEsFBgAAAAAEAAQA9QAAAIsDAAAAAA==&#10;" filled="f" strokeweight=".5pt">
                  <v:textbox>
                    <w:txbxContent>
                      <w:p w:rsidR="00AA057F" w:rsidRDefault="00BA7A7F" w:rsidP="00AA057F">
                        <w:pPr>
                          <w:pStyle w:val="HeadingsBoxes"/>
                          <w:spacing w:before="60" w:after="60"/>
                        </w:pPr>
                        <w:r>
                          <w:t>Australian Nuclear Science and Technology Organisation (ANSTO)</w:t>
                        </w:r>
                      </w:p>
                      <w:p w:rsidR="00AA057F" w:rsidRDefault="00BA7A7F" w:rsidP="00AA057F">
                        <w:pPr>
                          <w:keepLines w:val="0"/>
                          <w:spacing w:before="60" w:after="60" w:line="240" w:lineRule="auto"/>
                          <w:jc w:val="center"/>
                          <w:rPr>
                            <w:rFonts w:ascii="Arial" w:hAnsi="Arial" w:cs="Arial"/>
                            <w:sz w:val="16"/>
                            <w:szCs w:val="16"/>
                          </w:rPr>
                        </w:pPr>
                        <w:r>
                          <w:rPr>
                            <w:rFonts w:ascii="Arial" w:hAnsi="Arial" w:cs="Arial"/>
                            <w:sz w:val="16"/>
                            <w:szCs w:val="16"/>
                          </w:rPr>
                          <w:t xml:space="preserve">Chief Executive Officer: Mr </w:t>
                        </w:r>
                        <w:r>
                          <w:rPr>
                            <w:rFonts w:ascii="Arial" w:hAnsi="Arial" w:cs="Arial"/>
                            <w:iCs/>
                            <w:sz w:val="16"/>
                            <w:szCs w:val="16"/>
                          </w:rPr>
                          <w:t>Shaun Jenkinson</w:t>
                        </w:r>
                      </w:p>
                      <w:p w:rsidR="00AA057F" w:rsidRDefault="00BA7A7F" w:rsidP="00AA057F">
                        <w:pPr>
                          <w:keepLines w:val="0"/>
                          <w:spacing w:before="60" w:after="60" w:line="240" w:lineRule="auto"/>
                          <w:jc w:val="center"/>
                          <w:rPr>
                            <w:rFonts w:ascii="Arial" w:hAnsi="Arial" w:cs="Arial"/>
                            <w:color w:val="000000"/>
                            <w:sz w:val="16"/>
                            <w:szCs w:val="16"/>
                          </w:rPr>
                        </w:pPr>
                        <w:r>
                          <w:rPr>
                            <w:rFonts w:ascii="Arial" w:hAnsi="Arial" w:cs="Arial"/>
                            <w:sz w:val="16"/>
                            <w:szCs w:val="16"/>
                          </w:rPr>
                          <w:t>Outcome: Improved knowledge, innovative capacity and healthcare through nuclear-based facilities, research, training, products, services and advice to government, industry, the education sector and the Australian population</w:t>
                        </w:r>
                      </w:p>
                    </w:txbxContent>
                  </v:textbox>
                </v:shape>
                <v:shape id="Text Box 28" o:spid="_x0000_s1049" type="#_x0000_t202" style="position:absolute;top:59032;width:55638;height:8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eWp8MA&#10;AADbAAAADwAAAGRycy9kb3ducmV2LnhtbERPTWsCMRC9F/ofwhS81Wwt2rIapRQFBRFqS+1x3Iyb&#10;pclku4nr6q83B6HHx/uezDpnRUtNqDwreOpnIIgLrysuFXx9Lh5fQYSIrNF6JgVnCjCb3t9NMNf+&#10;xB/UbmMpUgiHHBWYGOtcylAYchj6viZO3ME3DmOCTSl1g6cU7qwcZNlIOqw4NRis6d1Q8bs9OgXr&#10;793ffLH5yXa0t9WwtS9mddkr1Xvo3sYgInXxX3xzL7WC5zQ2fUk/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eWp8MAAADbAAAADwAAAAAAAAAAAAAAAACYAgAAZHJzL2Rv&#10;d25yZXYueG1sUEsFBgAAAAAEAAQA9QAAAIgDAAAAAA==&#10;" filled="f" strokeweight=".5pt">
                  <v:textbox>
                    <w:txbxContent>
                      <w:p w:rsidR="00AA057F" w:rsidRDefault="00BA7A7F" w:rsidP="00AA057F">
                        <w:pPr>
                          <w:keepLines w:val="0"/>
                          <w:spacing w:before="60" w:after="60" w:line="240" w:lineRule="auto"/>
                          <w:jc w:val="center"/>
                          <w:rPr>
                            <w:rFonts w:ascii="Arial" w:hAnsi="Arial" w:cs="Arial"/>
                            <w:b/>
                            <w:bCs/>
                            <w:sz w:val="16"/>
                            <w:szCs w:val="16"/>
                          </w:rPr>
                        </w:pPr>
                        <w:r>
                          <w:rPr>
                            <w:rFonts w:ascii="Arial" w:hAnsi="Arial" w:cs="Arial"/>
                            <w:b/>
                            <w:bCs/>
                            <w:sz w:val="16"/>
                            <w:szCs w:val="16"/>
                          </w:rPr>
                          <w:t>Australian Renewable Energy Agency (ARENA)</w:t>
                        </w:r>
                      </w:p>
                      <w:p w:rsidR="00AA057F" w:rsidRDefault="00BA7A7F" w:rsidP="00AA057F">
                        <w:pPr>
                          <w:keepLines w:val="0"/>
                          <w:spacing w:before="60" w:after="60" w:line="240" w:lineRule="auto"/>
                          <w:jc w:val="center"/>
                          <w:rPr>
                            <w:rFonts w:ascii="Arial" w:hAnsi="Arial" w:cs="Arial"/>
                            <w:bCs/>
                            <w:sz w:val="16"/>
                            <w:szCs w:val="16"/>
                          </w:rPr>
                        </w:pPr>
                        <w:r>
                          <w:rPr>
                            <w:rFonts w:ascii="Arial" w:hAnsi="Arial" w:cs="Arial"/>
                            <w:bCs/>
                            <w:sz w:val="16"/>
                            <w:szCs w:val="16"/>
                          </w:rPr>
                          <w:t>Chief Executive Officer: Mr Darren Miller</w:t>
                        </w:r>
                      </w:p>
                      <w:p w:rsidR="00AA057F" w:rsidRDefault="00BA7A7F" w:rsidP="00AA057F">
                        <w:pPr>
                          <w:keepLines w:val="0"/>
                          <w:spacing w:before="60" w:after="60" w:line="240" w:lineRule="auto"/>
                          <w:jc w:val="center"/>
                          <w:rPr>
                            <w:rFonts w:ascii="Arial" w:hAnsi="Arial" w:cs="Arial"/>
                            <w:sz w:val="16"/>
                            <w:szCs w:val="16"/>
                          </w:rPr>
                        </w:pPr>
                        <w:r>
                          <w:rPr>
                            <w:rFonts w:ascii="Arial" w:hAnsi="Arial" w:cs="Arial"/>
                            <w:bCs/>
                            <w:sz w:val="16"/>
                            <w:szCs w:val="16"/>
                          </w:rPr>
                          <w:t>Outcome: Support improvements in the competitiveness of renewable energy and related technologies and the supply of renewable energy by administering financial assistance, developing analysis and advice about, and sharing information and knowledge with regard to, renewable energy and related technologies</w:t>
                        </w:r>
                      </w:p>
                    </w:txbxContent>
                  </v:textbox>
                </v:shape>
                <v:shape id="Text Box 47" o:spid="_x0000_s1050" type="#_x0000_t202" style="position:absolute;width:55638;height:4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VuYMMA&#10;AADbAAAADwAAAGRycy9kb3ducmV2LnhtbESPQWsCMRSE70L/Q3hCL6JZK4hujVIEoaAIroX2+Ng8&#10;d4OblyVJ3e2/bwTB4zAz3zCrTW8bcSMfjGMF00kGgrh02nCl4Ou8Gy9AhIissXFMCv4owGb9Mlhh&#10;rl3HJ7oVsRIJwiFHBXWMbS5lKGuyGCauJU7exXmLMUlfSe2xS3DbyLcsm0uLhtNCjS1tayqvxa9V&#10;YCi7ms4f7PfoOF3MRm7vf/Zeqddh//EOIlIfn+FH+1MrmC3h/iX9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VuYMMAAADbAAAADwAAAAAAAAAAAAAAAACYAgAAZHJzL2Rv&#10;d25yZXYueG1sUEsFBgAAAAAEAAQA9QAAAIgDAAAAAA==&#10;" fillcolor="#d8d8d8 [2732]" strokeweight=".5pt">
                  <v:textbox>
                    <w:txbxContent>
                      <w:p w:rsidR="00AA057F" w:rsidRDefault="00BA7A7F" w:rsidP="00AA057F">
                        <w:pPr>
                          <w:keepLines w:val="0"/>
                          <w:spacing w:before="60" w:after="60" w:line="240" w:lineRule="auto"/>
                          <w:jc w:val="center"/>
                          <w:rPr>
                            <w:rFonts w:ascii="Arial" w:hAnsi="Arial" w:cs="Arial"/>
                            <w:sz w:val="16"/>
                            <w:szCs w:val="16"/>
                          </w:rPr>
                        </w:pPr>
                        <w:r>
                          <w:rPr>
                            <w:rFonts w:ascii="Arial" w:hAnsi="Arial" w:cs="Arial"/>
                            <w:sz w:val="16"/>
                            <w:szCs w:val="16"/>
                          </w:rPr>
                          <w:t>Minister for Industry, Energy and Emissions Reduction</w:t>
                        </w:r>
                      </w:p>
                      <w:p w:rsidR="00AA057F" w:rsidRDefault="00BA7A7F" w:rsidP="00AA057F">
                        <w:pPr>
                          <w:pStyle w:val="HeadingsBoxes"/>
                          <w:spacing w:before="60" w:after="60"/>
                        </w:pPr>
                        <w:r>
                          <w:t>The Hon Angus Taylor MP</w:t>
                        </w:r>
                      </w:p>
                    </w:txbxContent>
                  </v:textbox>
                </v:shape>
              </v:group>
            </w:pict>
          </mc:Fallback>
        </mc:AlternateContent>
      </w:r>
    </w:p>
    <w:p w:rsidR="00AA057F" w:rsidRDefault="00AA057F" w:rsidP="00AA057F">
      <w:pPr>
        <w:pStyle w:val="TableHeading"/>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Pr="00AA057F" w:rsidRDefault="00AA057F" w:rsidP="00AA057F">
      <w:pPr>
        <w:keepLines w:val="0"/>
        <w:spacing w:after="0" w:line="240" w:lineRule="auto"/>
      </w:pPr>
    </w:p>
    <w:p w:rsidR="00AA057F" w:rsidRDefault="00AA057F" w:rsidP="00AA057F">
      <w:pPr>
        <w:pStyle w:val="TableHeading"/>
      </w:pPr>
    </w:p>
    <w:p w:rsidR="00AA057F" w:rsidRPr="00AA057F" w:rsidRDefault="00AA057F" w:rsidP="00AA057F">
      <w:pPr>
        <w:keepLines w:val="0"/>
        <w:spacing w:after="0" w:line="240" w:lineRule="auto"/>
      </w:pPr>
    </w:p>
    <w:p w:rsidR="00053C78" w:rsidRDefault="00BA7A7F" w:rsidP="00053C78">
      <w:pPr>
        <w:pStyle w:val="TableHeading"/>
      </w:pPr>
      <w:r>
        <w:br w:type="page"/>
        <w:t xml:space="preserve">Figure 1: </w:t>
      </w:r>
      <w:r w:rsidRPr="001672B7">
        <w:t xml:space="preserve">Industry, Science, Energy and Resources </w:t>
      </w:r>
      <w:r>
        <w:t>portfolio structure and outcomes (continued)</w:t>
      </w:r>
      <w:r w:rsidRPr="00164D62">
        <w:t xml:space="preserve"> </w:t>
      </w:r>
    </w:p>
    <w:p w:rsidR="003C5DEB" w:rsidRPr="003C5DEB" w:rsidRDefault="00BA7A7F" w:rsidP="003C5DEB">
      <w:pPr>
        <w:pStyle w:val="TableGraphic"/>
      </w:pPr>
      <w:r>
        <w:rPr>
          <w:noProof/>
        </w:rPr>
        <mc:AlternateContent>
          <mc:Choice Requires="wpg">
            <w:drawing>
              <wp:anchor distT="0" distB="0" distL="114300" distR="114300" simplePos="0" relativeHeight="251664384" behindDoc="0" locked="0" layoutInCell="1" allowOverlap="1">
                <wp:simplePos x="0" y="0"/>
                <wp:positionH relativeFrom="column">
                  <wp:posOffset>-2194</wp:posOffset>
                </wp:positionH>
                <wp:positionV relativeFrom="paragraph">
                  <wp:posOffset>51691</wp:posOffset>
                </wp:positionV>
                <wp:extent cx="4962681" cy="6498617"/>
                <wp:effectExtent l="0" t="0" r="28575" b="16510"/>
                <wp:wrapNone/>
                <wp:docPr id="440344179" name="Group 5"/>
                <wp:cNvGraphicFramePr/>
                <a:graphic xmlns:a="http://schemas.openxmlformats.org/drawingml/2006/main">
                  <a:graphicData uri="http://schemas.microsoft.com/office/word/2010/wordprocessingGroup">
                    <wpg:wgp>
                      <wpg:cNvGrpSpPr/>
                      <wpg:grpSpPr>
                        <a:xfrm>
                          <a:off x="0" y="0"/>
                          <a:ext cx="4962681" cy="6498617"/>
                          <a:chOff x="-10200" y="0"/>
                          <a:chExt cx="5574074" cy="6507313"/>
                        </a:xfrm>
                      </wpg:grpSpPr>
                      <wps:wsp>
                        <wps:cNvPr id="1989754808" name="Text Box 8"/>
                        <wps:cNvSpPr txBox="1"/>
                        <wps:spPr>
                          <a:xfrm>
                            <a:off x="-9599" y="866021"/>
                            <a:ext cx="5563875" cy="116197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3C78" w:rsidRDefault="00BA7A7F" w:rsidP="00053C78">
                              <w:pPr>
                                <w:keepLines w:val="0"/>
                                <w:spacing w:before="60" w:after="60" w:line="240" w:lineRule="auto"/>
                                <w:jc w:val="center"/>
                                <w:rPr>
                                  <w:rFonts w:ascii="Arial" w:hAnsi="Arial" w:cs="Arial"/>
                                  <w:b/>
                                  <w:bCs/>
                                  <w:sz w:val="16"/>
                                  <w:szCs w:val="16"/>
                                </w:rPr>
                              </w:pPr>
                              <w:r>
                                <w:rPr>
                                  <w:rFonts w:ascii="Arial" w:hAnsi="Arial" w:cs="Arial"/>
                                  <w:b/>
                                  <w:bCs/>
                                  <w:sz w:val="16"/>
                                  <w:szCs w:val="16"/>
                                </w:rPr>
                                <w:t>Clean Energy Regulator (CER)</w:t>
                              </w:r>
                            </w:p>
                            <w:p w:rsidR="00053C78" w:rsidRDefault="00BA7A7F" w:rsidP="00053C78">
                              <w:pPr>
                                <w:keepLines w:val="0"/>
                                <w:spacing w:before="60" w:after="60" w:line="240" w:lineRule="auto"/>
                                <w:jc w:val="center"/>
                                <w:rPr>
                                  <w:rFonts w:ascii="Arial" w:hAnsi="Arial" w:cs="Arial"/>
                                  <w:bCs/>
                                  <w:sz w:val="16"/>
                                  <w:szCs w:val="16"/>
                                </w:rPr>
                              </w:pPr>
                              <w:r>
                                <w:rPr>
                                  <w:rFonts w:ascii="Arial" w:hAnsi="Arial" w:cs="Arial"/>
                                  <w:bCs/>
                                  <w:sz w:val="16"/>
                                  <w:szCs w:val="16"/>
                                </w:rPr>
                                <w:t>Chair and Chief Executive Officer: Mr David Parker AM</w:t>
                              </w:r>
                            </w:p>
                            <w:p w:rsidR="00053C78" w:rsidRDefault="00BA7A7F" w:rsidP="00053C78">
                              <w:pPr>
                                <w:keepLines w:val="0"/>
                                <w:spacing w:before="60" w:after="60" w:line="240" w:lineRule="auto"/>
                                <w:jc w:val="center"/>
                                <w:rPr>
                                  <w:rFonts w:ascii="Arial" w:hAnsi="Arial" w:cs="Arial"/>
                                  <w:bCs/>
                                  <w:sz w:val="16"/>
                                  <w:szCs w:val="16"/>
                                </w:rPr>
                              </w:pPr>
                              <w:r>
                                <w:rPr>
                                  <w:rFonts w:ascii="Arial" w:hAnsi="Arial" w:cs="Arial"/>
                                  <w:bCs/>
                                  <w:sz w:val="16"/>
                                  <w:szCs w:val="16"/>
                                </w:rPr>
                                <w:t>Outcome</w:t>
                              </w:r>
                              <w:r w:rsidR="003C5DEB">
                                <w:rPr>
                                  <w:rFonts w:ascii="Arial" w:hAnsi="Arial" w:cs="Arial"/>
                                  <w:bCs/>
                                  <w:sz w:val="16"/>
                                  <w:szCs w:val="16"/>
                                </w:rPr>
                                <w:t xml:space="preserve"> 1</w:t>
                              </w:r>
                              <w:r>
                                <w:rPr>
                                  <w:rFonts w:ascii="Arial" w:hAnsi="Arial" w:cs="Arial"/>
                                  <w:bCs/>
                                  <w:sz w:val="16"/>
                                  <w:szCs w:val="16"/>
                                </w:rPr>
                                <w:t>:</w:t>
                              </w:r>
                              <w:r>
                                <w:rPr>
                                  <w:rFonts w:ascii="Arial" w:hAnsi="Arial" w:cs="Arial"/>
                                  <w:b/>
                                  <w:bCs/>
                                  <w:sz w:val="16"/>
                                  <w:szCs w:val="16"/>
                                </w:rPr>
                                <w:t xml:space="preserve"> </w:t>
                              </w:r>
                              <w:r>
                                <w:rPr>
                                  <w:rFonts w:ascii="Arial" w:hAnsi="Arial" w:cs="Arial"/>
                                  <w:bCs/>
                                  <w:sz w:val="16"/>
                                  <w:szCs w:val="16"/>
                                </w:rPr>
                                <w:t>Contribute to a reduction in Australia's net greenhouse gas emissions, including through the administration of market</w:t>
                              </w:r>
                              <w:r w:rsidR="009755A6">
                                <w:rPr>
                                  <w:rFonts w:ascii="Arial" w:hAnsi="Arial" w:cs="Arial"/>
                                  <w:bCs/>
                                  <w:sz w:val="16"/>
                                  <w:szCs w:val="16"/>
                                </w:rPr>
                                <w:t>-</w:t>
                              </w:r>
                              <w:r>
                                <w:rPr>
                                  <w:rFonts w:ascii="Arial" w:hAnsi="Arial" w:cs="Arial"/>
                                  <w:bCs/>
                                  <w:sz w:val="16"/>
                                  <w:szCs w:val="16"/>
                                </w:rPr>
                                <w:t>based mechanisms that incentivise reduction in emissions and the promotion of additional renewable electricity generation</w:t>
                              </w:r>
                            </w:p>
                            <w:p w:rsidR="003C5DEB" w:rsidRPr="00053C78" w:rsidRDefault="00BA7A7F" w:rsidP="003C5DEB">
                              <w:pPr>
                                <w:keepLines w:val="0"/>
                                <w:spacing w:before="60" w:after="60" w:line="240" w:lineRule="auto"/>
                                <w:jc w:val="center"/>
                                <w:rPr>
                                  <w:rFonts w:ascii="Arial" w:hAnsi="Arial" w:cs="Arial"/>
                                  <w:sz w:val="16"/>
                                  <w:szCs w:val="16"/>
                                </w:rPr>
                              </w:pPr>
                              <w:r>
                                <w:rPr>
                                  <w:rFonts w:ascii="Arial" w:hAnsi="Arial" w:cs="Arial"/>
                                  <w:bCs/>
                                  <w:sz w:val="16"/>
                                  <w:szCs w:val="16"/>
                                </w:rPr>
                                <w:t>Outcome 2:</w:t>
                              </w:r>
                              <w:r>
                                <w:rPr>
                                  <w:rFonts w:ascii="Arial" w:hAnsi="Arial" w:cs="Arial"/>
                                  <w:b/>
                                  <w:bCs/>
                                  <w:sz w:val="16"/>
                                  <w:szCs w:val="16"/>
                                </w:rPr>
                                <w:t xml:space="preserve"> </w:t>
                              </w:r>
                              <w:r w:rsidR="002775D2">
                                <w:rPr>
                                  <w:rFonts w:ascii="Arial" w:hAnsi="Arial" w:cs="Arial"/>
                                  <w:bCs/>
                                  <w:sz w:val="16"/>
                                  <w:szCs w:val="16"/>
                                </w:rPr>
                                <w:t>Contribute to the sustainable management of Australia’s biodiversity throu</w:t>
                              </w:r>
                              <w:r w:rsidR="009755A6">
                                <w:rPr>
                                  <w:rFonts w:ascii="Arial" w:hAnsi="Arial" w:cs="Arial"/>
                                  <w:bCs/>
                                  <w:sz w:val="16"/>
                                  <w:szCs w:val="16"/>
                                </w:rPr>
                                <w:t>gh the administration of market-</w:t>
                              </w:r>
                              <w:r w:rsidR="002775D2">
                                <w:rPr>
                                  <w:rFonts w:ascii="Arial" w:hAnsi="Arial" w:cs="Arial"/>
                                  <w:bCs/>
                                  <w:sz w:val="16"/>
                                  <w:szCs w:val="16"/>
                                </w:rPr>
                                <w:t>based mechanisms that incentivise the preservation and improvement of diverse ecosystems</w:t>
                              </w:r>
                            </w:p>
                            <w:p w:rsidR="003C5DEB" w:rsidRPr="00053C78" w:rsidRDefault="003C5DEB" w:rsidP="00053C78">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wps:wsp>
                        <wps:cNvPr id="1290990015" name="Text Box 10"/>
                        <wps:cNvSpPr txBox="1"/>
                        <wps:spPr>
                          <a:xfrm>
                            <a:off x="-4" y="2087999"/>
                            <a:ext cx="5563874" cy="78348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3C78" w:rsidRDefault="00BA7A7F" w:rsidP="00053C78">
                              <w:pPr>
                                <w:keepLines w:val="0"/>
                                <w:spacing w:before="60" w:after="60" w:line="240" w:lineRule="auto"/>
                                <w:jc w:val="center"/>
                                <w:rPr>
                                  <w:rFonts w:ascii="Arial" w:hAnsi="Arial" w:cs="Arial"/>
                                  <w:b/>
                                  <w:bCs/>
                                  <w:sz w:val="16"/>
                                  <w:szCs w:val="16"/>
                                </w:rPr>
                              </w:pPr>
                              <w:r>
                                <w:rPr>
                                  <w:rFonts w:ascii="Arial" w:hAnsi="Arial" w:cs="Arial"/>
                                  <w:b/>
                                  <w:bCs/>
                                  <w:sz w:val="16"/>
                                  <w:szCs w:val="16"/>
                                </w:rPr>
                                <w:t>Climate Change Authority (CCA)</w:t>
                              </w:r>
                            </w:p>
                            <w:p w:rsidR="00053C78" w:rsidRDefault="00BA7A7F" w:rsidP="00053C78">
                              <w:pPr>
                                <w:keepLines w:val="0"/>
                                <w:spacing w:before="60" w:after="60" w:line="240" w:lineRule="auto"/>
                                <w:jc w:val="center"/>
                                <w:rPr>
                                  <w:rFonts w:ascii="Arial" w:hAnsi="Arial" w:cs="Arial"/>
                                  <w:bCs/>
                                  <w:sz w:val="16"/>
                                  <w:szCs w:val="16"/>
                                </w:rPr>
                              </w:pPr>
                              <w:r>
                                <w:rPr>
                                  <w:rFonts w:ascii="Arial" w:hAnsi="Arial" w:cs="Arial"/>
                                  <w:bCs/>
                                  <w:sz w:val="16"/>
                                  <w:szCs w:val="16"/>
                                </w:rPr>
                                <w:t>Chief Executive Officer: Mr Brad Archer</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bCs/>
                                  <w:sz w:val="16"/>
                                  <w:szCs w:val="16"/>
                                </w:rPr>
                                <w:t>Outcome: Provide expert advice to the Australian Government on climate change initiatives, including through conducting regular and specifically commissioned reviews and through undertaking climate change research</w:t>
                              </w:r>
                            </w:p>
                            <w:p w:rsidR="00053C78" w:rsidRDefault="00053C78" w:rsidP="00053C78">
                              <w:pPr>
                                <w:pStyle w:val="HeadingsBoxes"/>
                                <w:spacing w:before="60" w:after="60"/>
                              </w:pPr>
                            </w:p>
                          </w:txbxContent>
                        </wps:txbx>
                        <wps:bodyPr rot="0" spcFirstLastPara="0" vert="horz" wrap="square" numCol="1" spcCol="0" rtlCol="0" fromWordArt="0" anchor="t" anchorCtr="0" forceAA="0" compatLnSpc="1">
                          <a:prstTxWarp prst="textNoShape">
                            <a:avLst/>
                          </a:prstTxWarp>
                        </wps:bodyPr>
                      </wps:wsp>
                      <wps:wsp>
                        <wps:cNvPr id="1721262873" name="Text Box 17"/>
                        <wps:cNvSpPr txBox="1"/>
                        <wps:spPr>
                          <a:xfrm>
                            <a:off x="-10200" y="2923815"/>
                            <a:ext cx="5563874" cy="8043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3C78" w:rsidRDefault="00BA7A7F" w:rsidP="00053C78">
                              <w:pPr>
                                <w:pStyle w:val="HeadingsBoxes"/>
                                <w:spacing w:before="60" w:after="60"/>
                              </w:pPr>
                              <w:r>
                                <w:t>Commonwealth Scientific and Industrial Research Organisation (CSIRO)</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sz w:val="16"/>
                                  <w:szCs w:val="16"/>
                                </w:rPr>
                                <w:t>Chief Executive: Dr Larry Marshall</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sz w:val="16"/>
                                  <w:szCs w:val="16"/>
                                </w:rPr>
                                <w:t>Outcome: Innovative scientific and technology solutions to national challenges and opportunities to benefit industry, the environment and the community, through scientific research and capability development, services and advice</w:t>
                              </w:r>
                            </w:p>
                          </w:txbxContent>
                        </wps:txbx>
                        <wps:bodyPr rot="0" spcFirstLastPara="0" vert="horz" wrap="square" numCol="1" spcCol="0" rtlCol="0" fromWordArt="0" anchor="t" anchorCtr="0" forceAA="0" compatLnSpc="1">
                          <a:prstTxWarp prst="textNoShape">
                            <a:avLst/>
                          </a:prstTxWarp>
                        </wps:bodyPr>
                      </wps:wsp>
                      <wps:wsp>
                        <wps:cNvPr id="165042597" name="Text Box 19"/>
                        <wps:cNvSpPr txBox="1"/>
                        <wps:spPr>
                          <a:xfrm>
                            <a:off x="-10200" y="3796652"/>
                            <a:ext cx="5563874" cy="82149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3C78" w:rsidRDefault="00BA7A7F" w:rsidP="00053C78">
                              <w:pPr>
                                <w:pStyle w:val="HeadingsBoxes"/>
                                <w:spacing w:before="60" w:after="60"/>
                              </w:pPr>
                              <w:r>
                                <w:t>Geoscience Australia (GA)</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sz w:val="16"/>
                                  <w:szCs w:val="16"/>
                                </w:rPr>
                                <w:t>Chief Executive Officer: Dr James Johnson</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sz w:val="16"/>
                                  <w:szCs w:val="16"/>
                                </w:rPr>
                                <w:t>Outcome: Informed government, industry and community decisions on the economic, social and environmental management of the nation’s natural resources through enabling access to geoscientific and spatial information</w:t>
                              </w:r>
                            </w:p>
                          </w:txbxContent>
                        </wps:txbx>
                        <wps:bodyPr rot="0" spcFirstLastPara="0" vert="horz" wrap="square" numCol="1" spcCol="0" rtlCol="0" fromWordArt="0" anchor="t" anchorCtr="0" forceAA="0" compatLnSpc="1">
                          <a:prstTxWarp prst="textNoShape">
                            <a:avLst/>
                          </a:prstTxWarp>
                        </wps:bodyPr>
                      </wps:wsp>
                      <wps:wsp>
                        <wps:cNvPr id="418856455" name="Text Box 20"/>
                        <wps:cNvSpPr txBox="1"/>
                        <wps:spPr>
                          <a:xfrm>
                            <a:off x="-9598" y="4683123"/>
                            <a:ext cx="5563874" cy="88656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3C78" w:rsidRDefault="00BA7A7F" w:rsidP="00053C78">
                              <w:pPr>
                                <w:pStyle w:val="HeadingsBoxes"/>
                                <w:spacing w:before="60" w:after="60"/>
                              </w:pPr>
                              <w:r>
                                <w:t>IP Australia</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sz w:val="16"/>
                                  <w:szCs w:val="16"/>
                                </w:rPr>
                                <w:t>Director General: Mr Michael Schwager</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sz w:val="16"/>
                                  <w:szCs w:val="16"/>
                                </w:rPr>
                                <w:t>Outcome: Increased innovation, investment and trade in Australia, and by Australians overseas, through the administration of the registrable intellectual property rights system, promoting public awareness and industry engagement, and advising government</w:t>
                              </w:r>
                            </w:p>
                            <w:p w:rsidR="00053C78" w:rsidRDefault="00053C78" w:rsidP="00053C78">
                              <w:pPr>
                                <w:keepLines w:val="0"/>
                                <w:spacing w:before="60" w:after="60" w:line="240" w:lineRule="auto"/>
                                <w:jc w:val="center"/>
                                <w:rPr>
                                  <w:rFonts w:ascii="Arial" w:hAnsi="Arial" w:cs="Arial"/>
                                  <w:color w:val="000000"/>
                                  <w:sz w:val="16"/>
                                  <w:szCs w:val="16"/>
                                </w:rPr>
                              </w:pPr>
                            </w:p>
                          </w:txbxContent>
                        </wps:txbx>
                        <wps:bodyPr rot="0" spcFirstLastPara="0" vert="horz" wrap="square" numCol="1" spcCol="0" rtlCol="0" fromWordArt="0" anchor="t" anchorCtr="0" forceAA="0" compatLnSpc="1">
                          <a:prstTxWarp prst="textNoShape">
                            <a:avLst/>
                          </a:prstTxWarp>
                        </wps:bodyPr>
                      </wps:wsp>
                      <wps:wsp>
                        <wps:cNvPr id="1733807329" name="Text Box 28"/>
                        <wps:cNvSpPr txBox="1"/>
                        <wps:spPr>
                          <a:xfrm>
                            <a:off x="-10199" y="5640696"/>
                            <a:ext cx="5563874" cy="86661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3C78" w:rsidRDefault="00BA7A7F" w:rsidP="00053C78">
                              <w:pPr>
                                <w:pStyle w:val="HeadingsBoxes"/>
                                <w:spacing w:before="60" w:after="60"/>
                              </w:pPr>
                              <w:r>
                                <w:t>National Offshore Petroleum Safety and Environmental Management Authority (NOPSEMA)</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sz w:val="16"/>
                                  <w:szCs w:val="16"/>
                                </w:rPr>
                                <w:t>Chief Executive Officer: Mr Stuart Smith</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sz w:val="16"/>
                                  <w:szCs w:val="16"/>
                                </w:rPr>
                                <w:t>Outcome: Promote and enforce the effective management of risks to the workforce, the environment and the structural integrity of facilities, wells and well-related equipment of the Australian offshore petroleum and greenhouse gas storage industries through regulatory oversight</w:t>
                              </w:r>
                            </w:p>
                            <w:p w:rsidR="00053C78" w:rsidRDefault="00053C78" w:rsidP="00053C78">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wps:wsp>
                        <wps:cNvPr id="151266154" name="Text Box 47"/>
                        <wps:cNvSpPr txBox="1"/>
                        <wps:spPr>
                          <a:xfrm>
                            <a:off x="-1" y="0"/>
                            <a:ext cx="5563875" cy="80437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3C78" w:rsidRDefault="00BA7A7F" w:rsidP="00053C78">
                              <w:pPr>
                                <w:keepLines w:val="0"/>
                                <w:spacing w:before="60" w:after="60" w:line="240" w:lineRule="auto"/>
                                <w:jc w:val="center"/>
                                <w:rPr>
                                  <w:rFonts w:ascii="Arial" w:hAnsi="Arial" w:cs="Arial"/>
                                  <w:b/>
                                  <w:bCs/>
                                  <w:sz w:val="16"/>
                                  <w:szCs w:val="16"/>
                                </w:rPr>
                              </w:pPr>
                              <w:r>
                                <w:rPr>
                                  <w:rFonts w:ascii="Arial" w:hAnsi="Arial" w:cs="Arial"/>
                                  <w:b/>
                                  <w:bCs/>
                                  <w:sz w:val="16"/>
                                  <w:szCs w:val="16"/>
                                </w:rPr>
                                <w:t>Clean Energy Finance Corporation (CEFC)</w:t>
                              </w:r>
                            </w:p>
                            <w:p w:rsidR="00053C78" w:rsidRDefault="00BA7A7F" w:rsidP="00053C78">
                              <w:pPr>
                                <w:keepLines w:val="0"/>
                                <w:spacing w:before="60" w:after="60" w:line="240" w:lineRule="auto"/>
                                <w:jc w:val="center"/>
                                <w:rPr>
                                  <w:rFonts w:ascii="Arial" w:hAnsi="Arial" w:cs="Arial"/>
                                  <w:bCs/>
                                  <w:sz w:val="16"/>
                                  <w:szCs w:val="16"/>
                                </w:rPr>
                              </w:pPr>
                              <w:r>
                                <w:rPr>
                                  <w:rFonts w:ascii="Arial" w:hAnsi="Arial" w:cs="Arial"/>
                                  <w:bCs/>
                                  <w:sz w:val="16"/>
                                  <w:szCs w:val="16"/>
                                </w:rPr>
                                <w:t>Chief Executive Officer: Mr Ian Learmonth</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bCs/>
                                  <w:sz w:val="16"/>
                                  <w:szCs w:val="16"/>
                                </w:rPr>
                                <w:t>Outcome: Facilitate increased flows of finance into Australia's clean energy sector, applying commercial rigour to investing in renewable energy, low-emissions and energy efficiency technologies, building industry capacity, and disseminating information to industry stakeholders</w:t>
                              </w:r>
                            </w:p>
                            <w:p w:rsidR="00053C78" w:rsidRDefault="00053C78" w:rsidP="00053C78">
                              <w:pPr>
                                <w:pStyle w:val="HeadingsBoxes"/>
                                <w:spacing w:before="60" w:after="60"/>
                              </w:pPr>
                            </w:p>
                          </w:txbxContent>
                        </wps:txbx>
                        <wps:bodyPr rot="0" spcFirstLastPara="0"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 o:spid="_x0000_s1051" style="position:absolute;left:0;text-align:left;margin-left:-.15pt;margin-top:4.05pt;width:390.75pt;height:511.7pt;z-index:251664384;mso-width-relative:margin;mso-height-relative:margin" coordorigin="-102" coordsize="55740,6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">
                <v:shape id="Text Box 8" o:spid="_x0000_s1052" type="#_x0000_t202" style="position:absolute;left:-95;top:8660;width:55637;height:1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gic0A&#10;AADjAAAADwAAAGRycy9kb3ducmV2LnhtbESPQUsDMRCF74L/IYzgzSYVa7dr0yLSgoIUrGI9ppvp&#10;ZjGZbDdxu/rrnYPgcea9ee+b+XIIXvTYpSaShvFIgUCqom2o1vD2ur4qQKRsyBofCTV8Y4Ll4vxs&#10;bkobT/SC/TbXgkMolUaDy7ktpUyVw2DSKLZIrB1iF0zmsaul7cyJw4OX10rdymAa4gZnWnxwWH1u&#10;v4KG5/fdcbXefKgd7n0z6f3UPf3stb68GO7vQGQc8r/57/rRMv6smE0nN4ViaP6JFyAXv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Gi0IInNAAAA4wAAAA8AAAAAAAAAAAAAAAAA&#10;mAIAAGRycy9kb3ducmV2LnhtbFBLBQYAAAAABAAEAPUAAACSAwAAAAA=&#10;" filled="f" strokeweight=".5pt">
                  <v:textbox>
                    <w:txbxContent>
                      <w:p w:rsidR="00053C78" w:rsidRDefault="00BA7A7F" w:rsidP="00053C78">
                        <w:pPr>
                          <w:keepLines w:val="0"/>
                          <w:spacing w:before="60" w:after="60" w:line="240" w:lineRule="auto"/>
                          <w:jc w:val="center"/>
                          <w:rPr>
                            <w:rFonts w:ascii="Arial" w:hAnsi="Arial" w:cs="Arial"/>
                            <w:b/>
                            <w:bCs/>
                            <w:sz w:val="16"/>
                            <w:szCs w:val="16"/>
                          </w:rPr>
                        </w:pPr>
                        <w:r>
                          <w:rPr>
                            <w:rFonts w:ascii="Arial" w:hAnsi="Arial" w:cs="Arial"/>
                            <w:b/>
                            <w:bCs/>
                            <w:sz w:val="16"/>
                            <w:szCs w:val="16"/>
                          </w:rPr>
                          <w:t>Clean Energy Regulator (CER)</w:t>
                        </w:r>
                      </w:p>
                      <w:p w:rsidR="00053C78" w:rsidRDefault="00BA7A7F" w:rsidP="00053C78">
                        <w:pPr>
                          <w:keepLines w:val="0"/>
                          <w:spacing w:before="60" w:after="60" w:line="240" w:lineRule="auto"/>
                          <w:jc w:val="center"/>
                          <w:rPr>
                            <w:rFonts w:ascii="Arial" w:hAnsi="Arial" w:cs="Arial"/>
                            <w:bCs/>
                            <w:sz w:val="16"/>
                            <w:szCs w:val="16"/>
                          </w:rPr>
                        </w:pPr>
                        <w:r>
                          <w:rPr>
                            <w:rFonts w:ascii="Arial" w:hAnsi="Arial" w:cs="Arial"/>
                            <w:bCs/>
                            <w:sz w:val="16"/>
                            <w:szCs w:val="16"/>
                          </w:rPr>
                          <w:t>Chair and Chief Executive Officer: Mr David Parker AM</w:t>
                        </w:r>
                      </w:p>
                      <w:p w:rsidR="00053C78" w:rsidRDefault="00BA7A7F" w:rsidP="00053C78">
                        <w:pPr>
                          <w:keepLines w:val="0"/>
                          <w:spacing w:before="60" w:after="60" w:line="240" w:lineRule="auto"/>
                          <w:jc w:val="center"/>
                          <w:rPr>
                            <w:rFonts w:ascii="Arial" w:hAnsi="Arial" w:cs="Arial"/>
                            <w:bCs/>
                            <w:sz w:val="16"/>
                            <w:szCs w:val="16"/>
                          </w:rPr>
                        </w:pPr>
                        <w:r>
                          <w:rPr>
                            <w:rFonts w:ascii="Arial" w:hAnsi="Arial" w:cs="Arial"/>
                            <w:bCs/>
                            <w:sz w:val="16"/>
                            <w:szCs w:val="16"/>
                          </w:rPr>
                          <w:t>Outcome</w:t>
                        </w:r>
                        <w:r w:rsidR="003C5DEB">
                          <w:rPr>
                            <w:rFonts w:ascii="Arial" w:hAnsi="Arial" w:cs="Arial"/>
                            <w:bCs/>
                            <w:sz w:val="16"/>
                            <w:szCs w:val="16"/>
                          </w:rPr>
                          <w:t xml:space="preserve"> 1</w:t>
                        </w:r>
                        <w:r>
                          <w:rPr>
                            <w:rFonts w:ascii="Arial" w:hAnsi="Arial" w:cs="Arial"/>
                            <w:bCs/>
                            <w:sz w:val="16"/>
                            <w:szCs w:val="16"/>
                          </w:rPr>
                          <w:t>:</w:t>
                        </w:r>
                        <w:r>
                          <w:rPr>
                            <w:rFonts w:ascii="Arial" w:hAnsi="Arial" w:cs="Arial"/>
                            <w:b/>
                            <w:bCs/>
                            <w:sz w:val="16"/>
                            <w:szCs w:val="16"/>
                          </w:rPr>
                          <w:t xml:space="preserve"> </w:t>
                        </w:r>
                        <w:r>
                          <w:rPr>
                            <w:rFonts w:ascii="Arial" w:hAnsi="Arial" w:cs="Arial"/>
                            <w:bCs/>
                            <w:sz w:val="16"/>
                            <w:szCs w:val="16"/>
                          </w:rPr>
                          <w:t>Contribute to a reduction in Australia's net greenhouse gas emissions, including through the administration of market</w:t>
                        </w:r>
                        <w:r w:rsidR="009755A6">
                          <w:rPr>
                            <w:rFonts w:ascii="Arial" w:hAnsi="Arial" w:cs="Arial"/>
                            <w:bCs/>
                            <w:sz w:val="16"/>
                            <w:szCs w:val="16"/>
                          </w:rPr>
                          <w:t>-</w:t>
                        </w:r>
                        <w:r>
                          <w:rPr>
                            <w:rFonts w:ascii="Arial" w:hAnsi="Arial" w:cs="Arial"/>
                            <w:bCs/>
                            <w:sz w:val="16"/>
                            <w:szCs w:val="16"/>
                          </w:rPr>
                          <w:t>based mechanisms that incentivise reduction in emissions and the promotion of additional renewable electricity generation</w:t>
                        </w:r>
                      </w:p>
                      <w:p w:rsidR="003C5DEB" w:rsidRPr="00053C78" w:rsidRDefault="00BA7A7F" w:rsidP="003C5DEB">
                        <w:pPr>
                          <w:keepLines w:val="0"/>
                          <w:spacing w:before="60" w:after="60" w:line="240" w:lineRule="auto"/>
                          <w:jc w:val="center"/>
                          <w:rPr>
                            <w:rFonts w:ascii="Arial" w:hAnsi="Arial" w:cs="Arial"/>
                            <w:sz w:val="16"/>
                            <w:szCs w:val="16"/>
                          </w:rPr>
                        </w:pPr>
                        <w:r>
                          <w:rPr>
                            <w:rFonts w:ascii="Arial" w:hAnsi="Arial" w:cs="Arial"/>
                            <w:bCs/>
                            <w:sz w:val="16"/>
                            <w:szCs w:val="16"/>
                          </w:rPr>
                          <w:t>Outcome 2:</w:t>
                        </w:r>
                        <w:r>
                          <w:rPr>
                            <w:rFonts w:ascii="Arial" w:hAnsi="Arial" w:cs="Arial"/>
                            <w:b/>
                            <w:bCs/>
                            <w:sz w:val="16"/>
                            <w:szCs w:val="16"/>
                          </w:rPr>
                          <w:t xml:space="preserve"> </w:t>
                        </w:r>
                        <w:r w:rsidR="002775D2">
                          <w:rPr>
                            <w:rFonts w:ascii="Arial" w:hAnsi="Arial" w:cs="Arial"/>
                            <w:bCs/>
                            <w:sz w:val="16"/>
                            <w:szCs w:val="16"/>
                          </w:rPr>
                          <w:t>Contribute to the sustainable management of Australia’s biodiversity throu</w:t>
                        </w:r>
                        <w:r w:rsidR="009755A6">
                          <w:rPr>
                            <w:rFonts w:ascii="Arial" w:hAnsi="Arial" w:cs="Arial"/>
                            <w:bCs/>
                            <w:sz w:val="16"/>
                            <w:szCs w:val="16"/>
                          </w:rPr>
                          <w:t>gh the administration of market-</w:t>
                        </w:r>
                        <w:r w:rsidR="002775D2">
                          <w:rPr>
                            <w:rFonts w:ascii="Arial" w:hAnsi="Arial" w:cs="Arial"/>
                            <w:bCs/>
                            <w:sz w:val="16"/>
                            <w:szCs w:val="16"/>
                          </w:rPr>
                          <w:t>based mechanisms that incentivise the preservation and improvement of diverse ecosystems</w:t>
                        </w:r>
                      </w:p>
                      <w:p w:rsidR="003C5DEB" w:rsidRPr="00053C78" w:rsidRDefault="003C5DEB" w:rsidP="00053C78">
                        <w:pPr>
                          <w:keepLines w:val="0"/>
                          <w:spacing w:before="60" w:after="60" w:line="240" w:lineRule="auto"/>
                          <w:jc w:val="center"/>
                          <w:rPr>
                            <w:rFonts w:ascii="Arial" w:hAnsi="Arial" w:cs="Arial"/>
                            <w:sz w:val="16"/>
                            <w:szCs w:val="16"/>
                          </w:rPr>
                        </w:pPr>
                      </w:p>
                    </w:txbxContent>
                  </v:textbox>
                </v:shape>
                <v:shape id="Text Box 10" o:spid="_x0000_s1053" type="#_x0000_t202" style="position:absolute;top:20879;width:55638;height:7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iMgA&#10;AADjAAAADwAAAGRycy9kb3ducmV2LnhtbERPX0vDMBB/F/Ydwgm+uWSD6VqXDREHCiJsivPx1pxN&#10;WXKpTeyqn94IAx/v9/8Wq8E70VMXm8AaJmMFgrgKpuFaw+vL+nIOIiZkgy4wafimCKvl6GyBpQlH&#10;3lC/TbXIIRxL1GBTakspY2XJYxyHljhzH6HzmPLZ1dJ0eMzh3smpUlfSY8O5wWJLd5aqw/bLa3h6&#10;233er5/f1Y72rpn17to+/uy1vjgfbm9AJBrSv/jkfjB5/rRQRaHUZAZ/P2UA5P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P6mIyAAAAOMAAAAPAAAAAAAAAAAAAAAAAJgCAABk&#10;cnMvZG93bnJldi54bWxQSwUGAAAAAAQABAD1AAAAjQMAAAAA&#10;" filled="f" strokeweight=".5pt">
                  <v:textbox>
                    <w:txbxContent>
                      <w:p w:rsidR="00053C78" w:rsidRDefault="00BA7A7F" w:rsidP="00053C78">
                        <w:pPr>
                          <w:keepLines w:val="0"/>
                          <w:spacing w:before="60" w:after="60" w:line="240" w:lineRule="auto"/>
                          <w:jc w:val="center"/>
                          <w:rPr>
                            <w:rFonts w:ascii="Arial" w:hAnsi="Arial" w:cs="Arial"/>
                            <w:b/>
                            <w:bCs/>
                            <w:sz w:val="16"/>
                            <w:szCs w:val="16"/>
                          </w:rPr>
                        </w:pPr>
                        <w:r>
                          <w:rPr>
                            <w:rFonts w:ascii="Arial" w:hAnsi="Arial" w:cs="Arial"/>
                            <w:b/>
                            <w:bCs/>
                            <w:sz w:val="16"/>
                            <w:szCs w:val="16"/>
                          </w:rPr>
                          <w:t>Climate Change Authority (CCA)</w:t>
                        </w:r>
                      </w:p>
                      <w:p w:rsidR="00053C78" w:rsidRDefault="00BA7A7F" w:rsidP="00053C78">
                        <w:pPr>
                          <w:keepLines w:val="0"/>
                          <w:spacing w:before="60" w:after="60" w:line="240" w:lineRule="auto"/>
                          <w:jc w:val="center"/>
                          <w:rPr>
                            <w:rFonts w:ascii="Arial" w:hAnsi="Arial" w:cs="Arial"/>
                            <w:bCs/>
                            <w:sz w:val="16"/>
                            <w:szCs w:val="16"/>
                          </w:rPr>
                        </w:pPr>
                        <w:r>
                          <w:rPr>
                            <w:rFonts w:ascii="Arial" w:hAnsi="Arial" w:cs="Arial"/>
                            <w:bCs/>
                            <w:sz w:val="16"/>
                            <w:szCs w:val="16"/>
                          </w:rPr>
                          <w:t>Chief Executive Officer: Mr Brad Archer</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bCs/>
                            <w:sz w:val="16"/>
                            <w:szCs w:val="16"/>
                          </w:rPr>
                          <w:t>Outcome: Provide expert advice to the Australian Government on climate change initiatives, including through conducting regular and specifically commissioned reviews and through undertaking climate change research</w:t>
                        </w:r>
                      </w:p>
                      <w:p w:rsidR="00053C78" w:rsidRDefault="00053C78" w:rsidP="00053C78">
                        <w:pPr>
                          <w:pStyle w:val="HeadingsBoxes"/>
                          <w:spacing w:before="60" w:after="60"/>
                        </w:pPr>
                      </w:p>
                    </w:txbxContent>
                  </v:textbox>
                </v:shape>
                <v:shape id="Text Box 17" o:spid="_x0000_s1054" type="#_x0000_t202" style="position:absolute;left:-102;top:29238;width:55638;height:8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n+8UA&#10;AADjAAAADwAAAGRycy9kb3ducmV2LnhtbERPzUoDMRC+C75DGMGbzXYL7bo2LSpVBE9W8Txspklw&#10;M1mSdLt9+0YQPM73P+vt5HsxUkwusIL5rAJB3AXt2Cj4+ny5a0CkjKyxD0wKzpRgu7m+WmOrw4k/&#10;aNxnI0oIpxYV2JyHVsrUWfKYZmEgLtwhRI+5nNFIHfFUwn0v66paSo+OS4PFgZ4tdT/7o1ewezL3&#10;pmsw2l2jnRun78O7eVXq9mZ6fACRacr/4j/3my7zV/W8XtbNagG/PxUA5OY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Kf7xQAAAOMAAAAPAAAAAAAAAAAAAAAAAJgCAABkcnMv&#10;ZG93bnJldi54bWxQSwUGAAAAAAQABAD1AAAAigMAAAAA&#10;" fillcolor="white [3201]" strokeweight=".5pt">
                  <v:textbox>
                    <w:txbxContent>
                      <w:p w:rsidR="00053C78" w:rsidRDefault="00BA7A7F" w:rsidP="00053C78">
                        <w:pPr>
                          <w:pStyle w:val="HeadingsBoxes"/>
                          <w:spacing w:before="60" w:after="60"/>
                        </w:pPr>
                        <w:r>
                          <w:t>Commonwealth Scientific and Industrial Research Organisation (CSIRO)</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sz w:val="16"/>
                            <w:szCs w:val="16"/>
                          </w:rPr>
                          <w:t>Chief Executive: Dr Larry Marshall</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sz w:val="16"/>
                            <w:szCs w:val="16"/>
                          </w:rPr>
                          <w:t>Outcome: Innovative scientific and technology solutions to national challenges and opportunities to benefit industry, the environment and the community, through scientific research and capability development, services and advice</w:t>
                        </w:r>
                      </w:p>
                    </w:txbxContent>
                  </v:textbox>
                </v:shape>
                <v:shape id="Text Box 19" o:spid="_x0000_s1055" type="#_x0000_t202" style="position:absolute;left:-102;top:37966;width:55638;height:8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x6LcgA&#10;AADiAAAADwAAAGRycy9kb3ducmV2LnhtbERPXUvDMBR9F/wP4Qq+ucRhN63LhogDByJsivPxrrk2&#10;xeSmNrHr/PVGEPZ4ON+zxeCd6KmLTWANlyMFgrgKpuFaw+vL8uIaREzIBl1g0nCgCIv56ckMSxP2&#10;vKZ+k2qRQziWqMGm1JZSxsqSxzgKLXHmPkLnMWXY1dJ0uM/h3smxUhPpseHcYLGle0vV5+bba3h6&#10;2349LJ/f1ZZ2ril6N7Wrn53W52fD3S2IREM6iv/djybPnxTqalzcTOHvUsY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rHotyAAAAOIAAAAPAAAAAAAAAAAAAAAAAJgCAABk&#10;cnMvZG93bnJldi54bWxQSwUGAAAAAAQABAD1AAAAjQMAAAAA&#10;" filled="f" strokeweight=".5pt">
                  <v:textbox>
                    <w:txbxContent>
                      <w:p w:rsidR="00053C78" w:rsidRDefault="00BA7A7F" w:rsidP="00053C78">
                        <w:pPr>
                          <w:pStyle w:val="HeadingsBoxes"/>
                          <w:spacing w:before="60" w:after="60"/>
                        </w:pPr>
                        <w:r>
                          <w:t>Geoscience Australia (GA)</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sz w:val="16"/>
                            <w:szCs w:val="16"/>
                          </w:rPr>
                          <w:t>Chief Executive Officer: Dr James Johnson</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sz w:val="16"/>
                            <w:szCs w:val="16"/>
                          </w:rPr>
                          <w:t>Outcome: Informed government, industry and community decisions on the economic, social and environmental management of the nation’s natural resources through enabling access to geoscientific and spatial information</w:t>
                        </w:r>
                      </w:p>
                    </w:txbxContent>
                  </v:textbox>
                </v:shape>
                <v:shape id="Text Box 20" o:spid="_x0000_s1056" type="#_x0000_t202" style="position:absolute;left:-95;top:46831;width:55637;height:8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XvlswA&#10;AADiAAAADwAAAGRycy9kb3ducmV2LnhtbESPUUvDMBSF3wX/Q7iCby6drLPUZWOIAwdDcMq2x7vm&#10;2pQlN7WJXfXXG0Hw8XDO+Q5nthicFT11ofGsYDzKQBBXXjdcK3h7Xd0UIEJE1mg9k4IvCrCYX17M&#10;sNT+zC/Ub2MtEoRDiQpMjG0pZagMOQwj3xIn7913DmOSXS11h+cEd1beZtlUOmw4LRhs6cFQddp+&#10;OgWb3f7jcfV8yPZ0tE3e2zuz/j4qdX01LO9BRBrif/iv/aQVTMZFkU8neQ6/l9IdkPM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J0XvlswAAADiAAAADwAAAAAAAAAAAAAAAACY&#10;AgAAZHJzL2Rvd25yZXYueG1sUEsFBgAAAAAEAAQA9QAAAJEDAAAAAA==&#10;" filled="f" strokeweight=".5pt">
                  <v:textbox>
                    <w:txbxContent>
                      <w:p w:rsidR="00053C78" w:rsidRDefault="00BA7A7F" w:rsidP="00053C78">
                        <w:pPr>
                          <w:pStyle w:val="HeadingsBoxes"/>
                          <w:spacing w:before="60" w:after="60"/>
                        </w:pPr>
                        <w:r>
                          <w:t>IP Australia</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sz w:val="16"/>
                            <w:szCs w:val="16"/>
                          </w:rPr>
                          <w:t>Director General: Mr Michael Schwager</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sz w:val="16"/>
                            <w:szCs w:val="16"/>
                          </w:rPr>
                          <w:t>Outcome: Increased innovation, investment and trade in Australia, and by Australians overseas, through the administration of the registrable intellectual property rights system, promoting public awareness and industry engagement, and advising government</w:t>
                        </w:r>
                      </w:p>
                      <w:p w:rsidR="00053C78" w:rsidRDefault="00053C78" w:rsidP="00053C78">
                        <w:pPr>
                          <w:keepLines w:val="0"/>
                          <w:spacing w:before="60" w:after="60" w:line="240" w:lineRule="auto"/>
                          <w:jc w:val="center"/>
                          <w:rPr>
                            <w:rFonts w:ascii="Arial" w:hAnsi="Arial" w:cs="Arial"/>
                            <w:color w:val="000000"/>
                            <w:sz w:val="16"/>
                            <w:szCs w:val="16"/>
                          </w:rPr>
                        </w:pPr>
                      </w:p>
                    </w:txbxContent>
                  </v:textbox>
                </v:shape>
                <v:shape id="Text Box 28" o:spid="_x0000_s1057" type="#_x0000_t202" style="position:absolute;left:-101;top:56406;width:55637;height:8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NMckA&#10;AADjAAAADwAAAGRycy9kb3ducmV2LnhtbERPX0vDMBB/F/wO4QTfXOKKdtZlQ8SBggjOsfl4a86m&#10;mFxqE7vqpzeC4OP9/t98OXonBupjG1jD+USBIK6DabnRsHlZnc1AxIRs0AUmDV8UYbk4PppjZcKB&#10;n2lYp0bkEI4VarApdZWUsbbkMU5CR5y5t9B7TPnsG2l6PORw7+RUqUvpseXcYLGjW0v1+/rTa3jc&#10;7j7uVk+vakd7114MrrQP33utT0/Gm2sQicb0L/5z35s8vyyKmSqL6RX8/pQB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fNMckAAADjAAAADwAAAAAAAAAAAAAAAACYAgAA&#10;ZHJzL2Rvd25yZXYueG1sUEsFBgAAAAAEAAQA9QAAAI4DAAAAAA==&#10;" filled="f" strokeweight=".5pt">
                  <v:textbox>
                    <w:txbxContent>
                      <w:p w:rsidR="00053C78" w:rsidRDefault="00BA7A7F" w:rsidP="00053C78">
                        <w:pPr>
                          <w:pStyle w:val="HeadingsBoxes"/>
                          <w:spacing w:before="60" w:after="60"/>
                        </w:pPr>
                        <w:r>
                          <w:t>National Offshore Petroleum Safety and Environmental Management Authority (NOPSEMA)</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sz w:val="16"/>
                            <w:szCs w:val="16"/>
                          </w:rPr>
                          <w:t>Chief Executive Officer: Mr Stuart Smith</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sz w:val="16"/>
                            <w:szCs w:val="16"/>
                          </w:rPr>
                          <w:t>Outcome: Promote and enforce the effective management of risks to the workforce, the environment and the structural integrity of facilities, wells and well-related equipment of the Australian offshore petroleum and greenhouse gas storage industries through regulatory oversight</w:t>
                        </w:r>
                      </w:p>
                      <w:p w:rsidR="00053C78" w:rsidRDefault="00053C78" w:rsidP="00053C78">
                        <w:pPr>
                          <w:keepLines w:val="0"/>
                          <w:spacing w:before="60" w:after="60" w:line="240" w:lineRule="auto"/>
                          <w:jc w:val="center"/>
                          <w:rPr>
                            <w:rFonts w:ascii="Arial" w:hAnsi="Arial" w:cs="Arial"/>
                            <w:sz w:val="16"/>
                            <w:szCs w:val="16"/>
                          </w:rPr>
                        </w:pPr>
                      </w:p>
                    </w:txbxContent>
                  </v:textbox>
                </v:shape>
                <v:shape id="Text Box 47" o:spid="_x0000_s1058" type="#_x0000_t202" style="position:absolute;width:55638;height:8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sqMgA&#10;AADiAAAADwAAAGRycy9kb3ducmV2LnhtbERPXUvDMBR9F/YfwhV8c2mH7aQuGyIOFETYFOfjXXNt&#10;ypKb2sSu+uuNMPDxcL4Xq9FZMVAfWs8K8mkGgrj2uuVGwevL+vIaRIjIGq1nUvBNAVbLydkCK+2P&#10;vKFhGxuRQjhUqMDE2FVShtqQwzD1HXHiPnzvMCbYN1L3eEzhzspZlpXSYcupwWBHd4bqw/bLKXh6&#10;233er5/fsx3tbVsMdm4ef/ZKXZyPtzcgIo3xX3xyP+g0v8hnZZkXV/B3KWG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yeyoyAAAAOIAAAAPAAAAAAAAAAAAAAAAAJgCAABk&#10;cnMvZG93bnJldi54bWxQSwUGAAAAAAQABAD1AAAAjQMAAAAA&#10;" filled="f" strokeweight=".5pt">
                  <v:textbox>
                    <w:txbxContent>
                      <w:p w:rsidR="00053C78" w:rsidRDefault="00BA7A7F" w:rsidP="00053C78">
                        <w:pPr>
                          <w:keepLines w:val="0"/>
                          <w:spacing w:before="60" w:after="60" w:line="240" w:lineRule="auto"/>
                          <w:jc w:val="center"/>
                          <w:rPr>
                            <w:rFonts w:ascii="Arial" w:hAnsi="Arial" w:cs="Arial"/>
                            <w:b/>
                            <w:bCs/>
                            <w:sz w:val="16"/>
                            <w:szCs w:val="16"/>
                          </w:rPr>
                        </w:pPr>
                        <w:r>
                          <w:rPr>
                            <w:rFonts w:ascii="Arial" w:hAnsi="Arial" w:cs="Arial"/>
                            <w:b/>
                            <w:bCs/>
                            <w:sz w:val="16"/>
                            <w:szCs w:val="16"/>
                          </w:rPr>
                          <w:t>Clean Energy Finance Corporation (CEFC)</w:t>
                        </w:r>
                      </w:p>
                      <w:p w:rsidR="00053C78" w:rsidRDefault="00BA7A7F" w:rsidP="00053C78">
                        <w:pPr>
                          <w:keepLines w:val="0"/>
                          <w:spacing w:before="60" w:after="60" w:line="240" w:lineRule="auto"/>
                          <w:jc w:val="center"/>
                          <w:rPr>
                            <w:rFonts w:ascii="Arial" w:hAnsi="Arial" w:cs="Arial"/>
                            <w:bCs/>
                            <w:sz w:val="16"/>
                            <w:szCs w:val="16"/>
                          </w:rPr>
                        </w:pPr>
                        <w:r>
                          <w:rPr>
                            <w:rFonts w:ascii="Arial" w:hAnsi="Arial" w:cs="Arial"/>
                            <w:bCs/>
                            <w:sz w:val="16"/>
                            <w:szCs w:val="16"/>
                          </w:rPr>
                          <w:t>Chief Executive Officer: Mr Ian Learmonth</w:t>
                        </w:r>
                      </w:p>
                      <w:p w:rsidR="00053C78" w:rsidRDefault="00BA7A7F" w:rsidP="00053C78">
                        <w:pPr>
                          <w:keepLines w:val="0"/>
                          <w:spacing w:before="60" w:after="60" w:line="240" w:lineRule="auto"/>
                          <w:jc w:val="center"/>
                          <w:rPr>
                            <w:rFonts w:ascii="Arial" w:hAnsi="Arial" w:cs="Arial"/>
                            <w:sz w:val="16"/>
                            <w:szCs w:val="16"/>
                          </w:rPr>
                        </w:pPr>
                        <w:r>
                          <w:rPr>
                            <w:rFonts w:ascii="Arial" w:hAnsi="Arial" w:cs="Arial"/>
                            <w:bCs/>
                            <w:sz w:val="16"/>
                            <w:szCs w:val="16"/>
                          </w:rPr>
                          <w:t>Outcome: Facilitate increased flows of finance into Australia's clean energy sector, applying commercial rigour to investing in renewable energy, low-emissions and energy efficiency technologies, building industry capacity, and disseminating information to industry stakeholders</w:t>
                        </w:r>
                      </w:p>
                      <w:p w:rsidR="00053C78" w:rsidRDefault="00053C78" w:rsidP="00053C78">
                        <w:pPr>
                          <w:pStyle w:val="HeadingsBoxes"/>
                          <w:spacing w:before="60" w:after="60"/>
                        </w:pPr>
                      </w:p>
                    </w:txbxContent>
                  </v:textbox>
                </v:shape>
              </v:group>
            </w:pict>
          </mc:Fallback>
        </mc:AlternateContent>
      </w:r>
    </w:p>
    <w:p w:rsidR="003C5DEB" w:rsidRPr="003C5DEB" w:rsidRDefault="00BA7A7F" w:rsidP="003C5DEB">
      <w:pPr>
        <w:pStyle w:val="TableHeading"/>
      </w:pPr>
      <w:r>
        <w:br w:type="page"/>
        <w:t xml:space="preserve">Figure 1: </w:t>
      </w:r>
      <w:r w:rsidRPr="001672B7">
        <w:t xml:space="preserve">Industry, Science, Energy and Resources </w:t>
      </w:r>
      <w:r>
        <w:t>portfolio structure and outcomes (continued)</w:t>
      </w:r>
    </w:p>
    <w:p w:rsidR="00375547" w:rsidRPr="00053C78" w:rsidRDefault="00BA7A7F" w:rsidP="003469E1">
      <w:pPr>
        <w:pStyle w:val="TableGraphic"/>
        <w:sectPr w:rsidR="00375547" w:rsidRPr="00053C78" w:rsidSect="007940E0">
          <w:headerReference w:type="even" r:id="rId85"/>
          <w:headerReference w:type="default" r:id="rId86"/>
          <w:footerReference w:type="even" r:id="rId87"/>
          <w:footerReference w:type="default" r:id="rId88"/>
          <w:headerReference w:type="first" r:id="rId89"/>
          <w:footerReference w:type="first" r:id="rId90"/>
          <w:type w:val="continuous"/>
          <w:pgSz w:w="11906" w:h="16838"/>
          <w:pgMar w:top="2466" w:right="2098" w:bottom="2466" w:left="2098" w:header="1899" w:footer="1899" w:gutter="0"/>
          <w:pgBorders>
            <w:top w:val="nil"/>
            <w:left w:val="nil"/>
            <w:bottom w:val="nil"/>
            <w:right w:val="nil"/>
          </w:pgBorders>
          <w:cols w:space="720"/>
          <w:docGrid w:linePitch="360"/>
        </w:sectPr>
      </w:pPr>
      <w:r>
        <w:rPr>
          <w:noProof/>
        </w:rPr>
        <mc:AlternateContent>
          <mc:Choice Requires="wps">
            <w:drawing>
              <wp:anchor distT="0" distB="0" distL="114300" distR="114300" simplePos="0" relativeHeight="251668480" behindDoc="0" locked="0" layoutInCell="1" allowOverlap="1">
                <wp:simplePos x="0" y="0"/>
                <wp:positionH relativeFrom="margin">
                  <wp:posOffset>-57774</wp:posOffset>
                </wp:positionH>
                <wp:positionV relativeFrom="paragraph">
                  <wp:posOffset>79375</wp:posOffset>
                </wp:positionV>
                <wp:extent cx="4953600" cy="939600"/>
                <wp:effectExtent l="0" t="0" r="19050" b="13335"/>
                <wp:wrapNone/>
                <wp:docPr id="1620600527" name="Text Box 16"/>
                <wp:cNvGraphicFramePr/>
                <a:graphic xmlns:a="http://schemas.openxmlformats.org/drawingml/2006/main">
                  <a:graphicData uri="http://schemas.microsoft.com/office/word/2010/wordprocessingShape">
                    <wps:wsp>
                      <wps:cNvSpPr txBox="1"/>
                      <wps:spPr>
                        <a:xfrm>
                          <a:off x="0" y="0"/>
                          <a:ext cx="4953600" cy="9396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469E1" w:rsidRDefault="00BA7A7F" w:rsidP="003469E1">
                            <w:pPr>
                              <w:keepLines w:val="0"/>
                              <w:spacing w:before="60" w:after="60" w:line="240" w:lineRule="auto"/>
                              <w:jc w:val="center"/>
                              <w:rPr>
                                <w:rFonts w:ascii="Arial" w:hAnsi="Arial" w:cs="Arial"/>
                                <w:b/>
                                <w:bCs/>
                                <w:sz w:val="16"/>
                                <w:szCs w:val="16"/>
                              </w:rPr>
                            </w:pPr>
                            <w:r>
                              <w:rPr>
                                <w:rFonts w:ascii="Arial" w:hAnsi="Arial" w:cs="Arial"/>
                                <w:b/>
                                <w:bCs/>
                                <w:sz w:val="16"/>
                                <w:szCs w:val="16"/>
                              </w:rPr>
                              <w:t>Snowy Hydro Limited</w:t>
                            </w:r>
                          </w:p>
                          <w:p w:rsidR="003469E1" w:rsidRDefault="00BA7A7F" w:rsidP="003469E1">
                            <w:pPr>
                              <w:keepLines w:val="0"/>
                              <w:spacing w:before="60" w:after="60" w:line="240" w:lineRule="auto"/>
                              <w:jc w:val="center"/>
                              <w:rPr>
                                <w:rFonts w:ascii="Arial" w:hAnsi="Arial" w:cs="Arial"/>
                                <w:bCs/>
                                <w:sz w:val="16"/>
                                <w:szCs w:val="16"/>
                              </w:rPr>
                            </w:pPr>
                            <w:r>
                              <w:rPr>
                                <w:rFonts w:ascii="Arial" w:hAnsi="Arial" w:cs="Arial"/>
                                <w:bCs/>
                                <w:sz w:val="16"/>
                                <w:szCs w:val="16"/>
                              </w:rPr>
                              <w:t>Chief Executive Officer: Mr Paul Broad</w:t>
                            </w:r>
                          </w:p>
                          <w:p w:rsidR="003469E1" w:rsidRDefault="00BA7A7F" w:rsidP="003469E1">
                            <w:pPr>
                              <w:keepLines w:val="0"/>
                              <w:spacing w:before="60" w:after="60" w:line="240" w:lineRule="auto"/>
                              <w:jc w:val="center"/>
                              <w:rPr>
                                <w:rFonts w:ascii="Arial" w:hAnsi="Arial" w:cs="Arial"/>
                                <w:sz w:val="16"/>
                                <w:szCs w:val="16"/>
                              </w:rPr>
                            </w:pPr>
                            <w:r>
                              <w:rPr>
                                <w:rFonts w:ascii="Arial" w:hAnsi="Arial" w:cs="Arial"/>
                                <w:bCs/>
                                <w:sz w:val="16"/>
                                <w:szCs w:val="16"/>
                              </w:rPr>
                              <w:t>Objective:</w:t>
                            </w:r>
                            <w:r>
                              <w:rPr>
                                <w:rFonts w:ascii="Arial" w:hAnsi="Arial" w:cs="Arial"/>
                                <w:b/>
                                <w:bCs/>
                                <w:sz w:val="16"/>
                                <w:szCs w:val="16"/>
                              </w:rPr>
                              <w:t xml:space="preserve"> </w:t>
                            </w:r>
                            <w:r>
                              <w:rPr>
                                <w:rFonts w:ascii="Arial" w:hAnsi="Arial" w:cs="Arial"/>
                                <w:bCs/>
                                <w:sz w:val="16"/>
                                <w:szCs w:val="16"/>
                              </w:rPr>
                              <w:t>To operate as a commercial integrated energy business producing, supplying, trading and retailing energy in the National Electricity Market to create value for and provide returns to its shareholders and to manage the water resources of the Snowy Hydro Scheme in compliance with the Snowy Water Licence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 o:spid="_x0000_s1059" type="#_x0000_t202" style="position:absolute;left:0;text-align:left;margin-left:-4.55pt;margin-top:6.25pt;width:390.05pt;height:7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" filled="f" strokecolor="black [3213]" strokeweight=".5pt">
                <v:textbox>
                  <w:txbxContent>
                    <w:p w:rsidR="003469E1" w:rsidRDefault="00BA7A7F" w:rsidP="003469E1">
                      <w:pPr>
                        <w:keepLines w:val="0"/>
                        <w:spacing w:before="60" w:after="60" w:line="240" w:lineRule="auto"/>
                        <w:jc w:val="center"/>
                        <w:rPr>
                          <w:rFonts w:ascii="Arial" w:hAnsi="Arial" w:cs="Arial"/>
                          <w:b/>
                          <w:bCs/>
                          <w:sz w:val="16"/>
                          <w:szCs w:val="16"/>
                        </w:rPr>
                      </w:pPr>
                      <w:r>
                        <w:rPr>
                          <w:rFonts w:ascii="Arial" w:hAnsi="Arial" w:cs="Arial"/>
                          <w:b/>
                          <w:bCs/>
                          <w:sz w:val="16"/>
                          <w:szCs w:val="16"/>
                        </w:rPr>
                        <w:t>Snowy Hydro Limited</w:t>
                      </w:r>
                    </w:p>
                    <w:p w:rsidR="003469E1" w:rsidRDefault="00BA7A7F" w:rsidP="003469E1">
                      <w:pPr>
                        <w:keepLines w:val="0"/>
                        <w:spacing w:before="60" w:after="60" w:line="240" w:lineRule="auto"/>
                        <w:jc w:val="center"/>
                        <w:rPr>
                          <w:rFonts w:ascii="Arial" w:hAnsi="Arial" w:cs="Arial"/>
                          <w:bCs/>
                          <w:sz w:val="16"/>
                          <w:szCs w:val="16"/>
                        </w:rPr>
                      </w:pPr>
                      <w:r>
                        <w:rPr>
                          <w:rFonts w:ascii="Arial" w:hAnsi="Arial" w:cs="Arial"/>
                          <w:bCs/>
                          <w:sz w:val="16"/>
                          <w:szCs w:val="16"/>
                        </w:rPr>
                        <w:t>Chief Executive Officer: Mr Paul Broad</w:t>
                      </w:r>
                    </w:p>
                    <w:p w:rsidR="003469E1" w:rsidRDefault="00BA7A7F" w:rsidP="003469E1">
                      <w:pPr>
                        <w:keepLines w:val="0"/>
                        <w:spacing w:before="60" w:after="60" w:line="240" w:lineRule="auto"/>
                        <w:jc w:val="center"/>
                        <w:rPr>
                          <w:rFonts w:ascii="Arial" w:hAnsi="Arial" w:cs="Arial"/>
                          <w:sz w:val="16"/>
                          <w:szCs w:val="16"/>
                        </w:rPr>
                      </w:pPr>
                      <w:r>
                        <w:rPr>
                          <w:rFonts w:ascii="Arial" w:hAnsi="Arial" w:cs="Arial"/>
                          <w:bCs/>
                          <w:sz w:val="16"/>
                          <w:szCs w:val="16"/>
                        </w:rPr>
                        <w:t>Objective:</w:t>
                      </w:r>
                      <w:r>
                        <w:rPr>
                          <w:rFonts w:ascii="Arial" w:hAnsi="Arial" w:cs="Arial"/>
                          <w:b/>
                          <w:bCs/>
                          <w:sz w:val="16"/>
                          <w:szCs w:val="16"/>
                        </w:rPr>
                        <w:t xml:space="preserve"> </w:t>
                      </w:r>
                      <w:r>
                        <w:rPr>
                          <w:rFonts w:ascii="Arial" w:hAnsi="Arial" w:cs="Arial"/>
                          <w:bCs/>
                          <w:sz w:val="16"/>
                          <w:szCs w:val="16"/>
                        </w:rPr>
                        <w:t>To operate as a commercial integrated energy business producing, supplying, trading and retailing energy in the National Electricity Market to create value for and provide returns to its shareholders and to manage the water resources of the Snowy Hydro Scheme in compliance with the Snowy Water Licence</w:t>
                      </w:r>
                    </w:p>
                  </w:txbxContent>
                </v:textbox>
                <w10:wrap anchorx="margin"/>
              </v:shape>
            </w:pict>
          </mc:Fallback>
        </mc:AlternateContent>
      </w:r>
    </w:p>
    <w:p w:rsidR="00FF50BD" w:rsidRDefault="00BA7A7F">
      <w:pPr>
        <w:pageBreakBefore/>
        <w:rPr>
          <w:color w:val="FFFFFF"/>
        </w:rPr>
      </w:pPr>
      <w:bookmarkStart w:id="43" w:name="RG_MARKER_11741"/>
      <w:bookmarkStart w:id="44" w:name="RG_MARKER_11861"/>
      <w:r w:rsidRPr="00FF50BD">
        <w:rPr>
          <w:color w:val="FFFFFF"/>
        </w:rPr>
        <w:t>This page is intentionally blank</w:t>
      </w:r>
      <w:bookmarkEnd w:id="43"/>
      <w:bookmarkEnd w:id="44"/>
    </w:p>
    <w:p w:rsidR="00D86095" w:rsidRPr="00FF50BD" w:rsidRDefault="00BA7A7F">
      <w:pPr>
        <w:rPr>
          <w:color w:val="FFFFFF"/>
        </w:rPr>
        <w:sectPr w:rsidR="00D86095" w:rsidRPr="00FF50BD" w:rsidSect="00D86095">
          <w:headerReference w:type="even" r:id="rId91"/>
          <w:headerReference w:type="default" r:id="rId92"/>
          <w:footerReference w:type="even" r:id="rId93"/>
          <w:footerReference w:type="default" r:id="rId94"/>
          <w:headerReference w:type="first" r:id="rId95"/>
          <w:footerReference w:type="first" r:id="rId96"/>
          <w:type w:val="continuous"/>
          <w:pgSz w:w="11906" w:h="16838"/>
          <w:pgMar w:top="2466" w:right="2098" w:bottom="2466" w:left="2098" w:header="1899" w:footer="1899" w:gutter="0"/>
          <w:pgBorders>
            <w:top w:val="nil"/>
            <w:left w:val="nil"/>
            <w:bottom w:val="nil"/>
            <w:right w:val="nil"/>
          </w:pgBorders>
          <w:cols w:space="720"/>
          <w:docGrid w:linePitch="360"/>
        </w:sectPr>
      </w:pPr>
      <w:r w:rsidRPr="00FF50BD">
        <w:rPr>
          <w:color w:val="FFFFFF"/>
        </w:rPr>
        <w:t xml:space="preserve">     </w:t>
      </w:r>
    </w:p>
    <w:p w:rsidR="00573D49" w:rsidRPr="007A054F" w:rsidRDefault="00BA7A7F" w:rsidP="00573D49">
      <w:pPr>
        <w:pStyle w:val="PartHeading"/>
        <w:keepLines/>
        <w:pageBreakBefore/>
        <w:spacing w:after="0"/>
        <w:ind w:right="-36"/>
        <w:rPr>
          <w:bCs w:val="0"/>
          <w:kern w:val="0"/>
          <w:sz w:val="34"/>
          <w:szCs w:val="34"/>
        </w:rPr>
      </w:pPr>
      <w:bookmarkStart w:id="45" w:name="RG_MARKER_11694"/>
      <w:bookmarkStart w:id="46" w:name="RG_MARKER_12261"/>
      <w:r w:rsidRPr="007A054F">
        <w:rPr>
          <w:bCs w:val="0"/>
          <w:kern w:val="0"/>
          <w:sz w:val="34"/>
          <w:szCs w:val="34"/>
        </w:rPr>
        <w:t xml:space="preserve">Entity resources and </w:t>
      </w:r>
      <w:bookmarkEnd w:id="45"/>
      <w:bookmarkEnd w:id="46"/>
    </w:p>
    <w:p w:rsidR="00ED6C65" w:rsidRPr="007A054F" w:rsidRDefault="00BA7A7F" w:rsidP="00573D49">
      <w:pPr>
        <w:pStyle w:val="PartHeading"/>
        <w:keepLines/>
        <w:spacing w:after="600"/>
        <w:ind w:right="-34"/>
        <w:rPr>
          <w:bCs w:val="0"/>
          <w:kern w:val="0"/>
          <w:sz w:val="34"/>
          <w:szCs w:val="34"/>
        </w:rPr>
      </w:pPr>
      <w:r w:rsidRPr="007A054F">
        <w:rPr>
          <w:bCs w:val="0"/>
          <w:kern w:val="0"/>
          <w:sz w:val="34"/>
          <w:szCs w:val="34"/>
        </w:rPr>
        <w:t>planned performance</w:t>
      </w:r>
    </w:p>
    <w:p w:rsidR="00FE06B6" w:rsidRDefault="00BA7A7F" w:rsidP="005109B4">
      <w:pPr>
        <w:pStyle w:val="TOC2"/>
        <w:spacing w:before="240"/>
        <w:rPr>
          <w:rFonts w:ascii="Arial Bold" w:hAnsi="Arial Bold"/>
          <w:b/>
          <w:caps/>
        </w:rPr>
      </w:pPr>
      <w:r w:rsidRPr="00296685">
        <w:rPr>
          <w:rFonts w:ascii="Arial Bold" w:hAnsi="Arial Bold"/>
          <w:b/>
          <w:caps/>
        </w:rPr>
        <w:t>Department of Industry, Science, Energy and Resources</w:t>
      </w:r>
      <w:r w:rsidRPr="00296685">
        <w:rPr>
          <w:rFonts w:ascii="Arial Bold" w:hAnsi="Arial Bold"/>
          <w:b/>
          <w:caps/>
        </w:rPr>
        <w:tab/>
        <w:t>13</w:t>
      </w:r>
    </w:p>
    <w:p w:rsidR="00FE06B6" w:rsidRDefault="00BA7A7F" w:rsidP="005109B4">
      <w:pPr>
        <w:pStyle w:val="TOC2"/>
        <w:spacing w:before="240"/>
        <w:rPr>
          <w:rFonts w:ascii="Arial Bold" w:hAnsi="Arial Bold"/>
          <w:b/>
          <w:caps/>
        </w:rPr>
      </w:pPr>
      <w:r w:rsidRPr="00296685">
        <w:rPr>
          <w:rFonts w:ascii="Arial Bold" w:hAnsi="Arial Bold"/>
          <w:b/>
          <w:caps/>
        </w:rPr>
        <w:t>Australian Institute of Marine Science</w:t>
      </w:r>
      <w:r w:rsidRPr="00296685">
        <w:rPr>
          <w:rFonts w:ascii="Arial Bold" w:hAnsi="Arial Bold"/>
          <w:b/>
          <w:caps/>
        </w:rPr>
        <w:tab/>
        <w:t>83</w:t>
      </w:r>
    </w:p>
    <w:p w:rsidR="0083523E" w:rsidRPr="0083523E" w:rsidRDefault="00BA7A7F" w:rsidP="0083523E">
      <w:pPr>
        <w:pStyle w:val="TOC2"/>
        <w:spacing w:before="240"/>
        <w:rPr>
          <w:rFonts w:ascii="Arial Bold" w:hAnsi="Arial Bold"/>
          <w:b/>
          <w:caps/>
        </w:rPr>
      </w:pPr>
      <w:r w:rsidRPr="00296685">
        <w:rPr>
          <w:rFonts w:ascii="Arial Bold" w:hAnsi="Arial Bold"/>
          <w:b/>
          <w:caps/>
        </w:rPr>
        <w:t>Australian Nuclear Science and Technology Organisation</w:t>
      </w:r>
      <w:r w:rsidRPr="00296685">
        <w:rPr>
          <w:rFonts w:ascii="Arial Bold" w:hAnsi="Arial Bold"/>
          <w:b/>
          <w:caps/>
        </w:rPr>
        <w:tab/>
        <w:t>107</w:t>
      </w:r>
    </w:p>
    <w:p w:rsidR="00DD5F3F" w:rsidRPr="0083523E" w:rsidRDefault="00BA7A7F" w:rsidP="00DD5F3F">
      <w:pPr>
        <w:pStyle w:val="TOC2"/>
        <w:spacing w:before="240"/>
        <w:rPr>
          <w:rFonts w:ascii="Arial Bold" w:hAnsi="Arial Bold"/>
          <w:b/>
          <w:caps/>
        </w:rPr>
      </w:pPr>
      <w:r w:rsidRPr="00296685">
        <w:rPr>
          <w:rFonts w:ascii="Arial Bold" w:hAnsi="Arial Bold"/>
          <w:b/>
          <w:caps/>
        </w:rPr>
        <w:t>Australian Renewable Energy Agency</w:t>
      </w:r>
      <w:r w:rsidRPr="00296685">
        <w:rPr>
          <w:rFonts w:ascii="Arial Bold" w:hAnsi="Arial Bold"/>
          <w:b/>
          <w:caps/>
        </w:rPr>
        <w:tab/>
        <w:t>137</w:t>
      </w:r>
    </w:p>
    <w:p w:rsidR="00606264" w:rsidRDefault="00BA7A7F" w:rsidP="00606264">
      <w:pPr>
        <w:pStyle w:val="TOC2"/>
        <w:spacing w:before="240"/>
        <w:rPr>
          <w:rFonts w:ascii="Arial Bold" w:hAnsi="Arial Bold"/>
          <w:b/>
          <w:caps/>
        </w:rPr>
      </w:pPr>
      <w:r w:rsidRPr="00296685">
        <w:rPr>
          <w:rFonts w:ascii="Arial Bold" w:hAnsi="Arial Bold"/>
          <w:b/>
          <w:caps/>
        </w:rPr>
        <w:t>Clean Energy Finance Corporation</w:t>
      </w:r>
      <w:r w:rsidRPr="00296685">
        <w:rPr>
          <w:rFonts w:ascii="Arial Bold" w:hAnsi="Arial Bold"/>
          <w:b/>
          <w:caps/>
        </w:rPr>
        <w:tab/>
        <w:t>159</w:t>
      </w:r>
    </w:p>
    <w:p w:rsidR="0083523E" w:rsidRDefault="00BA7A7F" w:rsidP="0083523E">
      <w:pPr>
        <w:pStyle w:val="TOC2"/>
        <w:spacing w:before="240"/>
        <w:rPr>
          <w:rFonts w:ascii="Arial Bold" w:hAnsi="Arial Bold"/>
          <w:b/>
          <w:caps/>
        </w:rPr>
      </w:pPr>
      <w:r w:rsidRPr="00296685">
        <w:rPr>
          <w:rFonts w:ascii="Arial Bold" w:hAnsi="Arial Bold"/>
          <w:b/>
          <w:caps/>
        </w:rPr>
        <w:t>Clean Energy Regulator</w:t>
      </w:r>
      <w:r w:rsidRPr="00296685">
        <w:rPr>
          <w:rFonts w:ascii="Arial Bold" w:hAnsi="Arial Bold"/>
          <w:b/>
          <w:caps/>
        </w:rPr>
        <w:tab/>
        <w:t>189</w:t>
      </w:r>
    </w:p>
    <w:p w:rsidR="00DD5F3F" w:rsidRPr="00296685" w:rsidRDefault="00BA7A7F" w:rsidP="00DD5F3F">
      <w:pPr>
        <w:pStyle w:val="TOC2"/>
        <w:spacing w:before="240"/>
        <w:rPr>
          <w:rFonts w:ascii="Arial Bold" w:hAnsi="Arial Bold"/>
          <w:b/>
          <w:caps/>
        </w:rPr>
      </w:pPr>
      <w:r w:rsidRPr="00296685">
        <w:rPr>
          <w:rFonts w:ascii="Arial Bold" w:hAnsi="Arial Bold"/>
          <w:b/>
          <w:caps/>
        </w:rPr>
        <w:t>Climate Change Authority</w:t>
      </w:r>
      <w:r w:rsidRPr="00296685">
        <w:rPr>
          <w:rFonts w:ascii="Arial Bold" w:hAnsi="Arial Bold"/>
          <w:b/>
          <w:caps/>
        </w:rPr>
        <w:tab/>
        <w:t>219</w:t>
      </w:r>
    </w:p>
    <w:p w:rsidR="00901CFC" w:rsidRPr="00296685" w:rsidRDefault="00BA7A7F" w:rsidP="00901CFC">
      <w:pPr>
        <w:pStyle w:val="TOC2"/>
        <w:spacing w:before="240"/>
        <w:rPr>
          <w:rFonts w:ascii="Arial Bold" w:hAnsi="Arial Bold"/>
          <w:b/>
          <w:caps/>
        </w:rPr>
      </w:pPr>
      <w:r w:rsidRPr="00296685">
        <w:rPr>
          <w:rFonts w:ascii="Arial Bold" w:hAnsi="Arial Bold"/>
          <w:b/>
          <w:caps/>
        </w:rPr>
        <w:t>Commonwealth Scientific and Industrial Research Organisation</w:t>
      </w:r>
      <w:r w:rsidRPr="00296685">
        <w:rPr>
          <w:rFonts w:ascii="Arial Bold" w:hAnsi="Arial Bold"/>
          <w:b/>
          <w:caps/>
        </w:rPr>
        <w:tab/>
        <w:t>235</w:t>
      </w:r>
    </w:p>
    <w:p w:rsidR="00901CFC" w:rsidRPr="00296685" w:rsidRDefault="00BA7A7F" w:rsidP="00901CFC">
      <w:pPr>
        <w:pStyle w:val="TOC2"/>
        <w:spacing w:before="240"/>
        <w:rPr>
          <w:rFonts w:ascii="Arial Bold" w:hAnsi="Arial Bold"/>
          <w:b/>
          <w:caps/>
        </w:rPr>
      </w:pPr>
      <w:r w:rsidRPr="00296685">
        <w:rPr>
          <w:rFonts w:ascii="Arial Bold" w:hAnsi="Arial Bold"/>
          <w:b/>
          <w:caps/>
        </w:rPr>
        <w:t>Geoscience Australia</w:t>
      </w:r>
      <w:r w:rsidRPr="00296685">
        <w:rPr>
          <w:rFonts w:ascii="Arial Bold" w:hAnsi="Arial Bold"/>
          <w:b/>
          <w:caps/>
        </w:rPr>
        <w:tab/>
        <w:t>263</w:t>
      </w:r>
    </w:p>
    <w:p w:rsidR="00901CFC" w:rsidRPr="00296685" w:rsidRDefault="00BA7A7F" w:rsidP="00901CFC">
      <w:pPr>
        <w:pStyle w:val="TOC2"/>
        <w:spacing w:before="240"/>
        <w:rPr>
          <w:rFonts w:ascii="Arial Bold" w:hAnsi="Arial Bold"/>
          <w:b/>
          <w:caps/>
        </w:rPr>
      </w:pPr>
      <w:r w:rsidRPr="00296685">
        <w:rPr>
          <w:rFonts w:ascii="Arial Bold" w:hAnsi="Arial Bold"/>
          <w:b/>
          <w:caps/>
        </w:rPr>
        <w:t>IP Australia</w:t>
      </w:r>
      <w:r w:rsidRPr="00296685">
        <w:rPr>
          <w:rFonts w:ascii="Arial Bold" w:hAnsi="Arial Bold"/>
          <w:b/>
          <w:caps/>
        </w:rPr>
        <w:tab/>
        <w:t>291</w:t>
      </w:r>
    </w:p>
    <w:p w:rsidR="00901CFC" w:rsidRPr="00296685" w:rsidRDefault="00BA7A7F" w:rsidP="00901CFC">
      <w:pPr>
        <w:pStyle w:val="TOC2"/>
        <w:spacing w:before="240"/>
        <w:rPr>
          <w:rFonts w:ascii="Arial Bold" w:hAnsi="Arial Bold"/>
          <w:b/>
          <w:caps/>
        </w:rPr>
      </w:pPr>
      <w:r w:rsidRPr="00296685">
        <w:rPr>
          <w:rFonts w:ascii="Arial Bold" w:hAnsi="Arial Bold"/>
          <w:b/>
          <w:caps/>
        </w:rPr>
        <w:t>National Offshore Petroleum Safety and Environmental Management Authority</w:t>
      </w:r>
      <w:r w:rsidRPr="00296685">
        <w:rPr>
          <w:rFonts w:ascii="Arial Bold" w:hAnsi="Arial Bold"/>
          <w:b/>
          <w:caps/>
        </w:rPr>
        <w:tab/>
        <w:t>315</w:t>
      </w:r>
    </w:p>
    <w:p w:rsidR="00901CFC" w:rsidRPr="00901CFC" w:rsidRDefault="00901CFC" w:rsidP="00901CFC"/>
    <w:p w:rsidR="0083523E" w:rsidRPr="0083523E" w:rsidRDefault="0083523E" w:rsidP="0083523E">
      <w:pPr>
        <w:rPr>
          <w:vanish/>
        </w:rPr>
        <w:sectPr w:rsidR="0083523E" w:rsidRPr="0083523E" w:rsidSect="00484225">
          <w:headerReference w:type="even" r:id="rId97"/>
          <w:headerReference w:type="default" r:id="rId98"/>
          <w:footerReference w:type="even" r:id="rId99"/>
          <w:footerReference w:type="default" r:id="rId100"/>
          <w:headerReference w:type="first" r:id="rId101"/>
          <w:footerReference w:type="first" r:id="rId102"/>
          <w:type w:val="continuous"/>
          <w:pgSz w:w="11906" w:h="16838"/>
          <w:pgMar w:top="2466" w:right="2098" w:bottom="2466" w:left="2098" w:header="1899" w:footer="1899" w:gutter="0"/>
          <w:pgBorders>
            <w:top w:val="nil"/>
            <w:left w:val="nil"/>
            <w:bottom w:val="nil"/>
            <w:right w:val="nil"/>
          </w:pgBorders>
          <w:cols w:space="720"/>
          <w:docGrid w:linePitch="360"/>
        </w:sectPr>
      </w:pPr>
    </w:p>
    <w:p w:rsidR="00D86095" w:rsidRDefault="00BA7A7F">
      <w:pPr>
        <w:pageBreakBefore/>
        <w:sectPr w:rsidR="00D86095" w:rsidSect="00D86095">
          <w:headerReference w:type="even" r:id="rId103"/>
          <w:headerReference w:type="default" r:id="rId104"/>
          <w:footerReference w:type="even" r:id="rId105"/>
          <w:footerReference w:type="default" r:id="rId106"/>
          <w:headerReference w:type="first" r:id="rId107"/>
          <w:footerReference w:type="first" r:id="rId108"/>
          <w:type w:val="continuous"/>
          <w:pgSz w:w="11906" w:h="16838"/>
          <w:pgMar w:top="2466" w:right="2098" w:bottom="2466" w:left="2098" w:header="1899" w:footer="1899" w:gutter="0"/>
          <w:pgBorders>
            <w:top w:val="nil"/>
            <w:left w:val="nil"/>
            <w:bottom w:val="nil"/>
            <w:right w:val="nil"/>
          </w:pgBorders>
          <w:cols w:space="720"/>
          <w:docGrid w:linePitch="360"/>
        </w:sectPr>
      </w:pPr>
      <w:bookmarkStart w:id="47" w:name="RG_MARKER_11686"/>
      <w:bookmarkStart w:id="48" w:name="RG_MARKER_11814"/>
      <w:r>
        <w:t xml:space="preserve">         </w:t>
      </w:r>
      <w:bookmarkEnd w:id="47"/>
      <w:bookmarkEnd w:id="48"/>
    </w:p>
    <w:p w:rsidR="00FA15D4" w:rsidRDefault="00BA7A7F" w:rsidP="00FE00F7">
      <w:pPr>
        <w:pStyle w:val="Department"/>
        <w:pageBreakBefore/>
        <w:jc w:val="left"/>
        <w:rPr>
          <w:smallCaps/>
          <w:color w:val="FFFFFF"/>
          <w:sz w:val="24"/>
          <w:szCs w:val="24"/>
        </w:rPr>
      </w:pPr>
      <w:bookmarkStart w:id="49" w:name="RG_MARKER_11759"/>
      <w:bookmarkStart w:id="50" w:name="RG_MARKER_11690"/>
      <w:bookmarkStart w:id="51" w:name="RG_MARKER_12179"/>
      <w:r w:rsidRPr="00FE00F7">
        <w:rPr>
          <w:smallCaps/>
          <w:color w:val="FFFFFF"/>
          <w:sz w:val="24"/>
          <w:szCs w:val="24"/>
        </w:rPr>
        <w:t>Department o</w:t>
      </w:r>
      <w:bookmarkEnd w:id="49"/>
      <w:bookmarkEnd w:id="50"/>
      <w:bookmarkEnd w:id="51"/>
    </w:p>
    <w:p w:rsidR="00FA15D4" w:rsidRDefault="00FA15D4" w:rsidP="002E6B3D">
      <w:pPr>
        <w:pStyle w:val="Department"/>
        <w:spacing w:before="1320"/>
        <w:rPr>
          <w:smallCaps/>
        </w:rPr>
      </w:pPr>
    </w:p>
    <w:p w:rsidR="00FA15D4" w:rsidRDefault="00FA15D4" w:rsidP="00FA15D4">
      <w:pPr>
        <w:pStyle w:val="PartHeading"/>
        <w:keepLines/>
        <w:spacing w:before="240" w:after="240"/>
        <w:rPr>
          <w:kern w:val="0"/>
          <w:szCs w:val="20"/>
        </w:rPr>
      </w:pPr>
    </w:p>
    <w:p w:rsidR="00FA15D4" w:rsidRPr="009459EC" w:rsidRDefault="00BA7A7F" w:rsidP="00FA15D4">
      <w:pPr>
        <w:pStyle w:val="PartHeading"/>
        <w:keepLines/>
        <w:spacing w:before="240" w:after="240"/>
        <w:rPr>
          <w:bCs w:val="0"/>
          <w:kern w:val="0"/>
          <w:szCs w:val="20"/>
        </w:rPr>
      </w:pPr>
      <w:r w:rsidRPr="009459EC">
        <w:rPr>
          <w:rFonts w:ascii="Arial" w:hAnsi="Arial"/>
          <w:bCs w:val="0"/>
          <w:kern w:val="0"/>
          <w:szCs w:val="20"/>
        </w:rPr>
        <w:t>Department of Industry, Science, Energy and Resources</w:t>
      </w:r>
    </w:p>
    <w:p w:rsidR="00FA15D4" w:rsidRPr="009459EC" w:rsidRDefault="00FA15D4" w:rsidP="00FA15D4">
      <w:pPr>
        <w:pStyle w:val="PartHeading"/>
        <w:keepLines/>
        <w:spacing w:before="240" w:after="240"/>
        <w:rPr>
          <w:bCs w:val="0"/>
          <w:kern w:val="0"/>
          <w:sz w:val="48"/>
          <w:szCs w:val="48"/>
        </w:rPr>
      </w:pPr>
    </w:p>
    <w:p w:rsidR="00FA15D4" w:rsidRPr="009459EC" w:rsidRDefault="00FA15D4" w:rsidP="00FA15D4">
      <w:pPr>
        <w:pStyle w:val="PartHeading"/>
        <w:keepLines/>
        <w:spacing w:before="240" w:after="240"/>
        <w:rPr>
          <w:kern w:val="0"/>
          <w:sz w:val="48"/>
          <w:szCs w:val="48"/>
        </w:rPr>
      </w:pPr>
    </w:p>
    <w:p w:rsidR="00FA15D4" w:rsidRPr="009459EC" w:rsidRDefault="00BA7A7F" w:rsidP="00FA15D4">
      <w:pPr>
        <w:pStyle w:val="PartHeading-TOC"/>
        <w:rPr>
          <w:smallCaps w:val="0"/>
        </w:rPr>
        <w:sectPr w:rsidR="00FA15D4" w:rsidRPr="009459EC" w:rsidSect="00FA15D4">
          <w:headerReference w:type="even" r:id="rId109"/>
          <w:headerReference w:type="default" r:id="rId110"/>
          <w:footerReference w:type="even" r:id="rId111"/>
          <w:footerReference w:type="default" r:id="rId112"/>
          <w:headerReference w:type="first" r:id="rId113"/>
          <w:footerReference w:type="first" r:id="rId114"/>
          <w:type w:val="continuous"/>
          <w:pgSz w:w="11906" w:h="16838"/>
          <w:pgMar w:top="2466" w:right="2098" w:bottom="2466" w:left="2098" w:header="1899" w:footer="1899" w:gutter="0"/>
          <w:pgBorders>
            <w:top w:val="nil"/>
            <w:left w:val="nil"/>
            <w:bottom w:val="nil"/>
            <w:right w:val="nil"/>
          </w:pgBorders>
          <w:cols w:space="720"/>
          <w:docGrid w:linePitch="360"/>
        </w:sectPr>
      </w:pPr>
      <w:bookmarkStart w:id="52" w:name="_Toc508032982"/>
      <w:r w:rsidRPr="009459EC">
        <w:rPr>
          <w:bCs w:val="0"/>
          <w:smallCaps w:val="0"/>
        </w:rPr>
        <w:t>Entity resources and planned performance</w:t>
      </w:r>
      <w:bookmarkEnd w:id="52"/>
    </w:p>
    <w:p w:rsidR="00D86095" w:rsidRDefault="00BA7A7F">
      <w:pPr>
        <w:pageBreakBefore/>
        <w:sectPr w:rsidR="00D86095" w:rsidSect="00D86095">
          <w:headerReference w:type="even" r:id="rId115"/>
          <w:headerReference w:type="default" r:id="rId116"/>
          <w:footerReference w:type="even" r:id="rId117"/>
          <w:footerReference w:type="default" r:id="rId118"/>
          <w:headerReference w:type="first" r:id="rId119"/>
          <w:footerReference w:type="first" r:id="rId120"/>
          <w:type w:val="continuous"/>
          <w:pgSz w:w="11906" w:h="16838"/>
          <w:pgMar w:top="2466" w:right="2098" w:bottom="2466" w:left="2098" w:header="1899" w:footer="1899" w:gutter="0"/>
          <w:pgBorders>
            <w:top w:val="nil"/>
            <w:left w:val="nil"/>
            <w:bottom w:val="nil"/>
            <w:right w:val="nil"/>
          </w:pgBorders>
          <w:cols w:space="720"/>
          <w:docGrid w:linePitch="360"/>
        </w:sectPr>
      </w:pPr>
      <w:bookmarkStart w:id="53" w:name="RG_MARKER_11688"/>
      <w:bookmarkStart w:id="54" w:name="RG_MARKER_11800"/>
      <w:r>
        <w:t xml:space="preserve">      </w:t>
      </w:r>
      <w:bookmarkEnd w:id="53"/>
      <w:bookmarkEnd w:id="54"/>
    </w:p>
    <w:p w:rsidR="004D0F5B" w:rsidRPr="00724CF5" w:rsidRDefault="00BA7A7F" w:rsidP="00740A29">
      <w:pPr>
        <w:pStyle w:val="ContentsHeading"/>
        <w:pageBreakBefore/>
        <w:rPr>
          <w:rFonts w:ascii="Arial Bold" w:hAnsi="Arial Bold"/>
          <w:smallCaps w:val="0"/>
        </w:rPr>
      </w:pPr>
      <w:bookmarkStart w:id="55" w:name="RG_MARKER_11691"/>
      <w:bookmarkStart w:id="56" w:name="RG_MARKER_12084"/>
      <w:r w:rsidRPr="00724CF5">
        <w:rPr>
          <w:rFonts w:ascii="Arial Bold" w:hAnsi="Arial Bold"/>
          <w:smallCaps w:val="0"/>
        </w:rPr>
        <w:t>Department of Industry, Science, Energy and Resources</w:t>
      </w:r>
      <w:bookmarkEnd w:id="55"/>
      <w:bookmarkEnd w:id="56"/>
    </w:p>
    <w:p w:rsidR="004D0F5B" w:rsidRPr="00643038" w:rsidRDefault="00BA7A7F" w:rsidP="00643038">
      <w:pPr>
        <w:pStyle w:val="TOC1"/>
      </w:pPr>
      <w:r w:rsidRPr="00643038">
        <w:rPr>
          <w:rFonts w:ascii="Arial Bold" w:hAnsi="Arial Bold"/>
        </w:rPr>
        <w:t>Section 1: Entity overview and resources</w:t>
      </w:r>
      <w:r w:rsidRPr="00643038">
        <w:rPr>
          <w:rFonts w:ascii="Arial Bold" w:hAnsi="Arial Bold"/>
        </w:rPr>
        <w:tab/>
        <w:t>17</w:t>
      </w:r>
    </w:p>
    <w:p w:rsidR="004D0F5B" w:rsidRDefault="00BA7A7F" w:rsidP="00087D31">
      <w:pPr>
        <w:pStyle w:val="TOC2"/>
      </w:pPr>
      <w:r>
        <w:t>1.1 Strategic direction statement</w:t>
      </w:r>
      <w:r>
        <w:tab/>
      </w:r>
      <w:r w:rsidRPr="00B75654">
        <w:t>17</w:t>
      </w:r>
    </w:p>
    <w:p w:rsidR="004D0F5B" w:rsidRDefault="00BA7A7F" w:rsidP="00087D31">
      <w:pPr>
        <w:pStyle w:val="TOC2"/>
      </w:pPr>
      <w:r>
        <w:t>1.2 Entity resource statement</w:t>
      </w:r>
      <w:r>
        <w:tab/>
      </w:r>
      <w:r w:rsidRPr="00B75654">
        <w:t>23</w:t>
      </w:r>
    </w:p>
    <w:p w:rsidR="004D0F5B" w:rsidRDefault="00BA7A7F" w:rsidP="00087D31">
      <w:pPr>
        <w:pStyle w:val="TOC2"/>
      </w:pPr>
      <w:r>
        <w:t>1.3 Budget measures</w:t>
      </w:r>
      <w:r>
        <w:tab/>
        <w:t>26</w:t>
      </w:r>
    </w:p>
    <w:p w:rsidR="004D0F5B" w:rsidRDefault="00BA7A7F" w:rsidP="00643038">
      <w:pPr>
        <w:pStyle w:val="TOC1"/>
      </w:pPr>
      <w:r>
        <w:rPr>
          <w:rFonts w:ascii="Arial Bold" w:hAnsi="Arial Bold"/>
        </w:rPr>
        <w:t>Section 2: Outcomes and p</w:t>
      </w:r>
      <w:r w:rsidRPr="00087D31">
        <w:rPr>
          <w:rFonts w:ascii="Arial Bold" w:hAnsi="Arial Bold"/>
        </w:rPr>
        <w:t xml:space="preserve">lanned </w:t>
      </w:r>
      <w:r>
        <w:rPr>
          <w:rFonts w:ascii="Arial Bold" w:hAnsi="Arial Bold"/>
        </w:rPr>
        <w:t>p</w:t>
      </w:r>
      <w:r w:rsidRPr="00087D31">
        <w:rPr>
          <w:rFonts w:ascii="Arial Bold" w:hAnsi="Arial Bold"/>
        </w:rPr>
        <w:t>erformance</w:t>
      </w:r>
      <w:r>
        <w:rPr>
          <w:rFonts w:ascii="Arial Bold" w:hAnsi="Arial Bold"/>
        </w:rPr>
        <w:tab/>
      </w:r>
      <w:r w:rsidRPr="00E23F56">
        <w:rPr>
          <w:rFonts w:ascii="Arial Bold" w:hAnsi="Arial Bold"/>
        </w:rPr>
        <w:t>29</w:t>
      </w:r>
    </w:p>
    <w:p w:rsidR="004D0F5B" w:rsidRDefault="00BA7A7F" w:rsidP="00087D31">
      <w:pPr>
        <w:pStyle w:val="TOC2"/>
      </w:pPr>
      <w:r>
        <w:t>2.1 Budgeted expenses and performance for Outcome 1</w:t>
      </w:r>
      <w:r>
        <w:tab/>
      </w:r>
      <w:r w:rsidRPr="00E23F56">
        <w:t>30</w:t>
      </w:r>
    </w:p>
    <w:p w:rsidR="00E9024A" w:rsidRDefault="00BA7A7F" w:rsidP="00087D31">
      <w:pPr>
        <w:pStyle w:val="TOC2"/>
      </w:pPr>
      <w:r>
        <w:t>2.2 Budgeted expenses and performance for Outcome 2</w:t>
      </w:r>
      <w:r>
        <w:tab/>
        <w:t>51</w:t>
      </w:r>
    </w:p>
    <w:p w:rsidR="00E9024A" w:rsidRDefault="00BA7A7F" w:rsidP="00087D31">
      <w:pPr>
        <w:pStyle w:val="TOC2"/>
      </w:pPr>
      <w:r>
        <w:t>2.3 Budgeted expenses and performance for Outcome 3</w:t>
      </w:r>
      <w:r>
        <w:tab/>
        <w:t>59</w:t>
      </w:r>
    </w:p>
    <w:p w:rsidR="004D0F5B" w:rsidRDefault="00BA7A7F" w:rsidP="00643038">
      <w:pPr>
        <w:pStyle w:val="TOC1"/>
      </w:pPr>
      <w:r>
        <w:rPr>
          <w:rFonts w:ascii="Arial Bold" w:hAnsi="Arial Bold"/>
        </w:rPr>
        <w:t>Section 3: B</w:t>
      </w:r>
      <w:r w:rsidRPr="00087D31">
        <w:rPr>
          <w:rFonts w:ascii="Arial Bold" w:hAnsi="Arial Bold"/>
        </w:rPr>
        <w:t xml:space="preserve">udgeted </w:t>
      </w:r>
      <w:r>
        <w:rPr>
          <w:rFonts w:ascii="Arial Bold" w:hAnsi="Arial Bold"/>
        </w:rPr>
        <w:t>financial s</w:t>
      </w:r>
      <w:r w:rsidRPr="00087D31">
        <w:rPr>
          <w:rFonts w:ascii="Arial Bold" w:hAnsi="Arial Bold"/>
        </w:rPr>
        <w:t>tatements</w:t>
      </w:r>
      <w:r>
        <w:rPr>
          <w:rFonts w:ascii="Arial Bold" w:hAnsi="Arial Bold"/>
        </w:rPr>
        <w:tab/>
      </w:r>
      <w:r w:rsidRPr="004F6A3E">
        <w:rPr>
          <w:rFonts w:ascii="Arial Bold" w:hAnsi="Arial Bold"/>
        </w:rPr>
        <w:t>67</w:t>
      </w:r>
    </w:p>
    <w:p w:rsidR="000E34D8" w:rsidRDefault="00BA7A7F" w:rsidP="00850405">
      <w:pPr>
        <w:pStyle w:val="TOC2"/>
      </w:pPr>
      <w:r>
        <w:t>3.1 Budgeted financial statements</w:t>
      </w:r>
      <w:r>
        <w:tab/>
      </w:r>
      <w:r w:rsidRPr="004F6A3E">
        <w:t>67</w:t>
      </w:r>
    </w:p>
    <w:p w:rsidR="000E34D8" w:rsidRDefault="000E34D8">
      <w:pPr>
        <w:keepLines w:val="0"/>
        <w:spacing w:after="200" w:line="276" w:lineRule="auto"/>
        <w:jc w:val="left"/>
        <w:sectPr w:rsidR="000E34D8" w:rsidSect="00D34FA1">
          <w:headerReference w:type="even" r:id="rId121"/>
          <w:headerReference w:type="default" r:id="rId122"/>
          <w:footerReference w:type="even" r:id="rId123"/>
          <w:footerReference w:type="default" r:id="rId124"/>
          <w:headerReference w:type="first" r:id="rId125"/>
          <w:footerReference w:type="first" r:id="rId126"/>
          <w:type w:val="continuous"/>
          <w:pgSz w:w="11906" w:h="16838"/>
          <w:pgMar w:top="2466" w:right="2098" w:bottom="2466" w:left="2098" w:header="1899" w:footer="1899" w:gutter="0"/>
          <w:pgBorders>
            <w:top w:val="nil"/>
            <w:left w:val="nil"/>
            <w:bottom w:val="nil"/>
            <w:right w:val="nil"/>
          </w:pgBorders>
          <w:cols w:space="720"/>
          <w:docGrid w:linePitch="360"/>
        </w:sectPr>
      </w:pPr>
    </w:p>
    <w:p w:rsidR="00D86095" w:rsidRDefault="00BA7A7F">
      <w:pPr>
        <w:keepLines w:val="0"/>
        <w:pageBreakBefore/>
        <w:spacing w:after="200" w:line="276" w:lineRule="auto"/>
        <w:jc w:val="left"/>
        <w:rPr>
          <w:rFonts w:ascii="Calibri" w:eastAsia="Calibri" w:hAnsi="Calibri" w:cs="Arial"/>
          <w:sz w:val="22"/>
          <w:szCs w:val="22"/>
          <w:lang w:val="en-US" w:eastAsia="en-US"/>
        </w:rPr>
      </w:pPr>
      <w:bookmarkStart w:id="57" w:name="RG_MARKER_11692"/>
      <w:bookmarkStart w:id="58" w:name="RG_MARKER_11763"/>
      <w:r>
        <w:rPr>
          <w:rFonts w:ascii="Calibri" w:eastAsia="Calibri" w:hAnsi="Calibri" w:cs="Arial"/>
          <w:sz w:val="22"/>
          <w:szCs w:val="22"/>
          <w:lang w:val="en-US" w:eastAsia="en-US"/>
        </w:rPr>
        <w:t xml:space="preserve">           </w:t>
      </w:r>
      <w:bookmarkEnd w:id="57"/>
      <w:bookmarkEnd w:id="58"/>
    </w:p>
    <w:p w:rsidR="00DE4991" w:rsidRDefault="00DE4991">
      <w:pPr>
        <w:keepLines w:val="0"/>
        <w:spacing w:after="200" w:line="276" w:lineRule="auto"/>
        <w:jc w:val="left"/>
        <w:rPr>
          <w:rFonts w:ascii="Calibri" w:eastAsia="Calibri" w:hAnsi="Calibri" w:cs="Arial"/>
          <w:sz w:val="22"/>
          <w:szCs w:val="22"/>
          <w:lang w:val="en-US" w:eastAsia="en-US"/>
        </w:rPr>
        <w:sectPr w:rsidR="00DE4991" w:rsidSect="00D86095">
          <w:headerReference w:type="even" r:id="rId127"/>
          <w:headerReference w:type="default" r:id="rId128"/>
          <w:footerReference w:type="even" r:id="rId129"/>
          <w:footerReference w:type="default" r:id="rId130"/>
          <w:headerReference w:type="first" r:id="rId131"/>
          <w:footerReference w:type="first" r:id="rId132"/>
          <w:type w:val="continuous"/>
          <w:pgSz w:w="11906" w:h="16838"/>
          <w:pgMar w:top="2466" w:right="2098" w:bottom="2466" w:left="2098" w:header="1899" w:footer="1899" w:gutter="0"/>
          <w:pgBorders>
            <w:top w:val="nil"/>
            <w:left w:val="nil"/>
            <w:bottom w:val="nil"/>
            <w:right w:val="nil"/>
          </w:pgBorders>
          <w:cols w:space="720"/>
          <w:docGrid w:linePitch="360"/>
        </w:sectPr>
      </w:pPr>
    </w:p>
    <w:p w:rsidR="00A85152" w:rsidRPr="0045461B" w:rsidRDefault="00BA7A7F" w:rsidP="007E1F49">
      <w:pPr>
        <w:pStyle w:val="Heading1"/>
        <w:pageBreakBefore/>
        <w:rPr>
          <w:smallCaps w:val="0"/>
        </w:rPr>
      </w:pPr>
      <w:bookmarkStart w:id="59" w:name="RG_MARKER_11697"/>
      <w:bookmarkStart w:id="60" w:name="RG_MARKER_11693"/>
      <w:bookmarkStart w:id="61" w:name="RG_MARKER_12185"/>
      <w:r w:rsidRPr="0045461B">
        <w:rPr>
          <w:smallCaps w:val="0"/>
        </w:rPr>
        <w:t>Department of Industry, Science, Energy and Resources</w:t>
      </w:r>
      <w:bookmarkEnd w:id="59"/>
      <w:bookmarkEnd w:id="60"/>
      <w:bookmarkEnd w:id="61"/>
    </w:p>
    <w:p w:rsidR="00A85152" w:rsidRPr="006B72C9" w:rsidRDefault="00BA7A7F" w:rsidP="00A85152">
      <w:pPr>
        <w:pStyle w:val="Heading2"/>
        <w:rPr>
          <w:b/>
          <w:sz w:val="26"/>
          <w:szCs w:val="26"/>
        </w:rPr>
      </w:pPr>
      <w:r w:rsidRPr="006B72C9">
        <w:rPr>
          <w:b/>
          <w:sz w:val="26"/>
          <w:szCs w:val="26"/>
        </w:rPr>
        <w:t>Section 1</w:t>
      </w:r>
      <w:bookmarkStart w:id="62" w:name="_Toc449255758"/>
      <w:bookmarkStart w:id="63" w:name="_Toc446237031"/>
      <w:r w:rsidRPr="006B72C9">
        <w:rPr>
          <w:b/>
          <w:sz w:val="26"/>
          <w:szCs w:val="26"/>
        </w:rPr>
        <w:t>: Entity overview and resources</w:t>
      </w:r>
      <w:bookmarkEnd w:id="62"/>
      <w:bookmarkEnd w:id="63"/>
    </w:p>
    <w:p w:rsidR="00A85152" w:rsidRPr="006B72C9" w:rsidRDefault="00BA7A7F" w:rsidP="00882144">
      <w:pPr>
        <w:pStyle w:val="Heading3"/>
        <w:spacing w:before="360" w:after="120"/>
        <w:rPr>
          <w:color w:val="000000"/>
          <w:sz w:val="22"/>
          <w:szCs w:val="22"/>
        </w:rPr>
      </w:pPr>
      <w:bookmarkStart w:id="64" w:name="_Toc210698428"/>
      <w:bookmarkStart w:id="65" w:name="_Toc210646449"/>
      <w:bookmarkStart w:id="66" w:name="_Toc210703209"/>
      <w:r w:rsidRPr="006B72C9">
        <w:rPr>
          <w:color w:val="000000"/>
          <w:sz w:val="22"/>
          <w:szCs w:val="22"/>
        </w:rPr>
        <w:t>1.1</w:t>
      </w:r>
      <w:r w:rsidRPr="006B72C9">
        <w:rPr>
          <w:color w:val="000000"/>
          <w:sz w:val="22"/>
          <w:szCs w:val="22"/>
        </w:rPr>
        <w:tab/>
      </w:r>
      <w:r w:rsidRPr="006B72C9">
        <w:rPr>
          <w:smallCaps w:val="0"/>
          <w:color w:val="000000"/>
          <w:sz w:val="22"/>
          <w:szCs w:val="22"/>
        </w:rPr>
        <w:t>Strategic direction</w:t>
      </w:r>
      <w:bookmarkEnd w:id="64"/>
      <w:bookmarkEnd w:id="65"/>
      <w:bookmarkEnd w:id="66"/>
      <w:r w:rsidRPr="006B72C9">
        <w:rPr>
          <w:smallCaps w:val="0"/>
          <w:color w:val="000000"/>
          <w:sz w:val="22"/>
          <w:szCs w:val="22"/>
        </w:rPr>
        <w:t xml:space="preserve"> statement</w:t>
      </w:r>
    </w:p>
    <w:p w:rsidR="00D33845" w:rsidRPr="00D33845" w:rsidRDefault="00BA7A7F" w:rsidP="00FF311D">
      <w:pPr>
        <w:spacing w:line="240" w:lineRule="auto"/>
      </w:pPr>
      <w:r w:rsidRPr="00D33845">
        <w:t xml:space="preserve">The Department of Industry, Science, Energy and Resources (the department) helps </w:t>
      </w:r>
      <w:r>
        <w:t xml:space="preserve">drive </w:t>
      </w:r>
      <w:r w:rsidRPr="00D33845">
        <w:t xml:space="preserve">economic and productivity growth, and job creation for </w:t>
      </w:r>
      <w:r>
        <w:t xml:space="preserve">all </w:t>
      </w:r>
      <w:r w:rsidRPr="00D33845">
        <w:t>Australians. The</w:t>
      </w:r>
      <w:r>
        <w:t xml:space="preserve"> d</w:t>
      </w:r>
      <w:r w:rsidRPr="00D33845">
        <w:t>epartment has an important role in positioning Australia to recover from the ongoing economic consequences of the COVID-19 pandemic and develop Australia’s sovereign capability i</w:t>
      </w:r>
      <w:r>
        <w:t>n emerging and strategic areas, including in manufacturing, quantum technology, low emissions technologies and critical minerals.</w:t>
      </w:r>
    </w:p>
    <w:p w:rsidR="00D33845" w:rsidRPr="00D33845" w:rsidRDefault="00BA7A7F" w:rsidP="00FF311D">
      <w:pPr>
        <w:spacing w:line="240" w:lineRule="auto"/>
      </w:pPr>
      <w:r w:rsidRPr="00D33845">
        <w:t xml:space="preserve">The department is supporting </w:t>
      </w:r>
      <w:r>
        <w:t>industry</w:t>
      </w:r>
      <w:r w:rsidRPr="00D33845">
        <w:t>, technology, science and innovation, particularly in areas of com</w:t>
      </w:r>
      <w:r>
        <w:t>parative</w:t>
      </w:r>
      <w:r w:rsidRPr="00D33845">
        <w:t xml:space="preserve"> advantage and strategic</w:t>
      </w:r>
      <w:r>
        <w:t xml:space="preserve"> importance, especially the </w:t>
      </w:r>
      <w:r w:rsidR="001773F8">
        <w:t xml:space="preserve">6 </w:t>
      </w:r>
      <w:r>
        <w:t>N</w:t>
      </w:r>
      <w:r w:rsidRPr="00D33845">
        <w:t xml:space="preserve">ational </w:t>
      </w:r>
      <w:r>
        <w:t>M</w:t>
      </w:r>
      <w:r w:rsidRPr="00D33845">
        <w:t xml:space="preserve">anufacturing </w:t>
      </w:r>
      <w:r>
        <w:t>P</w:t>
      </w:r>
      <w:r w:rsidRPr="00D33845">
        <w:t>riorities (NMPs), quantum and artificial intelligence.</w:t>
      </w:r>
      <w:r w:rsidRPr="00642676">
        <w:t xml:space="preserve"> The department continue</w:t>
      </w:r>
      <w:r>
        <w:t>s</w:t>
      </w:r>
      <w:r w:rsidRPr="00642676">
        <w:t xml:space="preserve"> to facilitate a strong growth environment for businesses, including in Australia’s regional and rural communities.</w:t>
      </w:r>
      <w:r w:rsidRPr="00D33845">
        <w:t xml:space="preserve"> It supports the affordable, reliable, secure and competitive operation of energy markets </w:t>
      </w:r>
      <w:r>
        <w:t xml:space="preserve">and Australia’s efforts to achieve </w:t>
      </w:r>
      <w:r w:rsidRPr="00D33845">
        <w:t xml:space="preserve">net zero emissions </w:t>
      </w:r>
      <w:r>
        <w:t>by 2050</w:t>
      </w:r>
      <w:r w:rsidRPr="00D33845">
        <w:t xml:space="preserve">, including </w:t>
      </w:r>
      <w:r>
        <w:t>supporting a reduction in the cost</w:t>
      </w:r>
      <w:r w:rsidRPr="00D33845">
        <w:t xml:space="preserve"> of low emissions technologies</w:t>
      </w:r>
      <w:r>
        <w:t xml:space="preserve"> to parity with existing energy sources</w:t>
      </w:r>
      <w:r w:rsidRPr="00D33845">
        <w:t xml:space="preserve">. It also backs Australia’s </w:t>
      </w:r>
      <w:r>
        <w:t xml:space="preserve">preeminent </w:t>
      </w:r>
      <w:r w:rsidRPr="00D33845">
        <w:t>resources sector by supporting the development of Australia’s critical mineral</w:t>
      </w:r>
      <w:r>
        <w:t>s,</w:t>
      </w:r>
      <w:r w:rsidRPr="00D33845">
        <w:t xml:space="preserve"> energy </w:t>
      </w:r>
      <w:r>
        <w:t xml:space="preserve">and other </w:t>
      </w:r>
      <w:r w:rsidRPr="00D33845">
        <w:t xml:space="preserve">resources for the benefit </w:t>
      </w:r>
      <w:r>
        <w:t xml:space="preserve">and security </w:t>
      </w:r>
      <w:r w:rsidRPr="00D33845">
        <w:t xml:space="preserve">of the nation. </w:t>
      </w:r>
    </w:p>
    <w:p w:rsidR="005E2875" w:rsidRDefault="00BA7A7F" w:rsidP="00FF311D">
      <w:pPr>
        <w:spacing w:line="240" w:lineRule="auto"/>
      </w:pPr>
      <w:r w:rsidRPr="00B7125F">
        <w:t xml:space="preserve">Manufacturing is a key pillar in the Government’s plan for a strong, modern, and resilient economy. The Government is </w:t>
      </w:r>
      <w:r>
        <w:t xml:space="preserve">further </w:t>
      </w:r>
      <w:r w:rsidRPr="00B7125F">
        <w:t>leveraging Australia’s strengths through supporting the next phase of the Modern Manufacturing Strategy (announced in the 2020-21 Budget). This phase focuses on supporting the transformation to high-value activities that enable our manufacturers to scale-up independently and compete internationally.</w:t>
      </w:r>
      <w:r>
        <w:t xml:space="preserve"> </w:t>
      </w:r>
      <w:r w:rsidRPr="00B7125F">
        <w:t>It includes investing in high-impact projects in priority areas, continuing to boost supply chain resilience and sovereign capabilities, and supporting our manufacturers to access skilled workers and adopt digital technologies. Measures include:</w:t>
      </w:r>
    </w:p>
    <w:p w:rsidR="00972E7D" w:rsidRDefault="00BA7A7F" w:rsidP="00A71A84">
      <w:pPr>
        <w:pStyle w:val="ListParagraph"/>
        <w:keepLines/>
        <w:numPr>
          <w:ilvl w:val="0"/>
          <w:numId w:val="3"/>
        </w:numPr>
        <w:spacing w:after="0"/>
        <w:ind w:left="284" w:hanging="284"/>
        <w:contextualSpacing w:val="0"/>
        <w:rPr>
          <w:rFonts w:eastAsia="Times New Roman" w:cs="Times New Roman"/>
          <w:sz w:val="20"/>
          <w:szCs w:val="20"/>
          <w:lang w:val="en-AU"/>
        </w:rPr>
      </w:pPr>
      <w:r w:rsidRPr="00FF3BD0">
        <w:rPr>
          <w:rFonts w:eastAsia="Times New Roman" w:cs="Times New Roman"/>
          <w:sz w:val="20"/>
          <w:szCs w:val="20"/>
          <w:lang w:val="en-AU"/>
        </w:rPr>
        <w:t>$250</w:t>
      </w:r>
      <w:r>
        <w:rPr>
          <w:rFonts w:eastAsia="Times New Roman" w:cs="Times New Roman"/>
          <w:sz w:val="20"/>
          <w:szCs w:val="20"/>
          <w:lang w:val="en-AU"/>
        </w:rPr>
        <w:t>.0</w:t>
      </w:r>
      <w:r w:rsidRPr="00FF3BD0">
        <w:rPr>
          <w:rFonts w:eastAsia="Times New Roman" w:cs="Times New Roman"/>
          <w:sz w:val="20"/>
          <w:szCs w:val="20"/>
          <w:lang w:val="en-AU"/>
        </w:rPr>
        <w:t xml:space="preserve"> million for</w:t>
      </w:r>
      <w:r>
        <w:rPr>
          <w:rFonts w:eastAsia="Times New Roman" w:cs="Times New Roman"/>
          <w:sz w:val="20"/>
          <w:szCs w:val="20"/>
          <w:lang w:val="en-AU"/>
        </w:rPr>
        <w:t xml:space="preserve"> the expansion of the Modern Manufacturing Initiative nationally to continue to shape the future of Australian manufacturing by working with industry to catalyse and accelerate business investment in transformative pr</w:t>
      </w:r>
      <w:r w:rsidR="001773F8">
        <w:rPr>
          <w:rFonts w:eastAsia="Times New Roman" w:cs="Times New Roman"/>
          <w:sz w:val="20"/>
          <w:szCs w:val="20"/>
          <w:lang w:val="en-AU"/>
        </w:rPr>
        <w:t>ojects to build scale in the 6</w:t>
      </w:r>
      <w:r>
        <w:rPr>
          <w:rFonts w:eastAsia="Times New Roman" w:cs="Times New Roman"/>
          <w:sz w:val="20"/>
          <w:szCs w:val="20"/>
          <w:lang w:val="en-AU"/>
        </w:rPr>
        <w:t xml:space="preserve"> NMPs. This is in addition to $500.0 million that the Government will invest in the Modern Manufacturing Initiative under the </w:t>
      </w:r>
      <w:r w:rsidRPr="00B6112D">
        <w:rPr>
          <w:rFonts w:eastAsia="Times New Roman" w:cs="Times New Roman"/>
          <w:sz w:val="20"/>
          <w:szCs w:val="20"/>
          <w:lang w:val="en-AU"/>
        </w:rPr>
        <w:t xml:space="preserve">Regional Accelerator Program, </w:t>
      </w:r>
      <w:r>
        <w:rPr>
          <w:rFonts w:eastAsia="Times New Roman" w:cs="Times New Roman"/>
          <w:sz w:val="20"/>
          <w:szCs w:val="20"/>
          <w:lang w:val="en-AU"/>
        </w:rPr>
        <w:t>which is provided for in the Infrastructure, Transport, Regional Development and Communications Portfolio Budget Statements.</w:t>
      </w:r>
    </w:p>
    <w:p w:rsidR="00DB30CC" w:rsidRDefault="00DB30CC" w:rsidP="00DB30CC">
      <w:pPr>
        <w:pStyle w:val="ListParagraph"/>
        <w:keepLines/>
        <w:spacing w:after="0"/>
        <w:ind w:left="284" w:firstLine="0"/>
        <w:contextualSpacing w:val="0"/>
        <w:rPr>
          <w:rFonts w:eastAsia="Times New Roman" w:cs="Times New Roman"/>
          <w:vanish/>
          <w:sz w:val="20"/>
          <w:szCs w:val="20"/>
          <w:lang w:val="en-AU"/>
        </w:rPr>
        <w:sectPr w:rsidR="00DB30CC" w:rsidSect="0015796B">
          <w:headerReference w:type="even" r:id="rId133"/>
          <w:headerReference w:type="default" r:id="rId134"/>
          <w:footerReference w:type="even" r:id="rId135"/>
          <w:footerReference w:type="default" r:id="rId136"/>
          <w:headerReference w:type="first" r:id="rId137"/>
          <w:footerReference w:type="first" r:id="rId138"/>
          <w:type w:val="continuous"/>
          <w:pgSz w:w="11906" w:h="16838"/>
          <w:pgMar w:top="2466" w:right="2098" w:bottom="2466" w:left="2098" w:header="1899" w:footer="1899" w:gutter="0"/>
          <w:pgBorders>
            <w:top w:val="nil"/>
            <w:left w:val="nil"/>
            <w:bottom w:val="nil"/>
            <w:right w:val="nil"/>
          </w:pgBorders>
          <w:cols w:space="720"/>
          <w:docGrid w:linePitch="360"/>
        </w:sectPr>
      </w:pPr>
    </w:p>
    <w:p w:rsidR="00E259DA" w:rsidRPr="00623BFA" w:rsidRDefault="00BA7A7F" w:rsidP="00BD050E">
      <w:pPr>
        <w:pStyle w:val="ListParagraph"/>
        <w:pageBreakBefore/>
        <w:numPr>
          <w:ilvl w:val="0"/>
          <w:numId w:val="4"/>
        </w:numPr>
        <w:spacing w:after="0"/>
        <w:ind w:left="284" w:hanging="284"/>
        <w:contextualSpacing w:val="0"/>
        <w:rPr>
          <w:rFonts w:eastAsia="Calibri" w:cs="Times New Roman"/>
          <w:sz w:val="20"/>
          <w:szCs w:val="20"/>
          <w:lang w:val="en-AU"/>
        </w:rPr>
      </w:pPr>
      <w:bookmarkStart w:id="67" w:name="RG_MARKER_11754_0"/>
      <w:bookmarkStart w:id="68" w:name="RG_MARKER_11754"/>
      <w:r w:rsidRPr="00623BFA">
        <w:rPr>
          <w:rFonts w:eastAsia="Calibri" w:cs="Times New Roman"/>
          <w:sz w:val="20"/>
          <w:szCs w:val="20"/>
          <w:lang w:val="en-AU"/>
        </w:rPr>
        <w:t>$17</w:t>
      </w:r>
      <w:bookmarkEnd w:id="67"/>
      <w:r w:rsidRPr="00850AF5">
        <w:rPr>
          <w:rFonts w:eastAsia="Calibri" w:cs="Times New Roman"/>
          <w:sz w:val="20"/>
          <w:szCs w:val="20"/>
          <w:lang w:val="en-AU"/>
        </w:rPr>
        <w:t>.5</w:t>
      </w:r>
      <w:r w:rsidRPr="00623BFA">
        <w:rPr>
          <w:rFonts w:eastAsia="Calibri" w:cs="Times New Roman"/>
          <w:sz w:val="20"/>
          <w:szCs w:val="20"/>
          <w:lang w:val="en-AU"/>
        </w:rPr>
        <w:t xml:space="preserve"> million for the Supply Chain Resilience Initiative, providing a vehicle for the Government to respond with swift and decisive action when issues arise, backed by an ongoing partnership with industry to improve supply chain understanding and </w:t>
      </w:r>
      <w:bookmarkEnd w:id="68"/>
      <w:r w:rsidRPr="00623BFA">
        <w:rPr>
          <w:rFonts w:eastAsia="Calibri" w:cs="Times New Roman"/>
          <w:sz w:val="20"/>
          <w:szCs w:val="20"/>
          <w:lang w:val="en-AU"/>
        </w:rPr>
        <w:t xml:space="preserve">monitoring capabilities. This is in addition to $200 million that the Government will invest in the Supply Chain Resilience Initiative under the </w:t>
      </w:r>
      <w:r w:rsidRPr="00F1336A">
        <w:rPr>
          <w:rFonts w:eastAsia="Calibri" w:cs="Times New Roman"/>
          <w:sz w:val="20"/>
          <w:szCs w:val="20"/>
          <w:lang w:val="en-AU"/>
        </w:rPr>
        <w:t>Regional Accelerator Program,</w:t>
      </w:r>
      <w:r w:rsidRPr="00623BFA">
        <w:rPr>
          <w:rFonts w:eastAsia="Calibri" w:cs="Times New Roman"/>
          <w:sz w:val="20"/>
          <w:szCs w:val="20"/>
          <w:lang w:val="en-AU"/>
        </w:rPr>
        <w:t xml:space="preserve"> which is provided for in the Infrastructure, Transport, Regional Development and Communications Portfolio Budget Statement</w:t>
      </w:r>
      <w:r w:rsidR="00EC0291">
        <w:rPr>
          <w:rFonts w:eastAsia="Calibri" w:cs="Times New Roman"/>
          <w:sz w:val="20"/>
          <w:szCs w:val="20"/>
          <w:lang w:val="en-AU"/>
        </w:rPr>
        <w:t>s</w:t>
      </w:r>
      <w:r w:rsidRPr="00623BFA">
        <w:rPr>
          <w:rFonts w:eastAsia="Calibri" w:cs="Times New Roman"/>
          <w:sz w:val="20"/>
          <w:szCs w:val="20"/>
          <w:lang w:val="en-AU"/>
        </w:rPr>
        <w:t>.</w:t>
      </w:r>
    </w:p>
    <w:p w:rsidR="00E259DA" w:rsidRPr="00623BFA" w:rsidRDefault="00BA7A7F" w:rsidP="00BD050E">
      <w:pPr>
        <w:pStyle w:val="ListParagraph"/>
        <w:numPr>
          <w:ilvl w:val="0"/>
          <w:numId w:val="4"/>
        </w:numPr>
        <w:spacing w:after="0"/>
        <w:ind w:left="284" w:hanging="284"/>
        <w:contextualSpacing w:val="0"/>
        <w:rPr>
          <w:rFonts w:eastAsia="Calibri" w:cs="Times New Roman"/>
          <w:sz w:val="20"/>
          <w:szCs w:val="20"/>
          <w:lang w:val="en-AU"/>
        </w:rPr>
      </w:pPr>
      <w:r w:rsidRPr="00623BFA">
        <w:rPr>
          <w:rFonts w:eastAsia="Calibri" w:cs="Times New Roman"/>
          <w:sz w:val="20"/>
          <w:szCs w:val="20"/>
          <w:lang w:val="en-AU"/>
        </w:rPr>
        <w:t>A third round of the highly successful Manufacturing Modernisation Fund through $53.9 million to accelerate technology uptake among high potential small and medium manufacturing businesses.</w:t>
      </w:r>
    </w:p>
    <w:p w:rsidR="00E259DA" w:rsidRPr="00850AF5" w:rsidRDefault="00BA7A7F" w:rsidP="00F80F7C">
      <w:pPr>
        <w:pStyle w:val="ListParagraph"/>
        <w:numPr>
          <w:ilvl w:val="0"/>
          <w:numId w:val="4"/>
        </w:numPr>
        <w:ind w:left="284" w:hanging="284"/>
        <w:contextualSpacing w:val="0"/>
        <w:rPr>
          <w:rFonts w:eastAsia="Calibri" w:cs="Times New Roman"/>
          <w:sz w:val="20"/>
          <w:szCs w:val="20"/>
          <w:lang w:val="en-AU"/>
        </w:rPr>
      </w:pPr>
      <w:r w:rsidRPr="00850AF5">
        <w:rPr>
          <w:rFonts w:eastAsia="Calibri" w:cs="Times New Roman"/>
          <w:sz w:val="20"/>
          <w:szCs w:val="20"/>
          <w:lang w:val="en-AU"/>
        </w:rPr>
        <w:t>$6.9 million to build upon the National Manufacturing road maps and develop Manufacturing Investment Plans that will provide the next level of detail and accompanying commitments from industry to guide future government investment</w:t>
      </w:r>
      <w:r w:rsidR="00F1336A">
        <w:rPr>
          <w:rFonts w:eastAsia="Calibri" w:cs="Times New Roman"/>
          <w:sz w:val="20"/>
          <w:szCs w:val="20"/>
          <w:lang w:val="en-AU"/>
        </w:rPr>
        <w:t>.</w:t>
      </w:r>
    </w:p>
    <w:p w:rsidR="00E259DA" w:rsidRPr="00623BFA" w:rsidRDefault="00BA7A7F" w:rsidP="00F80F7C">
      <w:pPr>
        <w:keepLines w:val="0"/>
      </w:pPr>
      <w:r w:rsidRPr="00623BFA">
        <w:t xml:space="preserve">The Australian Space Agency is facilitating and driving the growth of Australia’s space sector and establishing our sovereign space capability. The Government is continuing to drive jobs and technology by boosting the Australian space sector. Under the measure </w:t>
      </w:r>
      <w:r w:rsidRPr="00850AF5">
        <w:t>Support for the Australian Space Industry, the</w:t>
      </w:r>
      <w:r w:rsidRPr="00623BFA">
        <w:t xml:space="preserve"> Australian Government is investing $1.</w:t>
      </w:r>
      <w:r w:rsidR="00850AF5">
        <w:t>3</w:t>
      </w:r>
      <w:r w:rsidRPr="00623BFA">
        <w:t> billion to 2038-39 and $38.</w:t>
      </w:r>
      <w:r w:rsidR="00850AF5">
        <w:t>8</w:t>
      </w:r>
      <w:r w:rsidRPr="00623BFA">
        <w:t> million per annum ongoing to grow Australia’s space industry. This includes:</w:t>
      </w:r>
    </w:p>
    <w:p w:rsidR="00E259DA" w:rsidRPr="00623BFA" w:rsidRDefault="00BA7A7F" w:rsidP="00BD050E">
      <w:pPr>
        <w:pStyle w:val="ListParagraph"/>
        <w:numPr>
          <w:ilvl w:val="0"/>
          <w:numId w:val="5"/>
        </w:numPr>
        <w:spacing w:after="0"/>
        <w:ind w:left="284" w:hanging="284"/>
        <w:contextualSpacing w:val="0"/>
        <w:rPr>
          <w:rFonts w:eastAsia="Calibri" w:cs="Times New Roman"/>
          <w:sz w:val="20"/>
          <w:szCs w:val="20"/>
          <w:lang w:val="en-AU"/>
        </w:rPr>
      </w:pPr>
      <w:r w:rsidRPr="00623BFA">
        <w:rPr>
          <w:rFonts w:eastAsia="Calibri" w:cs="Times New Roman"/>
          <w:sz w:val="20"/>
          <w:szCs w:val="20"/>
          <w:lang w:val="en-AU"/>
        </w:rPr>
        <w:t xml:space="preserve">Establishing a National Space Mission for Earth Observation, with the Government partnering with leading international space agencies to guarantee Australia’s access to different types of Earth Observation data and improve our resilience to natural disasters. </w:t>
      </w:r>
      <w:r w:rsidR="00850AF5">
        <w:rPr>
          <w:rFonts w:eastAsia="Calibri" w:cs="Times New Roman"/>
          <w:sz w:val="20"/>
          <w:szCs w:val="20"/>
          <w:lang w:val="en-AU"/>
        </w:rPr>
        <w:t>The National Mission will build Australia’s sovereign capability and enter agreements with international partners, including the procurement and operation of Australian Satellite Cross-Collaboration Radiometer satellites. The Mission</w:t>
      </w:r>
      <w:r w:rsidRPr="00623BFA">
        <w:rPr>
          <w:rFonts w:eastAsia="Calibri" w:cs="Times New Roman"/>
          <w:sz w:val="20"/>
          <w:szCs w:val="20"/>
          <w:lang w:val="en-AU"/>
        </w:rPr>
        <w:t xml:space="preserve"> also provides downstream benefits from creating high skill and high value jobs to supporting data-intensive industries such as agriculture, environmental protection and resources.</w:t>
      </w:r>
    </w:p>
    <w:p w:rsidR="00E259DA" w:rsidRPr="00623BFA" w:rsidRDefault="00BA7A7F" w:rsidP="00BD050E">
      <w:pPr>
        <w:pStyle w:val="ListParagraph"/>
        <w:numPr>
          <w:ilvl w:val="0"/>
          <w:numId w:val="5"/>
        </w:numPr>
        <w:spacing w:after="0"/>
        <w:ind w:left="284" w:hanging="284"/>
        <w:contextualSpacing w:val="0"/>
        <w:rPr>
          <w:rFonts w:eastAsia="Calibri" w:cs="Times New Roman"/>
          <w:sz w:val="20"/>
          <w:szCs w:val="20"/>
          <w:lang w:val="en-AU"/>
        </w:rPr>
      </w:pPr>
      <w:r w:rsidRPr="00623BFA">
        <w:rPr>
          <w:rFonts w:eastAsia="Calibri" w:cs="Times New Roman"/>
          <w:sz w:val="20"/>
          <w:szCs w:val="20"/>
          <w:lang w:val="en-AU"/>
        </w:rPr>
        <w:t>Fast tracking access to space for Australian space businesses and researchers, and setting the conditions to launch from Australia through a $65.7 million investment. This will provide industry opportunities to grow capability and access global supply chains.</w:t>
      </w:r>
    </w:p>
    <w:p w:rsidR="00E259DA" w:rsidRPr="00623BFA" w:rsidRDefault="00BA7A7F" w:rsidP="00F80F7C">
      <w:pPr>
        <w:pStyle w:val="ListParagraph"/>
        <w:numPr>
          <w:ilvl w:val="0"/>
          <w:numId w:val="5"/>
        </w:numPr>
        <w:ind w:left="284" w:hanging="284"/>
        <w:rPr>
          <w:rFonts w:eastAsia="Calibri" w:cs="Times New Roman"/>
          <w:sz w:val="20"/>
          <w:szCs w:val="20"/>
          <w:lang w:val="en-AU"/>
        </w:rPr>
      </w:pPr>
      <w:r w:rsidRPr="00623BFA">
        <w:rPr>
          <w:rFonts w:eastAsia="Calibri" w:cs="Times New Roman"/>
          <w:sz w:val="20"/>
          <w:szCs w:val="20"/>
          <w:lang w:val="en-AU"/>
        </w:rPr>
        <w:t>Undertaking Australia's first Space Strategic Update ($9.5 million over two years from 2021-22), to identify where future investment is best placed to grow the sector and help fulfil sovereign needs.</w:t>
      </w:r>
    </w:p>
    <w:p w:rsidR="00E259DA" w:rsidRPr="00623BFA" w:rsidRDefault="00BA7A7F" w:rsidP="00F80F7C">
      <w:pPr>
        <w:keepLines w:val="0"/>
      </w:pPr>
      <w:r w:rsidRPr="00623BFA">
        <w:t xml:space="preserve">The Government is continuing the work of the Digital Economy Strategy, by lifting the competitiveness and digital capability of Australian industry through fostering digital transformation, giving businesses confidence to invest and accelerating their adoption of digital technologies. The department is supporting the delivery of $18.6 million to increase Australian representation and engagement in developing international standards. This will ensure new critical and emerging technologies support Australian industry and reflect Australia’s interests and values. This is complementary to the ongoing work and </w:t>
      </w:r>
      <w:r w:rsidR="00242811">
        <w:t>g</w:t>
      </w:r>
      <w:r w:rsidRPr="00623BFA">
        <w:t>overnment investment, including the recent $111.0 million to support growth of Australia’s quantum industry through the National Quantum Strategy and Quantum Commercialisation Hub.</w:t>
      </w:r>
    </w:p>
    <w:p w:rsidR="00E259DA" w:rsidRPr="00623BFA" w:rsidRDefault="00BA7A7F" w:rsidP="00F80F7C">
      <w:pPr>
        <w:keepLines w:val="0"/>
      </w:pPr>
      <w:r w:rsidRPr="00623BFA">
        <w:t xml:space="preserve">The Government continues to support the advancement and participation of women in the workforce, particularly in high-value careers such as manufacturing and those that use science, technology, engineering and mathematics (STEM) skills. These measures complement the range of manufacturing and STEM initiatives already delivered by the department. This includes: </w:t>
      </w:r>
    </w:p>
    <w:p w:rsidR="00E259DA" w:rsidRPr="00623BFA" w:rsidRDefault="00BA7A7F" w:rsidP="00BD050E">
      <w:pPr>
        <w:keepLines w:val="0"/>
        <w:numPr>
          <w:ilvl w:val="0"/>
          <w:numId w:val="6"/>
        </w:numPr>
        <w:spacing w:after="0"/>
        <w:ind w:left="284" w:hanging="284"/>
        <w:rPr>
          <w:rFonts w:eastAsia="Calibri"/>
          <w:lang w:eastAsia="en-US"/>
        </w:rPr>
      </w:pPr>
      <w:r w:rsidRPr="00623BFA">
        <w:rPr>
          <w:rFonts w:eastAsia="Calibri"/>
          <w:lang w:eastAsia="en-US"/>
        </w:rPr>
        <w:t>$2.4 million to support the Women in STEM Ambassador initiative to advocate for gender equity in STEM.</w:t>
      </w:r>
    </w:p>
    <w:p w:rsidR="00E259DA" w:rsidRPr="00623BFA" w:rsidRDefault="00BA7A7F" w:rsidP="00BD050E">
      <w:pPr>
        <w:keepLines w:val="0"/>
        <w:numPr>
          <w:ilvl w:val="0"/>
          <w:numId w:val="6"/>
        </w:numPr>
        <w:spacing w:after="0"/>
        <w:ind w:left="284" w:hanging="284"/>
        <w:rPr>
          <w:rFonts w:eastAsia="Calibri"/>
          <w:lang w:eastAsia="en-US"/>
        </w:rPr>
      </w:pPr>
      <w:r w:rsidRPr="00623BFA">
        <w:rPr>
          <w:rFonts w:eastAsia="Calibri"/>
          <w:lang w:eastAsia="en-US"/>
        </w:rPr>
        <w:t>$2.0 million to train and mentor 120 women to accelerate their leadership skills through the Superstars of STEM program.</w:t>
      </w:r>
    </w:p>
    <w:p w:rsidR="00E259DA" w:rsidRPr="00623BFA" w:rsidRDefault="00BA7A7F" w:rsidP="00BD050E">
      <w:pPr>
        <w:keepLines w:val="0"/>
        <w:numPr>
          <w:ilvl w:val="0"/>
          <w:numId w:val="6"/>
        </w:numPr>
        <w:spacing w:after="0"/>
        <w:ind w:left="284" w:hanging="284"/>
        <w:rPr>
          <w:rFonts w:eastAsia="Calibri"/>
          <w:lang w:eastAsia="en-US"/>
        </w:rPr>
      </w:pPr>
      <w:r w:rsidRPr="00623BFA">
        <w:rPr>
          <w:rFonts w:eastAsia="Calibri"/>
          <w:lang w:eastAsia="en-US"/>
        </w:rPr>
        <w:t xml:space="preserve">$2.3 million to expand the national awareness-raising initiative, Future You, to breakdown stereotypes and improve awareness of STEM occupations, skills and pathways. </w:t>
      </w:r>
    </w:p>
    <w:p w:rsidR="00E259DA" w:rsidRPr="00623BFA" w:rsidRDefault="00BA7A7F" w:rsidP="00F80F7C">
      <w:pPr>
        <w:keepLines w:val="0"/>
        <w:numPr>
          <w:ilvl w:val="0"/>
          <w:numId w:val="6"/>
        </w:numPr>
        <w:ind w:left="284" w:hanging="284"/>
        <w:rPr>
          <w:rFonts w:eastAsia="Calibri"/>
          <w:lang w:eastAsia="en-US"/>
        </w:rPr>
      </w:pPr>
      <w:r w:rsidRPr="00623BFA">
        <w:rPr>
          <w:rFonts w:eastAsia="Calibri"/>
          <w:lang w:eastAsia="en-US"/>
        </w:rPr>
        <w:t xml:space="preserve">$4.7 million to establish the Supporting Women in Manufacturing initiative to attract and retain more women into high-value, high paid manufacturing careers. </w:t>
      </w:r>
    </w:p>
    <w:p w:rsidR="00E259DA" w:rsidRPr="00623BFA" w:rsidRDefault="00BA7A7F" w:rsidP="00F80F7C">
      <w:pPr>
        <w:keepLines w:val="0"/>
      </w:pPr>
      <w:r w:rsidRPr="00623BFA">
        <w:t xml:space="preserve">The department is supporting the Government’s investment of $5.3 million over two years to support the provision of science and technology advice to the Government by the National Science and Technology Council and continue the delivery of the annual Prime Minister’s Prizes for Science awards event. </w:t>
      </w:r>
    </w:p>
    <w:p w:rsidR="00E259DA" w:rsidRPr="00623BFA" w:rsidRDefault="00BA7A7F" w:rsidP="00F80F7C">
      <w:pPr>
        <w:keepLines w:val="0"/>
      </w:pPr>
      <w:r w:rsidRPr="00623BFA">
        <w:t xml:space="preserve">The Government is supporting communities and businesses to recover from the devastating 2022 floods in New South Wales and Queensland. The department will facilitate the </w:t>
      </w:r>
      <w:r w:rsidR="004C56B5">
        <w:t>delivery of support through $7.0</w:t>
      </w:r>
      <w:r w:rsidRPr="00623BFA">
        <w:t> million to expand the Entrepreneurs' Programme Strengthening Business service to local government areas impacted by the floods.</w:t>
      </w:r>
    </w:p>
    <w:p w:rsidR="00E259DA" w:rsidRPr="000D00C0" w:rsidRDefault="00BA7A7F" w:rsidP="00F80F7C">
      <w:pPr>
        <w:keepLines w:val="0"/>
      </w:pPr>
      <w:r w:rsidRPr="000D00C0">
        <w:t xml:space="preserve">The Government </w:t>
      </w:r>
      <w:r w:rsidR="000D00C0" w:rsidRPr="000D00C0">
        <w:t xml:space="preserve">has entered into a 10 year strategic </w:t>
      </w:r>
      <w:r w:rsidRPr="000D00C0">
        <w:t xml:space="preserve">partnership </w:t>
      </w:r>
      <w:r w:rsidR="000D00C0" w:rsidRPr="000D00C0">
        <w:t>with</w:t>
      </w:r>
      <w:r w:rsidRPr="000D00C0">
        <w:t xml:space="preserve"> Moderna Australia and the Victorian Government to help Australia meet the ongoing need for vaccines for COVID</w:t>
      </w:r>
      <w:r w:rsidRPr="000D00C0">
        <w:noBreakHyphen/>
        <w:t>19 and other diseases. This support will also deliver important health security and industry development benefits for Australia. The partnership will deliver advanced manufacturing jobs and help protect the health of Australians while securing Australia’s economic future.</w:t>
      </w:r>
    </w:p>
    <w:p w:rsidR="00DD4365" w:rsidRDefault="00BA7A7F" w:rsidP="00F80F7C">
      <w:pPr>
        <w:keepLines w:val="0"/>
      </w:pPr>
      <w:r w:rsidRPr="000D00C0">
        <w:t>The Government is also supporting Australians by delivering liquid fuel security. The Government has responded to the International Energy Agency’s declared collective action by releasing our oil stocks in support and using the proceeds to replenish Australia’s fuel reserves when prices fall from current highs. This investment will ensure that Australians have confidence in obtaining affordable and reliable liquid fuel especially during major disruptions.</w:t>
      </w:r>
    </w:p>
    <w:p w:rsidR="00E259DA" w:rsidRPr="00623BFA" w:rsidRDefault="00BA7A7F" w:rsidP="00F80F7C">
      <w:pPr>
        <w:keepLines w:val="0"/>
        <w:rPr>
          <w:lang w:eastAsia="en-US"/>
        </w:rPr>
      </w:pPr>
      <w:r w:rsidRPr="00EB0EA2">
        <w:t>T</w:t>
      </w:r>
      <w:r w:rsidR="0069197E">
        <w:t>he Government is committing $1.</w:t>
      </w:r>
      <w:r w:rsidR="007C0CF8">
        <w:t>3</w:t>
      </w:r>
      <w:r w:rsidR="0069197E">
        <w:t> </w:t>
      </w:r>
      <w:r w:rsidR="007C0CF8">
        <w:t>b</w:t>
      </w:r>
      <w:r w:rsidR="0069197E">
        <w:t>illion</w:t>
      </w:r>
      <w:r>
        <w:rPr>
          <w:rStyle w:val="FootnoteReference"/>
        </w:rPr>
        <w:footnoteReference w:id="1"/>
      </w:r>
      <w:r w:rsidRPr="00EB0EA2">
        <w:t xml:space="preserve"> through energy and emissions reductions measures in the 2022-23 Budget. Delivering affordable, reliable and secure energy in a practical, responsible way will continue to be essential to boost economic growth and generate employment opportunities. The Government’s approach to energy security takes advantage of new economic opportunities, and is consistent with the Government’s plan to achieve net zero emissions by 2050. Key to this is delivering reforms to Australia’s energy markets to keep downward pressure on energy costs, ensure energy security, create new opportunities and deliver emissions reductions. As part of the Government’s comprehensive plan to safeguard affordable, reliable power as we bring down our emissions, the </w:t>
      </w:r>
      <w:r w:rsidR="00AB0660">
        <w:t>Government</w:t>
      </w:r>
      <w:r w:rsidRPr="00623BFA">
        <w:t xml:space="preserve"> is:</w:t>
      </w:r>
    </w:p>
    <w:p w:rsidR="007C0CF8" w:rsidRDefault="00BA7A7F" w:rsidP="007C0CF8">
      <w:pPr>
        <w:keepLines w:val="0"/>
        <w:numPr>
          <w:ilvl w:val="0"/>
          <w:numId w:val="7"/>
        </w:numPr>
        <w:spacing w:after="0"/>
        <w:ind w:left="284" w:hanging="284"/>
        <w:rPr>
          <w:rFonts w:eastAsia="Calibri"/>
          <w:lang w:eastAsia="en-US"/>
        </w:rPr>
      </w:pPr>
      <w:r>
        <w:rPr>
          <w:rFonts w:eastAsia="Calibri"/>
          <w:lang w:eastAsia="en-US"/>
        </w:rPr>
        <w:t>Subject to the completion of business cases that demonstrate net benefits and co</w:t>
      </w:r>
      <w:r>
        <w:rPr>
          <w:rFonts w:eastAsia="Calibri"/>
          <w:lang w:eastAsia="en-US"/>
        </w:rPr>
        <w:noBreakHyphen/>
        <w:t xml:space="preserve">investment by relevant state and territory governments and the private sector, delivering $1.0 billion in energy and emissions reduction programs in Australia’s regions as part of </w:t>
      </w:r>
      <w:r w:rsidR="00AB0660">
        <w:rPr>
          <w:rFonts w:eastAsia="Calibri"/>
          <w:lang w:eastAsia="en-US"/>
        </w:rPr>
        <w:t>its</w:t>
      </w:r>
      <w:r>
        <w:rPr>
          <w:rFonts w:eastAsia="Calibri"/>
          <w:lang w:eastAsia="en-US"/>
        </w:rPr>
        <w:t xml:space="preserve"> $7.1 billion </w:t>
      </w:r>
      <w:r>
        <w:rPr>
          <w:rFonts w:eastAsia="Calibri"/>
          <w:i/>
          <w:lang w:eastAsia="en-US"/>
        </w:rPr>
        <w:t>Energy Security and Regional Development Plan</w:t>
      </w:r>
      <w:r>
        <w:rPr>
          <w:rFonts w:eastAsia="Calibri"/>
          <w:lang w:eastAsia="en-US"/>
        </w:rPr>
        <w:t xml:space="preserve">, </w:t>
      </w:r>
      <w:r>
        <w:t>which is provided for in the Infrastructure, Transport, Regional Development and Communications Portfolio Budget Statements</w:t>
      </w:r>
      <w:r>
        <w:rPr>
          <w:rFonts w:eastAsia="Calibri"/>
          <w:lang w:eastAsia="en-US"/>
        </w:rPr>
        <w:t>, including:</w:t>
      </w:r>
    </w:p>
    <w:p w:rsidR="007C0CF8" w:rsidRPr="007C0CF8" w:rsidRDefault="00BA7A7F" w:rsidP="00B10DFD">
      <w:pPr>
        <w:keepLines w:val="0"/>
        <w:numPr>
          <w:ilvl w:val="1"/>
          <w:numId w:val="7"/>
        </w:numPr>
        <w:spacing w:after="0"/>
        <w:ind w:left="1494"/>
        <w:rPr>
          <w:rFonts w:eastAsia="Calibri"/>
          <w:lang w:eastAsia="en-US"/>
        </w:rPr>
      </w:pPr>
      <w:r w:rsidRPr="007C0CF8">
        <w:rPr>
          <w:rFonts w:eastAsia="Calibri"/>
          <w:lang w:eastAsia="en-US"/>
        </w:rPr>
        <w:t xml:space="preserve">$300 million to support low emissions LNG and clean hydrogen production at Darwin, together with associated carbon capture and storage infrastructure. Darwin is positioned to become one of the world’s leading low-cost clean energy hubs, with access to excellent onshore and offshore natural gas and greenhouse gas storage resources, including the Beetaloo and Petrel basins and the Barossa and Bayu-Undan fields. </w:t>
      </w:r>
    </w:p>
    <w:p w:rsidR="007C0CF8" w:rsidRPr="007C0CF8" w:rsidRDefault="00BA7A7F" w:rsidP="00B10DFD">
      <w:pPr>
        <w:keepLines w:val="0"/>
        <w:numPr>
          <w:ilvl w:val="1"/>
          <w:numId w:val="7"/>
        </w:numPr>
        <w:spacing w:after="0"/>
        <w:ind w:left="1494"/>
        <w:rPr>
          <w:rFonts w:eastAsia="Calibri"/>
          <w:lang w:eastAsia="en-US"/>
        </w:rPr>
      </w:pPr>
      <w:r w:rsidRPr="007C0CF8">
        <w:rPr>
          <w:rFonts w:eastAsia="Calibri"/>
          <w:lang w:eastAsia="en-US"/>
        </w:rPr>
        <w:t>$200 million to increase onshore processing and value-add of iron ore exports, to support low emissions steel production in Indo-Pacific customer countries like Japan and Korea.</w:t>
      </w:r>
    </w:p>
    <w:p w:rsidR="007C0CF8" w:rsidRPr="007C0CF8" w:rsidRDefault="00BA7A7F" w:rsidP="00B10DFD">
      <w:pPr>
        <w:keepLines w:val="0"/>
        <w:numPr>
          <w:ilvl w:val="1"/>
          <w:numId w:val="7"/>
        </w:numPr>
        <w:spacing w:after="0"/>
        <w:ind w:left="1494"/>
        <w:rPr>
          <w:rFonts w:eastAsia="Calibri"/>
          <w:lang w:eastAsia="en-US"/>
        </w:rPr>
      </w:pPr>
      <w:r w:rsidRPr="007C0CF8">
        <w:rPr>
          <w:rFonts w:eastAsia="Calibri"/>
          <w:lang w:eastAsia="en-US"/>
        </w:rPr>
        <w:t>$200 million to enhance Australia’s supply chain security through new low emissions manufacturing facilities (using hydrogen and hydrogen derivatives like ammonia, as well as carbon capture utilisation and storage) in the Pilbara region.</w:t>
      </w:r>
    </w:p>
    <w:p w:rsidR="007C0CF8" w:rsidRPr="007C0CF8" w:rsidRDefault="00BA7A7F" w:rsidP="00B10DFD">
      <w:pPr>
        <w:keepLines w:val="0"/>
        <w:numPr>
          <w:ilvl w:val="1"/>
          <w:numId w:val="7"/>
        </w:numPr>
        <w:spacing w:after="0"/>
        <w:ind w:left="1494"/>
        <w:rPr>
          <w:rFonts w:eastAsia="Calibri"/>
          <w:lang w:eastAsia="en-US"/>
        </w:rPr>
      </w:pPr>
      <w:r w:rsidRPr="007C0CF8">
        <w:rPr>
          <w:rFonts w:eastAsia="Calibri"/>
          <w:lang w:eastAsia="en-US"/>
        </w:rPr>
        <w:t>$100 million to de-risk private sector investment in firm generation and grid infrastructure to increase system strength and capacity in the Pilbara region.</w:t>
      </w:r>
    </w:p>
    <w:p w:rsidR="007C0CF8" w:rsidRPr="007C0CF8" w:rsidRDefault="00BA7A7F" w:rsidP="00B10DFD">
      <w:pPr>
        <w:keepLines w:val="0"/>
        <w:numPr>
          <w:ilvl w:val="1"/>
          <w:numId w:val="7"/>
        </w:numPr>
        <w:spacing w:after="0"/>
        <w:ind w:left="1494"/>
        <w:rPr>
          <w:rFonts w:eastAsia="Calibri"/>
          <w:lang w:eastAsia="en-US"/>
        </w:rPr>
      </w:pPr>
      <w:r w:rsidRPr="007C0CF8">
        <w:rPr>
          <w:rFonts w:eastAsia="Calibri"/>
          <w:lang w:eastAsia="en-US"/>
        </w:rPr>
        <w:t>$100 million to support pre-Final Investment Decision activities and early works to make the Port of Newcastle ‘hydrogen ready’.</w:t>
      </w:r>
    </w:p>
    <w:p w:rsidR="00E259DA" w:rsidRPr="00FC18AB" w:rsidRDefault="00BA7A7F" w:rsidP="0069197E">
      <w:pPr>
        <w:keepLines w:val="0"/>
        <w:numPr>
          <w:ilvl w:val="0"/>
          <w:numId w:val="7"/>
        </w:numPr>
        <w:spacing w:after="0"/>
        <w:ind w:left="284" w:hanging="284"/>
        <w:rPr>
          <w:rFonts w:eastAsia="Calibri"/>
          <w:lang w:eastAsia="en-US"/>
        </w:rPr>
      </w:pPr>
      <w:r w:rsidRPr="00FC18AB">
        <w:rPr>
          <w:rFonts w:eastAsia="Calibri"/>
          <w:lang w:eastAsia="en-US"/>
        </w:rPr>
        <w:t>Continuing the development of a hydrogen</w:t>
      </w:r>
      <w:r w:rsidR="00F568BB" w:rsidRPr="00FC18AB">
        <w:rPr>
          <w:rFonts w:eastAsia="Calibri"/>
          <w:lang w:eastAsia="en-US"/>
        </w:rPr>
        <w:t xml:space="preserve"> Guarantee of Origin scheme.</w:t>
      </w:r>
    </w:p>
    <w:p w:rsidR="00E259DA" w:rsidRPr="00623BFA" w:rsidRDefault="00BA7A7F" w:rsidP="00BD050E">
      <w:pPr>
        <w:keepLines w:val="0"/>
        <w:numPr>
          <w:ilvl w:val="0"/>
          <w:numId w:val="7"/>
        </w:numPr>
        <w:spacing w:after="0"/>
        <w:ind w:left="284" w:hanging="284"/>
        <w:rPr>
          <w:rFonts w:eastAsia="Calibri"/>
          <w:lang w:eastAsia="en-US"/>
        </w:rPr>
      </w:pPr>
      <w:r w:rsidRPr="00623BFA">
        <w:rPr>
          <w:rFonts w:eastAsia="Calibri"/>
          <w:lang w:eastAsia="en-US"/>
        </w:rPr>
        <w:t xml:space="preserve">Delivering the Government’s National Gas Infrastructure Plan to support strategic planning for the east coast gas market, including $50.3 million over two years to </w:t>
      </w:r>
      <w:r w:rsidR="0095496C">
        <w:rPr>
          <w:rFonts w:eastAsia="Calibri"/>
          <w:lang w:eastAsia="en-US"/>
        </w:rPr>
        <w:t>accelerate the development of</w:t>
      </w:r>
      <w:r w:rsidRPr="00623BFA">
        <w:rPr>
          <w:rFonts w:eastAsia="Calibri"/>
          <w:lang w:eastAsia="en-US"/>
        </w:rPr>
        <w:t xml:space="preserve"> priority gas infrastructure projects </w:t>
      </w:r>
      <w:r w:rsidR="0095496C">
        <w:rPr>
          <w:rFonts w:eastAsia="Calibri"/>
          <w:lang w:eastAsia="en-US"/>
        </w:rPr>
        <w:t>consistent with</w:t>
      </w:r>
      <w:r w:rsidRPr="00623BFA">
        <w:rPr>
          <w:rFonts w:eastAsia="Calibri"/>
          <w:lang w:eastAsia="en-US"/>
        </w:rPr>
        <w:t xml:space="preserve"> the principles of the Future Gas Infrastructure Investment Framework and</w:t>
      </w:r>
      <w:r w:rsidR="0095496C">
        <w:rPr>
          <w:rFonts w:eastAsia="Calibri"/>
          <w:lang w:eastAsia="en-US"/>
        </w:rPr>
        <w:t xml:space="preserve"> support investment in carbon capture and storage pipeline infrastructure.</w:t>
      </w:r>
    </w:p>
    <w:p w:rsidR="00E259DA" w:rsidRPr="00DC76EA" w:rsidRDefault="00BA7A7F" w:rsidP="00DC76EA">
      <w:pPr>
        <w:keepLines w:val="0"/>
        <w:numPr>
          <w:ilvl w:val="0"/>
          <w:numId w:val="7"/>
        </w:numPr>
        <w:ind w:left="284" w:hanging="284"/>
        <w:rPr>
          <w:rFonts w:eastAsia="Calibri"/>
          <w:lang w:eastAsia="en-US"/>
        </w:rPr>
      </w:pPr>
      <w:r w:rsidRPr="00DC76EA">
        <w:rPr>
          <w:rFonts w:eastAsia="Calibri"/>
          <w:lang w:eastAsia="en-US"/>
        </w:rPr>
        <w:t>Supporting the establishment of more than 60 community microgrid projects in regional and rural Australia.</w:t>
      </w:r>
    </w:p>
    <w:p w:rsidR="00E259DA" w:rsidRPr="00623BFA" w:rsidRDefault="00BA7A7F" w:rsidP="00F80F7C">
      <w:pPr>
        <w:keepLines w:val="0"/>
      </w:pPr>
      <w:r w:rsidRPr="00623BFA">
        <w:t xml:space="preserve">The Government is taking a practical and responsible approach to delivering net zero emissions by 2050, while securing Australian jobs and generating new opportunities for industries and regional Australia. </w:t>
      </w:r>
      <w:r w:rsidR="00DC76EA">
        <w:t>Investments in this Budget c</w:t>
      </w:r>
      <w:r w:rsidRPr="00623BFA">
        <w:t>omplement Australia’s Lon</w:t>
      </w:r>
      <w:r w:rsidR="00DC76EA">
        <w:t>g Term Emissions Reduction Plan</w:t>
      </w:r>
      <w:r w:rsidRPr="00623BFA">
        <w:t xml:space="preserve"> and build on the expected investment of</w:t>
      </w:r>
      <w:r w:rsidRPr="00DC76EA">
        <w:t xml:space="preserve"> </w:t>
      </w:r>
      <w:r w:rsidR="001F4C1E" w:rsidRPr="00DC76EA">
        <w:t>$22</w:t>
      </w:r>
      <w:r w:rsidR="00083942">
        <w:t>.0</w:t>
      </w:r>
      <w:r w:rsidR="00063597">
        <w:t> </w:t>
      </w:r>
      <w:r w:rsidRPr="00DC76EA">
        <w:t>billion in</w:t>
      </w:r>
      <w:r w:rsidRPr="00623BFA">
        <w:t xml:space="preserve"> low emissions technolo</w:t>
      </w:r>
      <w:r w:rsidR="00DC76EA">
        <w:t>gy over the period to 2030.</w:t>
      </w:r>
      <w:r w:rsidRPr="00623BFA">
        <w:t xml:space="preserve"> </w:t>
      </w:r>
    </w:p>
    <w:p w:rsidR="00E259DA" w:rsidRPr="00623BFA" w:rsidRDefault="00BA7A7F" w:rsidP="00F80F7C">
      <w:pPr>
        <w:keepLines w:val="0"/>
      </w:pPr>
      <w:r w:rsidRPr="00623BFA">
        <w:t xml:space="preserve">In line with the Government’s technology-focused approach to reducing emissions, it is incentivising low emissions technology research and development by expanding its existing patent box policy to cover patented technology innovations that have the potential to reduce emissions. The department will administer the new regulatory framework for the patent box for low emissions technology, which will apply a concessional tax treatment for innovations in the 140 categories of technologies included in </w:t>
      </w:r>
      <w:r w:rsidR="00705C20">
        <w:t>Australia</w:t>
      </w:r>
      <w:r w:rsidRPr="00623BFA">
        <w:t>’s Low Emissions Technology Investment Roadmap.</w:t>
      </w:r>
    </w:p>
    <w:p w:rsidR="00E259DA" w:rsidRPr="00623BFA" w:rsidRDefault="00BA7A7F" w:rsidP="00BD050E">
      <w:pPr>
        <w:keepLines w:val="0"/>
      </w:pPr>
      <w:r w:rsidRPr="00623BFA">
        <w:t>Consistent with the Government’s 2022 Critical Minerals Strategy released on 16 March</w:t>
      </w:r>
      <w:r w:rsidR="00705C20">
        <w:t xml:space="preserve"> </w:t>
      </w:r>
      <w:r w:rsidRPr="00623BFA">
        <w:t>2022, the department is:</w:t>
      </w:r>
    </w:p>
    <w:p w:rsidR="00E259DA" w:rsidRPr="00623BFA" w:rsidRDefault="00BA7A7F" w:rsidP="00BD050E">
      <w:pPr>
        <w:keepLines w:val="0"/>
        <w:numPr>
          <w:ilvl w:val="0"/>
          <w:numId w:val="8"/>
        </w:numPr>
        <w:spacing w:after="0"/>
        <w:ind w:left="284" w:hanging="284"/>
        <w:rPr>
          <w:rFonts w:eastAsia="Calibri"/>
          <w:lang w:eastAsia="en-US"/>
        </w:rPr>
      </w:pPr>
      <w:r w:rsidRPr="00623BFA">
        <w:rPr>
          <w:rFonts w:eastAsia="Calibri"/>
          <w:lang w:eastAsia="en-US"/>
        </w:rPr>
        <w:t>Administering the $200</w:t>
      </w:r>
      <w:r w:rsidR="00AF4274">
        <w:rPr>
          <w:rFonts w:eastAsia="Calibri"/>
          <w:lang w:eastAsia="en-US"/>
        </w:rPr>
        <w:t>.0</w:t>
      </w:r>
      <w:r w:rsidRPr="00623BFA">
        <w:rPr>
          <w:rFonts w:eastAsia="Calibri"/>
          <w:lang w:eastAsia="en-US"/>
        </w:rPr>
        <w:t xml:space="preserve"> million (over five years) Critical Minerals Accelerator Initiative, to support strategically significant critical minerals projects at crucial points in their development and ensure there is a steady pipeline of quality projects that reach market.  </w:t>
      </w:r>
      <w:r w:rsidRPr="00705C20">
        <w:rPr>
          <w:rFonts w:eastAsia="Calibri"/>
          <w:lang w:eastAsia="en-US"/>
        </w:rPr>
        <w:t>In addition, the Government will invest a further $200</w:t>
      </w:r>
      <w:r w:rsidR="00AF4274">
        <w:rPr>
          <w:rFonts w:eastAsia="Calibri"/>
          <w:lang w:eastAsia="en-US"/>
        </w:rPr>
        <w:t>.0</w:t>
      </w:r>
      <w:r w:rsidRPr="00705C20">
        <w:rPr>
          <w:rFonts w:eastAsia="Calibri"/>
          <w:lang w:eastAsia="en-US"/>
        </w:rPr>
        <w:t xml:space="preserve"> million into the Critical Minerals Accelerator Initiative under the </w:t>
      </w:r>
      <w:r w:rsidRPr="00F1336A">
        <w:rPr>
          <w:rFonts w:eastAsia="Calibri"/>
          <w:lang w:eastAsia="en-US"/>
        </w:rPr>
        <w:t>Regional Accelerator Program,</w:t>
      </w:r>
      <w:r w:rsidRPr="00705C20">
        <w:rPr>
          <w:rFonts w:eastAsia="Calibri"/>
          <w:lang w:eastAsia="en-US"/>
        </w:rPr>
        <w:t xml:space="preserve"> which is provided for in the Infrastructure, Transport, Regional Development and Communications Portfolio Budget Statement</w:t>
      </w:r>
      <w:r w:rsidR="00AF4274">
        <w:rPr>
          <w:rFonts w:eastAsia="Calibri"/>
          <w:lang w:eastAsia="en-US"/>
        </w:rPr>
        <w:t>s</w:t>
      </w:r>
      <w:r w:rsidRPr="00705C20">
        <w:rPr>
          <w:rFonts w:eastAsia="Calibri"/>
          <w:lang w:eastAsia="en-US"/>
        </w:rPr>
        <w:t>.</w:t>
      </w:r>
      <w:r w:rsidRPr="00623BFA">
        <w:rPr>
          <w:rFonts w:eastAsia="Calibri"/>
          <w:lang w:eastAsia="en-US"/>
        </w:rPr>
        <w:t xml:space="preserve"> </w:t>
      </w:r>
    </w:p>
    <w:p w:rsidR="00E259DA" w:rsidRPr="00623BFA" w:rsidRDefault="00BA7A7F" w:rsidP="00BD050E">
      <w:pPr>
        <w:keepLines w:val="0"/>
        <w:numPr>
          <w:ilvl w:val="0"/>
          <w:numId w:val="8"/>
        </w:numPr>
        <w:spacing w:after="0"/>
        <w:ind w:left="284" w:hanging="284"/>
        <w:rPr>
          <w:rFonts w:eastAsia="Calibri"/>
          <w:lang w:eastAsia="en-US"/>
        </w:rPr>
      </w:pPr>
      <w:r w:rsidRPr="00623BFA">
        <w:rPr>
          <w:rFonts w:eastAsia="Calibri"/>
          <w:lang w:eastAsia="en-US"/>
        </w:rPr>
        <w:t xml:space="preserve">Facilitating the creation of </w:t>
      </w:r>
      <w:r w:rsidRPr="00705C20">
        <w:rPr>
          <w:rFonts w:eastAsia="Calibri"/>
          <w:lang w:eastAsia="en-US"/>
        </w:rPr>
        <w:t>a $50.5 million</w:t>
      </w:r>
      <w:r w:rsidRPr="00623BFA">
        <w:rPr>
          <w:rFonts w:eastAsia="Calibri"/>
          <w:lang w:eastAsia="en-US"/>
        </w:rPr>
        <w:t xml:space="preserve"> virtual National Critical Minerals Research and Development Centre to grow Australian intellectual property in critical minerals processing, target technical bottlenecks in supply chains of strategic relevance, and drive breakthrough collaborative research for public benefit.</w:t>
      </w:r>
    </w:p>
    <w:p w:rsidR="00E259DA" w:rsidRPr="00623BFA" w:rsidRDefault="00BA7A7F" w:rsidP="00F80F7C">
      <w:pPr>
        <w:keepLines w:val="0"/>
        <w:numPr>
          <w:ilvl w:val="0"/>
          <w:numId w:val="8"/>
        </w:numPr>
        <w:ind w:left="284" w:hanging="284"/>
        <w:rPr>
          <w:rFonts w:eastAsia="Calibri"/>
          <w:lang w:eastAsia="en-US"/>
        </w:rPr>
      </w:pPr>
      <w:r w:rsidRPr="00623BFA">
        <w:rPr>
          <w:rFonts w:eastAsia="Calibri"/>
          <w:lang w:eastAsia="en-US"/>
        </w:rPr>
        <w:t>Growing Australia’s critical minerals sector, by providing support and guidance to project proponents on financing opportunities and regulatory approval processes and establishing collaborative working relationships with like-minded countries, through the Critical Minerals Facilitation Office (CMFO). The CMFO also provides advice on whether potential project referrals to the Critical Minerals Facility, administered by Export Finance Australia, would be consistent with the Government’s Critical Minerals Strategy including recently announced loans to EcoGraf Limited and Renascor Resources</w:t>
      </w:r>
      <w:r w:rsidR="00705C20">
        <w:rPr>
          <w:rFonts w:eastAsia="Calibri"/>
          <w:lang w:eastAsia="en-US"/>
        </w:rPr>
        <w:t>.</w:t>
      </w:r>
    </w:p>
    <w:p w:rsidR="00E259DA" w:rsidRPr="00623BFA" w:rsidRDefault="00BA7A7F" w:rsidP="00F80F7C">
      <w:pPr>
        <w:keepLines w:val="0"/>
      </w:pPr>
      <w:r w:rsidRPr="00705C20">
        <w:t xml:space="preserve">As part of the Government’s </w:t>
      </w:r>
      <w:r w:rsidRPr="00F1336A">
        <w:t>Update to the India Economic Strategy to 2035,</w:t>
      </w:r>
      <w:r w:rsidRPr="00705C20">
        <w:t xml:space="preserve"> the department is contributing to a strengthened Australia-India Strategic Partnership through supportive measures to enhance science, technology and research collaboration. Measures include: </w:t>
      </w:r>
    </w:p>
    <w:p w:rsidR="00E259DA" w:rsidRPr="00623BFA" w:rsidRDefault="00BA7A7F" w:rsidP="00BD050E">
      <w:pPr>
        <w:keepLines w:val="0"/>
        <w:numPr>
          <w:ilvl w:val="0"/>
          <w:numId w:val="9"/>
        </w:numPr>
        <w:spacing w:after="0"/>
        <w:ind w:left="284" w:hanging="284"/>
        <w:rPr>
          <w:rFonts w:eastAsia="Calibri"/>
          <w:lang w:eastAsia="en-US"/>
        </w:rPr>
      </w:pPr>
      <w:r w:rsidRPr="00623BFA">
        <w:rPr>
          <w:rFonts w:eastAsia="Calibri"/>
          <w:lang w:eastAsia="en-US"/>
        </w:rPr>
        <w:t xml:space="preserve">Boosting </w:t>
      </w:r>
      <w:r w:rsidRPr="001B128D">
        <w:rPr>
          <w:rFonts w:eastAsia="Calibri"/>
          <w:lang w:eastAsia="en-US"/>
        </w:rPr>
        <w:t>collaboration with India through $10.1 million to support</w:t>
      </w:r>
      <w:r w:rsidRPr="00623BFA">
        <w:rPr>
          <w:rFonts w:eastAsia="Calibri"/>
          <w:lang w:eastAsia="en-US"/>
        </w:rPr>
        <w:t xml:space="preserve"> Australia’s technical infrastructure, comprising our national standards and conformance bodies.</w:t>
      </w:r>
    </w:p>
    <w:p w:rsidR="00E259DA" w:rsidRPr="001B128D" w:rsidRDefault="00BA7A7F" w:rsidP="00BD050E">
      <w:pPr>
        <w:keepLines w:val="0"/>
        <w:numPr>
          <w:ilvl w:val="0"/>
          <w:numId w:val="9"/>
        </w:numPr>
        <w:spacing w:after="0"/>
        <w:ind w:left="284" w:hanging="284"/>
        <w:rPr>
          <w:rFonts w:eastAsia="Calibri"/>
          <w:lang w:eastAsia="en-US"/>
        </w:rPr>
      </w:pPr>
      <w:r w:rsidRPr="001B128D">
        <w:rPr>
          <w:rFonts w:eastAsia="Calibri"/>
          <w:lang w:eastAsia="en-US"/>
        </w:rPr>
        <w:t>Enabling the International Energy Agency (IEA) through $2</w:t>
      </w:r>
      <w:r w:rsidR="00AF4274">
        <w:rPr>
          <w:rFonts w:eastAsia="Calibri"/>
          <w:lang w:eastAsia="en-US"/>
        </w:rPr>
        <w:t>.0</w:t>
      </w:r>
      <w:r w:rsidRPr="001B128D">
        <w:rPr>
          <w:rFonts w:eastAsia="Calibri"/>
          <w:lang w:eastAsia="en-US"/>
        </w:rPr>
        <w:t xml:space="preserve"> million to undertake a program of activities in India to support the Strategic Partnership between the IEA and India.</w:t>
      </w:r>
    </w:p>
    <w:p w:rsidR="00E259DA" w:rsidRPr="004F102B" w:rsidRDefault="00BA7A7F" w:rsidP="00BD050E">
      <w:pPr>
        <w:keepLines w:val="0"/>
        <w:numPr>
          <w:ilvl w:val="0"/>
          <w:numId w:val="9"/>
        </w:numPr>
        <w:spacing w:after="0"/>
        <w:ind w:left="284" w:hanging="284"/>
        <w:rPr>
          <w:rFonts w:eastAsia="Calibri"/>
          <w:lang w:eastAsia="en-US"/>
        </w:rPr>
      </w:pPr>
      <w:r w:rsidRPr="004F102B">
        <w:rPr>
          <w:rFonts w:eastAsia="Calibri"/>
          <w:lang w:eastAsia="en-US"/>
        </w:rPr>
        <w:t>Extending the Australia-India Strategic Research Fund through $7.8 million to continue supporting a world-class relationship.</w:t>
      </w:r>
    </w:p>
    <w:p w:rsidR="00E259DA" w:rsidRPr="004F102B" w:rsidRDefault="00BA7A7F" w:rsidP="00BD050E">
      <w:pPr>
        <w:keepLines w:val="0"/>
        <w:numPr>
          <w:ilvl w:val="0"/>
          <w:numId w:val="9"/>
        </w:numPr>
        <w:spacing w:after="0"/>
        <w:ind w:left="284" w:hanging="284"/>
        <w:rPr>
          <w:rFonts w:eastAsia="Calibri"/>
          <w:lang w:eastAsia="en-US"/>
        </w:rPr>
      </w:pPr>
      <w:r w:rsidRPr="004F102B">
        <w:rPr>
          <w:rFonts w:eastAsia="Calibri"/>
          <w:lang w:eastAsia="en-US"/>
        </w:rPr>
        <w:t>A Critical Minerals Research Partnership through $5.8 million to support cooperation on research, production and commercialisation of clean technologies, critical minerals and energy.</w:t>
      </w:r>
    </w:p>
    <w:p w:rsidR="00E259DA" w:rsidRPr="00623BFA" w:rsidRDefault="00BA7A7F" w:rsidP="00F80F7C">
      <w:pPr>
        <w:keepLines w:val="0"/>
        <w:numPr>
          <w:ilvl w:val="0"/>
          <w:numId w:val="9"/>
        </w:numPr>
        <w:ind w:left="284" w:hanging="284"/>
        <w:rPr>
          <w:rFonts w:eastAsia="Calibri"/>
          <w:lang w:eastAsia="en-US"/>
        </w:rPr>
      </w:pPr>
      <w:r w:rsidRPr="00623BFA">
        <w:rPr>
          <w:rFonts w:eastAsia="Calibri"/>
          <w:lang w:eastAsia="en-US"/>
        </w:rPr>
        <w:t>Expanding the Australian Space Agency’s existing International Space Investment Initiative to an India-focussed str</w:t>
      </w:r>
      <w:r w:rsidR="004F102B">
        <w:rPr>
          <w:rFonts w:eastAsia="Calibri"/>
          <w:lang w:eastAsia="en-US"/>
        </w:rPr>
        <w:t>eam with funding totalling $25.2</w:t>
      </w:r>
      <w:r w:rsidRPr="00623BFA">
        <w:rPr>
          <w:rFonts w:eastAsia="Calibri"/>
          <w:lang w:eastAsia="en-US"/>
        </w:rPr>
        <w:t xml:space="preserve"> million. This will support collaborative space projects between Australia and India, and unlock opportunities in India’s burgeoning space industry.</w:t>
      </w:r>
    </w:p>
    <w:p w:rsidR="00E259DA" w:rsidRPr="00623BFA" w:rsidRDefault="00BA7A7F" w:rsidP="00F80F7C">
      <w:pPr>
        <w:keepLines w:val="0"/>
      </w:pPr>
      <w:r w:rsidRPr="004F102B">
        <w:t>Following a request for assistance from the Government of Ukraine, Australia will support Ukraine’s energy security by donating at least 70,000 tonnes of thermal coal. The cost of the coal and its delivery to the destination port will be met by the Australian Government.</w:t>
      </w:r>
    </w:p>
    <w:p w:rsidR="004C2526" w:rsidRPr="00C27833" w:rsidRDefault="00BA7A7F" w:rsidP="0030398A">
      <w:pPr>
        <w:pStyle w:val="Heading3"/>
        <w:pageBreakBefore/>
        <w:rPr>
          <w:smallCaps w:val="0"/>
          <w:sz w:val="22"/>
          <w:szCs w:val="22"/>
        </w:rPr>
      </w:pPr>
      <w:bookmarkStart w:id="69" w:name="RG_MARKER_11704"/>
      <w:bookmarkStart w:id="70" w:name="RG_MARKER_12213"/>
      <w:r w:rsidRPr="00C27833">
        <w:rPr>
          <w:smallCaps w:val="0"/>
          <w:sz w:val="22"/>
          <w:szCs w:val="22"/>
        </w:rPr>
        <w:t>1.2</w:t>
      </w:r>
      <w:bookmarkEnd w:id="69"/>
      <w:bookmarkEnd w:id="70"/>
      <w:r w:rsidRPr="00C27833">
        <w:rPr>
          <w:smallCaps w:val="0"/>
          <w:sz w:val="22"/>
          <w:szCs w:val="22"/>
        </w:rPr>
        <w:tab/>
        <w:t>Entity resource statement</w:t>
      </w:r>
    </w:p>
    <w:p w:rsidR="00951551" w:rsidRDefault="00BA7A7F" w:rsidP="00447579">
      <w:r>
        <w:t>Table 1.1 shows the total funding from all sources available to the entity for its operations and to deliver programs and services on behalf of the Government.</w:t>
      </w:r>
    </w:p>
    <w:p w:rsidR="00F13D6E" w:rsidRDefault="00BA7A7F" w:rsidP="00447579">
      <w:r>
        <w:t>The table summarises how resources will be applied by outcome (government strategic policy objectives) and by administered (on behalf of the Government or the public) and departmental (for the entity’s operations) classification.</w:t>
      </w:r>
    </w:p>
    <w:p w:rsidR="00003429" w:rsidRPr="00003429" w:rsidRDefault="00BA7A7F" w:rsidP="00447579">
      <w:pPr>
        <w:rPr>
          <w:i/>
        </w:rPr>
      </w:pPr>
      <w:r>
        <w:t xml:space="preserve">For more detailed information on special accounts and special appropriations, please refer to </w:t>
      </w:r>
      <w:r>
        <w:rPr>
          <w:i/>
        </w:rPr>
        <w:t>Budget Paper No. 4: Agency Resourcing.</w:t>
      </w:r>
    </w:p>
    <w:p w:rsidR="00863714" w:rsidRDefault="00BA7A7F" w:rsidP="00447579">
      <w:r>
        <w:t>Information in this table is presented on a resourcing (that is, appropriations/cash available) basis, whilst the ‘Budgeted expenses for Outcome’ tables in Section 2 and the financial statements in Section 3 are presented on an accrual basis.</w:t>
      </w:r>
    </w:p>
    <w:p w:rsidR="007E1A2E" w:rsidRDefault="00BA7A7F" w:rsidP="003E0B40">
      <w:pPr>
        <w:pStyle w:val="TableHeading"/>
        <w:keepLines/>
        <w:spacing w:before="0"/>
      </w:pPr>
      <w:r>
        <w:t xml:space="preserve">Table 1.1: </w:t>
      </w:r>
      <w:r>
        <w:rPr>
          <w:snapToGrid w:val="0"/>
        </w:rPr>
        <w:t>Department of Industry, Science, Energy and Resources</w:t>
      </w:r>
      <w:r>
        <w:t xml:space="preserve"> resource statement – Budget estimates for 2022­23 as at Budget March 2022</w:t>
      </w:r>
    </w:p>
    <w:tbl>
      <w:tblPr>
        <w:tblStyle w:val="CDMRange1"/>
        <w:tblW w:w="7650" w:type="dxa"/>
        <w:tblLayout w:type="fixed"/>
        <w:tblLook w:val="0600" w:firstRow="0" w:lastRow="0" w:firstColumn="0" w:lastColumn="0" w:noHBand="1" w:noVBand="1"/>
      </w:tblPr>
      <w:tblGrid>
        <w:gridCol w:w="5400"/>
        <w:gridCol w:w="1125"/>
        <w:gridCol w:w="1125"/>
      </w:tblGrid>
      <w:tr w:rsidR="00253274">
        <w:trPr>
          <w:trHeight w:hRule="exact" w:val="240"/>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25"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Departmental </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(a)(b)</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D9D9D9"/>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94,489</w:t>
            </w:r>
          </w:p>
        </w:tc>
        <w:tc>
          <w:tcPr>
            <w:tcW w:w="112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73,458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(c) </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644,401</w:t>
            </w:r>
          </w:p>
        </w:tc>
        <w:tc>
          <w:tcPr>
            <w:tcW w:w="112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738,181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(d)</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90,668</w:t>
            </w:r>
          </w:p>
        </w:tc>
        <w:tc>
          <w:tcPr>
            <w:tcW w:w="112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72,110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27,432</w:t>
            </w:r>
          </w:p>
        </w:tc>
        <w:tc>
          <w:tcPr>
            <w:tcW w:w="112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30,406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(b)(f)</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13,263</w:t>
            </w:r>
          </w:p>
        </w:tc>
        <w:tc>
          <w:tcPr>
            <w:tcW w:w="112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8,818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 (g)</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36,328</w:t>
            </w:r>
          </w:p>
        </w:tc>
        <w:tc>
          <w:tcPr>
            <w:tcW w:w="1125"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39,114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906,581</w:t>
            </w:r>
          </w:p>
        </w:tc>
        <w:tc>
          <w:tcPr>
            <w:tcW w:w="112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962,087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Special accounts (h)</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26,816</w:t>
            </w:r>
          </w:p>
        </w:tc>
        <w:tc>
          <w:tcPr>
            <w:tcW w:w="112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24,920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9,426</w:t>
            </w:r>
          </w:p>
        </w:tc>
        <w:tc>
          <w:tcPr>
            <w:tcW w:w="112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8,741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8,890</w:t>
            </w:r>
          </w:p>
        </w:tc>
        <w:tc>
          <w:tcPr>
            <w:tcW w:w="1125"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6,465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45,132</w:t>
            </w:r>
          </w:p>
        </w:tc>
        <w:tc>
          <w:tcPr>
            <w:tcW w:w="112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40,126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0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departmental appropriations drawn from annual </w:t>
            </w:r>
          </w:p>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appropriations and credited to special accounts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9,426</w:t>
            </w:r>
          </w:p>
        </w:tc>
        <w:tc>
          <w:tcPr>
            <w:tcW w:w="112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8,741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942,287</w:t>
            </w:r>
          </w:p>
        </w:tc>
        <w:tc>
          <w:tcPr>
            <w:tcW w:w="112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993,472</w:t>
            </w:r>
          </w:p>
        </w:tc>
      </w:tr>
    </w:tbl>
    <w:p w:rsidR="00790695" w:rsidRDefault="00BA7A7F">
      <w:pPr>
        <w:keepLines w:val="0"/>
        <w:spacing w:after="200" w:line="276" w:lineRule="auto"/>
        <w:jc w:val="left"/>
      </w:pPr>
      <w:r>
        <w:br w:type="page"/>
      </w:r>
    </w:p>
    <w:p w:rsidR="001526A2" w:rsidRDefault="00BA7A7F" w:rsidP="003E0B40">
      <w:pPr>
        <w:pStyle w:val="TableHeading"/>
        <w:keepLines/>
        <w:spacing w:before="0"/>
      </w:pPr>
      <w:r>
        <w:t xml:space="preserve">Table 1.1: </w:t>
      </w:r>
      <w:r>
        <w:rPr>
          <w:snapToGrid w:val="0"/>
        </w:rPr>
        <w:t>Department of Industry, Science, Energy and Resources</w:t>
      </w:r>
      <w:r>
        <w:t xml:space="preserve"> resource statement – Budget estimates for 2022­23 as at Budget March 2022 (continued)</w:t>
      </w:r>
    </w:p>
    <w:tbl>
      <w:tblPr>
        <w:tblStyle w:val="CDMRange2"/>
        <w:tblW w:w="7650" w:type="dxa"/>
        <w:tblLayout w:type="fixed"/>
        <w:tblLook w:val="0600" w:firstRow="0" w:lastRow="0" w:firstColumn="0" w:lastColumn="0" w:noHBand="1" w:noVBand="1"/>
      </w:tblPr>
      <w:tblGrid>
        <w:gridCol w:w="5400"/>
        <w:gridCol w:w="1125"/>
        <w:gridCol w:w="1125"/>
      </w:tblGrid>
      <w:tr w:rsidR="00253274">
        <w:trPr>
          <w:trHeight w:hRule="exact" w:val="225"/>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25"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Administered </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services (a)(b)(c) </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311,111</w:t>
            </w:r>
          </w:p>
        </w:tc>
        <w:tc>
          <w:tcPr>
            <w:tcW w:w="112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249,402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1,631,602</w:t>
            </w:r>
          </w:p>
        </w:tc>
        <w:tc>
          <w:tcPr>
            <w:tcW w:w="112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1,833,419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215,556</w:t>
            </w:r>
          </w:p>
        </w:tc>
        <w:tc>
          <w:tcPr>
            <w:tcW w:w="112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256,289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Outcome 3</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296,203</w:t>
            </w:r>
          </w:p>
        </w:tc>
        <w:tc>
          <w:tcPr>
            <w:tcW w:w="112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291,933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(i)</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1,404,643</w:t>
            </w:r>
          </w:p>
        </w:tc>
        <w:tc>
          <w:tcPr>
            <w:tcW w:w="112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1,640,692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(b)(f)(g)</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367,579</w:t>
            </w:r>
          </w:p>
        </w:tc>
        <w:tc>
          <w:tcPr>
            <w:tcW w:w="112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267,487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assets and liabilities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848,920</w:t>
            </w:r>
          </w:p>
        </w:tc>
        <w:tc>
          <w:tcPr>
            <w:tcW w:w="112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1,822,635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(i)</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55,652</w:t>
            </w:r>
          </w:p>
        </w:tc>
        <w:tc>
          <w:tcPr>
            <w:tcW w:w="1125"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116,568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annual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5,131,266</w:t>
            </w:r>
          </w:p>
        </w:tc>
        <w:tc>
          <w:tcPr>
            <w:tcW w:w="112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6,478,425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special appropriations</w:t>
            </w:r>
            <w:r>
              <w:rPr>
                <w:rFonts w:ascii="Arial" w:eastAsia="Arial" w:hAnsi="Arial" w:cs="Arial"/>
                <w:color w:val="000000"/>
                <w:sz w:val="16"/>
              </w:rPr>
              <w:t xml:space="preserve"> (j)</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342,588</w:t>
            </w:r>
          </w:p>
        </w:tc>
        <w:tc>
          <w:tcPr>
            <w:tcW w:w="112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44,550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Special accounts (h)</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5,724,109</w:t>
            </w:r>
          </w:p>
        </w:tc>
        <w:tc>
          <w:tcPr>
            <w:tcW w:w="112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5,466,040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615</w:t>
            </w:r>
          </w:p>
        </w:tc>
        <w:tc>
          <w:tcPr>
            <w:tcW w:w="112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2,945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2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Non-appropriated receipts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479,034</w:t>
            </w:r>
          </w:p>
        </w:tc>
        <w:tc>
          <w:tcPr>
            <w:tcW w:w="112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319,016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 receipts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6,203,758</w:t>
            </w:r>
          </w:p>
        </w:tc>
        <w:tc>
          <w:tcPr>
            <w:tcW w:w="112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5,788,001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0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payments to corporate entities from annual/special </w:t>
            </w:r>
          </w:p>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appropriations and special accounts</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2,399,703</w:t>
            </w:r>
          </w:p>
        </w:tc>
        <w:tc>
          <w:tcPr>
            <w:tcW w:w="1125" w:type="dxa"/>
            <w:tcBorders>
              <w:top w:val="single" w:sz="4" w:space="0" w:color="000000"/>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2,328,630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0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administered appropriations drawn from annual/special appropriations and credited to special accounts </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615</w:t>
            </w:r>
          </w:p>
        </w:tc>
        <w:tc>
          <w:tcPr>
            <w:tcW w:w="112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2,945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40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less special account balances for corporate entities</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5,034,000</w:t>
            </w:r>
          </w:p>
        </w:tc>
        <w:tc>
          <w:tcPr>
            <w:tcW w:w="1125"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4,804,000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4,243,294</w:t>
            </w:r>
          </w:p>
        </w:tc>
        <w:tc>
          <w:tcPr>
            <w:tcW w:w="112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5,175,401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00"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the Department of Industry, Science, Energy and Resources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5,185,581</w:t>
            </w:r>
          </w:p>
        </w:tc>
        <w:tc>
          <w:tcPr>
            <w:tcW w:w="112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6,168,873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25" w:type="dxa"/>
            <w:tcBorders>
              <w:top w:val="single" w:sz="4" w:space="0" w:color="000000"/>
              <w:left w:val="nil"/>
              <w:bottom w:val="single" w:sz="4" w:space="0" w:color="000000"/>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levels (number)</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3,184</w:t>
            </w:r>
          </w:p>
        </w:tc>
        <w:tc>
          <w:tcPr>
            <w:tcW w:w="112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3,356</w:t>
            </w:r>
          </w:p>
        </w:tc>
      </w:tr>
    </w:tbl>
    <w:p w:rsidR="001D13D1" w:rsidRDefault="00BA7A7F">
      <w:pPr>
        <w:keepLines w:val="0"/>
        <w:spacing w:after="200" w:line="276" w:lineRule="auto"/>
        <w:jc w:val="left"/>
        <w:rPr>
          <w:rStyle w:val="Hyperlink"/>
        </w:rPr>
      </w:pPr>
      <w:r>
        <w:rPr>
          <w:rStyle w:val="Hyperlink"/>
        </w:rPr>
        <w:br w:type="page"/>
      </w:r>
    </w:p>
    <w:p w:rsidR="00556D23" w:rsidRDefault="00BA7A7F" w:rsidP="00556D23">
      <w:pPr>
        <w:pStyle w:val="TableHeading"/>
        <w:keepLines/>
        <w:spacing w:before="0"/>
      </w:pPr>
      <w:r>
        <w:t xml:space="preserve">Table 1.1: </w:t>
      </w:r>
      <w:r>
        <w:rPr>
          <w:snapToGrid w:val="0"/>
        </w:rPr>
        <w:t>Department of Industry, Science, Energy and Resources</w:t>
      </w:r>
      <w:r>
        <w:t xml:space="preserve"> resource statement – Budget estimates for 2022­23 as at Budget March 2022 (continued)</w:t>
      </w:r>
    </w:p>
    <w:p w:rsidR="0092506E" w:rsidRDefault="00BA7A7F" w:rsidP="0092506E">
      <w:pPr>
        <w:pStyle w:val="TableHeading"/>
        <w:keepLines/>
      </w:pPr>
      <w:r>
        <w:t>Third-party payments from and on behalf of other entities</w:t>
      </w:r>
    </w:p>
    <w:tbl>
      <w:tblPr>
        <w:tblStyle w:val="CDMRange1"/>
        <w:tblW w:w="7650" w:type="dxa"/>
        <w:tblLayout w:type="fixed"/>
        <w:tblLook w:val="0600" w:firstRow="0" w:lastRow="0" w:firstColumn="0" w:lastColumn="0" w:noHBand="1" w:noVBand="1"/>
      </w:tblPr>
      <w:tblGrid>
        <w:gridCol w:w="5400"/>
        <w:gridCol w:w="1125"/>
        <w:gridCol w:w="1125"/>
      </w:tblGrid>
      <w:tr w:rsidR="00253274">
        <w:trPr>
          <w:trHeight w:hRule="exact" w:val="225"/>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25" w:type="dxa"/>
            <w:tcBorders>
              <w:top w:val="single" w:sz="4" w:space="0" w:color="000000"/>
              <w:left w:val="nil"/>
              <w:bottom w:val="nil"/>
              <w:right w:val="nil"/>
              <w:tl2br w:val="nil"/>
              <w:tr2bl w:val="nil"/>
            </w:tcBorders>
            <w:shd w:val="clear" w:color="FFFFFF" w:fill="D9D9D9"/>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D9D9D9"/>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D9D9D9"/>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Payments made to corporate entities within the Portfolio</w:t>
            </w:r>
            <w:r>
              <w:rPr>
                <w:rFonts w:ascii="Arial" w:eastAsia="Arial" w:hAnsi="Arial" w:cs="Arial"/>
                <w:color w:val="000000"/>
                <w:sz w:val="16"/>
              </w:rPr>
              <w:t xml:space="preserve"> (i)</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4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Ordinary Annual Services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8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Australian Institute of Marine Science</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45,548</w:t>
            </w:r>
          </w:p>
        </w:tc>
        <w:tc>
          <w:tcPr>
            <w:tcW w:w="112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59,193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8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Australian Nuclear Science and Technology Organisation</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279,506</w:t>
            </w:r>
          </w:p>
        </w:tc>
        <w:tc>
          <w:tcPr>
            <w:tcW w:w="112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289,790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8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Australian Renewable Energy Agency</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117,173</w:t>
            </w:r>
          </w:p>
        </w:tc>
        <w:tc>
          <w:tcPr>
            <w:tcW w:w="112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289,450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8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Clean Energy Finance Corporation</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7,139</w:t>
            </w:r>
          </w:p>
        </w:tc>
        <w:tc>
          <w:tcPr>
            <w:tcW w:w="112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8,821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8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Commonwealth Scientific and Industrial Research Organisation</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949,037</w:t>
            </w:r>
          </w:p>
        </w:tc>
        <w:tc>
          <w:tcPr>
            <w:tcW w:w="112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991,289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00" w:type="dxa"/>
            <w:tcBorders>
              <w:top w:val="nil"/>
              <w:left w:val="nil"/>
              <w:bottom w:val="nil"/>
              <w:right w:val="nil"/>
              <w:tl2br w:val="nil"/>
              <w:tr2bl w:val="nil"/>
            </w:tcBorders>
            <w:shd w:val="clear" w:color="auto" w:fill="auto"/>
            <w:tcMar>
              <w:left w:w="28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Safety and Environmental Management Authority</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1,500</w:t>
            </w:r>
          </w:p>
        </w:tc>
        <w:tc>
          <w:tcPr>
            <w:tcW w:w="112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2,149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8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Northern Australia Infrastructure Facility</w:t>
            </w:r>
          </w:p>
        </w:tc>
        <w:tc>
          <w:tcPr>
            <w:tcW w:w="112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4,740</w:t>
            </w:r>
          </w:p>
        </w:tc>
        <w:tc>
          <w:tcPr>
            <w:tcW w:w="1125"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ordinary annual services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1,404,643</w:t>
            </w:r>
          </w:p>
        </w:tc>
        <w:tc>
          <w:tcPr>
            <w:tcW w:w="1125"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1,640,692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Other Services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8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Australian Institute of Marine Science</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17,550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8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Australian Nuclear Science and Technology Organisation</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50,187</w:t>
            </w:r>
          </w:p>
        </w:tc>
        <w:tc>
          <w:tcPr>
            <w:tcW w:w="112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43,169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8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Commonwealth Scientific and Industrial Research Organisation</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4,000</w:t>
            </w:r>
          </w:p>
        </w:tc>
        <w:tc>
          <w:tcPr>
            <w:tcW w:w="112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49,700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00" w:type="dxa"/>
            <w:tcBorders>
              <w:top w:val="nil"/>
              <w:left w:val="nil"/>
              <w:bottom w:val="nil"/>
              <w:right w:val="nil"/>
              <w:tl2br w:val="nil"/>
              <w:tr2bl w:val="nil"/>
            </w:tcBorders>
            <w:shd w:val="clear" w:color="auto" w:fill="auto"/>
            <w:tcMar>
              <w:left w:w="28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Safety and Environmental Management Authority</w:t>
            </w:r>
          </w:p>
        </w:tc>
        <w:tc>
          <w:tcPr>
            <w:tcW w:w="112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1,465</w:t>
            </w:r>
          </w:p>
        </w:tc>
        <w:tc>
          <w:tcPr>
            <w:tcW w:w="1125"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6,149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other services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55,652</w:t>
            </w:r>
          </w:p>
        </w:tc>
        <w:tc>
          <w:tcPr>
            <w:tcW w:w="1125"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116,568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Special appropriations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8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Australian Renewable Energy Agency</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304,836</w:t>
            </w:r>
          </w:p>
        </w:tc>
        <w:tc>
          <w:tcPr>
            <w:tcW w:w="112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00" w:type="dxa"/>
            <w:tcBorders>
              <w:top w:val="nil"/>
              <w:left w:val="nil"/>
              <w:bottom w:val="nil"/>
              <w:right w:val="nil"/>
              <w:tl2br w:val="nil"/>
              <w:tr2bl w:val="nil"/>
            </w:tcBorders>
            <w:shd w:val="clear" w:color="auto" w:fill="auto"/>
            <w:tcMar>
              <w:left w:w="28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Safety and Environmental Management Authority</w:t>
            </w:r>
          </w:p>
        </w:tc>
        <w:tc>
          <w:tcPr>
            <w:tcW w:w="112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34,572</w:t>
            </w:r>
          </w:p>
        </w:tc>
        <w:tc>
          <w:tcPr>
            <w:tcW w:w="1125"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41,370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339,408</w:t>
            </w:r>
          </w:p>
        </w:tc>
        <w:tc>
          <w:tcPr>
            <w:tcW w:w="1125"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41,370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Special accounts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8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Clean Energy Finance Corporation</w:t>
            </w:r>
          </w:p>
        </w:tc>
        <w:tc>
          <w:tcPr>
            <w:tcW w:w="112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600,000</w:t>
            </w:r>
          </w:p>
        </w:tc>
        <w:tc>
          <w:tcPr>
            <w:tcW w:w="1125"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accounts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600,000</w:t>
            </w:r>
          </w:p>
        </w:tc>
        <w:tc>
          <w:tcPr>
            <w:tcW w:w="1125"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530,000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payments to corporate entities within the Portfolio</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2,399,703</w:t>
            </w:r>
          </w:p>
        </w:tc>
        <w:tc>
          <w:tcPr>
            <w:tcW w:w="1125"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2,328,630</w:t>
            </w:r>
          </w:p>
        </w:tc>
      </w:tr>
    </w:tbl>
    <w:p w:rsidR="00285676" w:rsidRDefault="00BA7A7F" w:rsidP="00212475">
      <w:pPr>
        <w:pStyle w:val="Source"/>
        <w:spacing w:before="40"/>
      </w:pPr>
      <w:r>
        <w:t xml:space="preserve">All figures shown above are GST exclusive – these may not match figures in the cash flow statement. </w:t>
      </w:r>
    </w:p>
    <w:p w:rsidR="00CD2D3E" w:rsidRDefault="00BA7A7F" w:rsidP="00212475">
      <w:pPr>
        <w:pStyle w:val="Source"/>
        <w:spacing w:before="40"/>
      </w:pPr>
      <w:r>
        <w:t>Prepared on a resourcing (i.e. appropriations available) basis.</w:t>
      </w:r>
    </w:p>
    <w:p w:rsidR="0030508B" w:rsidRPr="00285676" w:rsidRDefault="00BA7A7F" w:rsidP="00212475">
      <w:pPr>
        <w:pStyle w:val="ChartandTableFootnoteAlpha"/>
        <w:keepNext w:val="0"/>
        <w:keepLines w:val="0"/>
        <w:numPr>
          <w:ilvl w:val="0"/>
          <w:numId w:val="10"/>
        </w:numPr>
        <w:spacing w:line="240" w:lineRule="auto"/>
        <w:rPr>
          <w:i/>
          <w:iCs/>
        </w:rPr>
      </w:pPr>
      <w:r w:rsidRPr="00285676">
        <w:rPr>
          <w:iCs/>
        </w:rPr>
        <w:t>Appropriation Bill (No.1) 2022-23</w:t>
      </w:r>
      <w:r w:rsidR="00B9325F" w:rsidRPr="00285676">
        <w:rPr>
          <w:i/>
          <w:iCs/>
        </w:rPr>
        <w:t>.</w:t>
      </w:r>
    </w:p>
    <w:p w:rsidR="0030508B" w:rsidRPr="00285676" w:rsidRDefault="00BA7A7F" w:rsidP="00212475">
      <w:pPr>
        <w:pStyle w:val="Header"/>
        <w:keepLines w:val="0"/>
        <w:numPr>
          <w:ilvl w:val="0"/>
          <w:numId w:val="10"/>
        </w:numPr>
        <w:jc w:val="both"/>
        <w:rPr>
          <w:rFonts w:ascii="Arial" w:hAnsi="Arial"/>
          <w:i w:val="0"/>
          <w:iCs/>
          <w:sz w:val="16"/>
        </w:rPr>
      </w:pPr>
      <w:r w:rsidRPr="00285676">
        <w:rPr>
          <w:rFonts w:ascii="Arial" w:hAnsi="Arial"/>
          <w:i w:val="0"/>
          <w:iCs/>
          <w:sz w:val="16"/>
        </w:rPr>
        <w:t>Excludes $</w:t>
      </w:r>
      <w:r>
        <w:rPr>
          <w:rFonts w:ascii="Arial" w:hAnsi="Arial"/>
          <w:i w:val="0"/>
          <w:iCs/>
          <w:sz w:val="16"/>
        </w:rPr>
        <w:t>273.5</w:t>
      </w:r>
      <w:r w:rsidRPr="00285676">
        <w:rPr>
          <w:rFonts w:ascii="Arial" w:hAnsi="Arial"/>
          <w:i w:val="0"/>
          <w:iCs/>
          <w:sz w:val="16"/>
        </w:rPr>
        <w:t xml:space="preserve"> million subject to administrative quarantine by Finance or withheld under section 51 of the </w:t>
      </w:r>
      <w:r w:rsidRPr="00285676">
        <w:rPr>
          <w:rFonts w:ascii="Arial" w:hAnsi="Arial"/>
          <w:iCs/>
          <w:sz w:val="16"/>
        </w:rPr>
        <w:t>Public Governance, Performance and Accountability Act 2013</w:t>
      </w:r>
      <w:r w:rsidRPr="00285676">
        <w:rPr>
          <w:rFonts w:ascii="Arial" w:hAnsi="Arial"/>
          <w:i w:val="0"/>
          <w:iCs/>
          <w:sz w:val="16"/>
        </w:rPr>
        <w:t xml:space="preserve"> (</w:t>
      </w:r>
      <w:r w:rsidRPr="00285676">
        <w:rPr>
          <w:rFonts w:ascii="Arial" w:hAnsi="Arial"/>
          <w:iCs/>
          <w:sz w:val="16"/>
        </w:rPr>
        <w:t>PGPA Act</w:t>
      </w:r>
      <w:r w:rsidRPr="00285676">
        <w:rPr>
          <w:rFonts w:ascii="Arial" w:hAnsi="Arial"/>
          <w:i w:val="0"/>
          <w:iCs/>
          <w:sz w:val="16"/>
        </w:rPr>
        <w:t>).</w:t>
      </w:r>
    </w:p>
    <w:p w:rsidR="00535E39" w:rsidRPr="00285676" w:rsidRDefault="00BA7A7F" w:rsidP="00212475">
      <w:pPr>
        <w:pStyle w:val="Header"/>
        <w:keepLines w:val="0"/>
        <w:numPr>
          <w:ilvl w:val="0"/>
          <w:numId w:val="10"/>
        </w:numPr>
        <w:jc w:val="both"/>
        <w:rPr>
          <w:rFonts w:ascii="Arial" w:hAnsi="Arial"/>
          <w:i w:val="0"/>
          <w:iCs/>
          <w:sz w:val="16"/>
        </w:rPr>
      </w:pPr>
      <w:r w:rsidRPr="00285676">
        <w:rPr>
          <w:rFonts w:ascii="Arial" w:hAnsi="Arial"/>
          <w:i w:val="0"/>
          <w:iCs/>
          <w:sz w:val="16"/>
        </w:rPr>
        <w:t xml:space="preserve">The 2021-22 estimated actuals include </w:t>
      </w:r>
      <w:r w:rsidRPr="00285676">
        <w:rPr>
          <w:rFonts w:ascii="Arial" w:hAnsi="Arial"/>
          <w:iCs/>
          <w:sz w:val="16"/>
        </w:rPr>
        <w:t>Appropriation Act (No. 1) 2021-22</w:t>
      </w:r>
      <w:r w:rsidRPr="00285676">
        <w:rPr>
          <w:rFonts w:ascii="Arial" w:hAnsi="Arial"/>
          <w:i w:val="0"/>
          <w:iCs/>
          <w:sz w:val="16"/>
        </w:rPr>
        <w:t xml:space="preserve"> and Appropriation Bill (No. 3) 2021-22.</w:t>
      </w:r>
    </w:p>
    <w:p w:rsidR="0030508B" w:rsidRPr="00285676" w:rsidRDefault="00BA7A7F" w:rsidP="00212475">
      <w:pPr>
        <w:pStyle w:val="Header"/>
        <w:keepLines w:val="0"/>
        <w:numPr>
          <w:ilvl w:val="0"/>
          <w:numId w:val="10"/>
        </w:numPr>
        <w:jc w:val="both"/>
        <w:rPr>
          <w:rFonts w:ascii="Arial" w:hAnsi="Arial"/>
          <w:i w:val="0"/>
          <w:iCs/>
          <w:sz w:val="16"/>
        </w:rPr>
      </w:pPr>
      <w:r w:rsidRPr="00285676">
        <w:rPr>
          <w:rFonts w:ascii="Arial" w:hAnsi="Arial"/>
          <w:i w:val="0"/>
          <w:iCs/>
          <w:sz w:val="16"/>
        </w:rPr>
        <w:t>Estimated external revenue receipts under section 74 of the PGPA Act.</w:t>
      </w:r>
    </w:p>
    <w:p w:rsidR="0030508B" w:rsidRPr="00285676" w:rsidRDefault="00BA7A7F" w:rsidP="00212475">
      <w:pPr>
        <w:pStyle w:val="Header"/>
        <w:keepLines w:val="0"/>
        <w:numPr>
          <w:ilvl w:val="0"/>
          <w:numId w:val="10"/>
        </w:numPr>
        <w:jc w:val="both"/>
        <w:rPr>
          <w:rFonts w:ascii="Arial" w:hAnsi="Arial"/>
          <w:i w:val="0"/>
          <w:iCs/>
          <w:sz w:val="16"/>
        </w:rPr>
      </w:pPr>
      <w:r w:rsidRPr="00285676">
        <w:rPr>
          <w:rFonts w:ascii="Arial" w:hAnsi="Arial"/>
          <w:i w:val="0"/>
          <w:iCs/>
          <w:sz w:val="16"/>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rsidR="005E09CB" w:rsidRPr="00285676" w:rsidRDefault="00BA7A7F" w:rsidP="00212475">
      <w:pPr>
        <w:pStyle w:val="Header"/>
        <w:keepLines w:val="0"/>
        <w:numPr>
          <w:ilvl w:val="0"/>
          <w:numId w:val="10"/>
        </w:numPr>
        <w:jc w:val="both"/>
        <w:rPr>
          <w:rFonts w:ascii="Arial" w:hAnsi="Arial"/>
          <w:i w:val="0"/>
          <w:iCs/>
          <w:sz w:val="16"/>
        </w:rPr>
      </w:pPr>
      <w:r w:rsidRPr="00285676">
        <w:rPr>
          <w:rFonts w:ascii="Arial" w:hAnsi="Arial"/>
          <w:i w:val="0"/>
          <w:iCs/>
          <w:sz w:val="16"/>
        </w:rPr>
        <w:t>Appropriation Bill (No.2) 2022-23.</w:t>
      </w:r>
    </w:p>
    <w:p w:rsidR="00750AD3" w:rsidRPr="00285676" w:rsidRDefault="00BA7A7F" w:rsidP="00212475">
      <w:pPr>
        <w:pStyle w:val="Header"/>
        <w:keepLines w:val="0"/>
        <w:numPr>
          <w:ilvl w:val="0"/>
          <w:numId w:val="10"/>
        </w:numPr>
        <w:jc w:val="both"/>
        <w:rPr>
          <w:rFonts w:ascii="Arial" w:hAnsi="Arial"/>
          <w:i w:val="0"/>
          <w:iCs/>
          <w:sz w:val="16"/>
        </w:rPr>
      </w:pPr>
      <w:r w:rsidRPr="00285676">
        <w:rPr>
          <w:rFonts w:ascii="Arial" w:hAnsi="Arial"/>
          <w:i w:val="0"/>
          <w:iCs/>
          <w:sz w:val="16"/>
        </w:rPr>
        <w:t xml:space="preserve">The 2021-22 estimated actuals include </w:t>
      </w:r>
      <w:r w:rsidRPr="00285676">
        <w:rPr>
          <w:rFonts w:ascii="Arial" w:hAnsi="Arial"/>
          <w:iCs/>
          <w:sz w:val="16"/>
        </w:rPr>
        <w:t>Appropriation Act (No. 2) 2021-22</w:t>
      </w:r>
      <w:r w:rsidRPr="00285676">
        <w:rPr>
          <w:rFonts w:ascii="Arial" w:hAnsi="Arial"/>
          <w:i w:val="0"/>
          <w:iCs/>
          <w:sz w:val="16"/>
        </w:rPr>
        <w:t xml:space="preserve"> and Appropriation Bill (No. 4) 2021-22.</w:t>
      </w:r>
    </w:p>
    <w:p w:rsidR="0030508B" w:rsidRPr="00285676" w:rsidRDefault="00BA7A7F" w:rsidP="00212475">
      <w:pPr>
        <w:pStyle w:val="Header"/>
        <w:keepLines w:val="0"/>
        <w:numPr>
          <w:ilvl w:val="0"/>
          <w:numId w:val="10"/>
        </w:numPr>
        <w:jc w:val="both"/>
        <w:rPr>
          <w:rFonts w:ascii="Arial" w:hAnsi="Arial"/>
          <w:i w:val="0"/>
          <w:iCs/>
          <w:sz w:val="16"/>
        </w:rPr>
      </w:pPr>
      <w:r w:rsidRPr="00285676">
        <w:rPr>
          <w:rFonts w:ascii="Arial" w:hAnsi="Arial"/>
          <w:i w:val="0"/>
          <w:iCs/>
          <w:sz w:val="16"/>
        </w:rPr>
        <w:t xml:space="preserve">Excludes trust moneys held in special accounts.  For further information on special accounts, please refer to </w:t>
      </w:r>
      <w:r w:rsidRPr="00285676">
        <w:rPr>
          <w:rFonts w:ascii="Arial" w:hAnsi="Arial"/>
          <w:iCs/>
          <w:sz w:val="16"/>
        </w:rPr>
        <w:t>Budget Paper No. 4 - Agency Resourcing</w:t>
      </w:r>
      <w:r w:rsidRPr="00285676">
        <w:rPr>
          <w:rFonts w:ascii="Arial" w:hAnsi="Arial"/>
          <w:i w:val="0"/>
          <w:iCs/>
          <w:sz w:val="16"/>
        </w:rPr>
        <w:t>.</w:t>
      </w:r>
    </w:p>
    <w:p w:rsidR="0030508B" w:rsidRPr="00285676" w:rsidRDefault="00BA7A7F" w:rsidP="00212475">
      <w:pPr>
        <w:pStyle w:val="Header"/>
        <w:keepLines w:val="0"/>
        <w:numPr>
          <w:ilvl w:val="0"/>
          <w:numId w:val="10"/>
        </w:numPr>
        <w:jc w:val="both"/>
        <w:rPr>
          <w:rFonts w:ascii="Arial" w:hAnsi="Arial"/>
          <w:i w:val="0"/>
          <w:iCs/>
          <w:sz w:val="16"/>
        </w:rPr>
      </w:pPr>
      <w:r w:rsidRPr="00285676">
        <w:rPr>
          <w:rFonts w:ascii="Arial" w:hAnsi="Arial"/>
          <w:i w:val="0"/>
          <w:iCs/>
          <w:sz w:val="16"/>
        </w:rPr>
        <w:t>'Corporate entities' are corporate Commonwealth entities as defined under the PGPA Act.</w:t>
      </w:r>
      <w:r>
        <w:rPr>
          <w:rFonts w:ascii="Arial" w:hAnsi="Arial"/>
          <w:i w:val="0"/>
          <w:iCs/>
          <w:sz w:val="16"/>
        </w:rPr>
        <w:t xml:space="preserve">  Northern Australia Infrastructure Facility is now in the Infrastructure, Transport, Regional Development and Communications Portfolio.</w:t>
      </w:r>
    </w:p>
    <w:p w:rsidR="0030508B" w:rsidRPr="00285676" w:rsidRDefault="00BA7A7F" w:rsidP="00447579">
      <w:pPr>
        <w:pStyle w:val="Header"/>
        <w:keepLines w:val="0"/>
        <w:numPr>
          <w:ilvl w:val="0"/>
          <w:numId w:val="10"/>
        </w:numPr>
        <w:jc w:val="both"/>
        <w:rPr>
          <w:rFonts w:ascii="Arial" w:hAnsi="Arial"/>
          <w:i w:val="0"/>
          <w:iCs/>
          <w:sz w:val="16"/>
        </w:rPr>
      </w:pPr>
      <w:r w:rsidRPr="00285676">
        <w:rPr>
          <w:rFonts w:ascii="Arial" w:hAnsi="Arial"/>
          <w:i w:val="0"/>
          <w:iCs/>
          <w:sz w:val="16"/>
        </w:rPr>
        <w:t xml:space="preserve">For further information on special appropriations, please refer to </w:t>
      </w:r>
      <w:r w:rsidRPr="00285676">
        <w:rPr>
          <w:rFonts w:ascii="Arial" w:hAnsi="Arial"/>
          <w:iCs/>
          <w:sz w:val="16"/>
        </w:rPr>
        <w:t>Budget Paper No. 4 - Agency Resourcing</w:t>
      </w:r>
      <w:r w:rsidRPr="00285676">
        <w:rPr>
          <w:rFonts w:ascii="Arial" w:hAnsi="Arial"/>
          <w:i w:val="0"/>
          <w:iCs/>
          <w:sz w:val="16"/>
        </w:rPr>
        <w:t>.</w:t>
      </w:r>
    </w:p>
    <w:p w:rsidR="00F82E48" w:rsidRPr="001134AC" w:rsidRDefault="00BA7A7F" w:rsidP="00940710">
      <w:pPr>
        <w:pStyle w:val="Heading3"/>
        <w:pageBreakBefore/>
        <w:spacing w:before="0" w:after="200"/>
        <w:rPr>
          <w:rFonts w:ascii="Arial Bold" w:hAnsi="Arial Bold"/>
          <w:smallCaps w:val="0"/>
          <w:sz w:val="22"/>
          <w:szCs w:val="22"/>
        </w:rPr>
      </w:pPr>
      <w:bookmarkStart w:id="71" w:name="RG_MARKER_11695"/>
      <w:bookmarkStart w:id="72" w:name="RG_MARKER_12189"/>
      <w:r w:rsidRPr="001134AC">
        <w:rPr>
          <w:rFonts w:ascii="Arial Bold" w:hAnsi="Arial Bold"/>
          <w:smallCaps w:val="0"/>
          <w:sz w:val="22"/>
          <w:szCs w:val="22"/>
        </w:rPr>
        <w:t>1.3</w:t>
      </w:r>
      <w:bookmarkEnd w:id="71"/>
      <w:bookmarkEnd w:id="72"/>
      <w:r w:rsidRPr="001134AC">
        <w:rPr>
          <w:rFonts w:ascii="Arial Bold" w:hAnsi="Arial Bold"/>
          <w:smallCaps w:val="0"/>
          <w:sz w:val="22"/>
          <w:szCs w:val="22"/>
        </w:rPr>
        <w:tab/>
        <w:t>Budget measures</w:t>
      </w:r>
    </w:p>
    <w:p w:rsidR="0088779F" w:rsidRDefault="00BA7A7F" w:rsidP="00F3192C">
      <w:pPr>
        <w:spacing w:after="200"/>
      </w:pPr>
      <w:r>
        <w:t>Budget measures in Part 1 relating to the Department of Industry, Science, Energy and Resources are detailed in Budget Paper No. 2 and are summarised below.</w:t>
      </w:r>
    </w:p>
    <w:p w:rsidR="0088779F" w:rsidRDefault="00BA7A7F" w:rsidP="005F74F3">
      <w:pPr>
        <w:pStyle w:val="TableHeading"/>
        <w:keepLines/>
        <w:spacing w:before="0"/>
        <w:rPr>
          <w:rFonts w:cs="Arial"/>
        </w:rPr>
      </w:pPr>
      <w:r>
        <w:rPr>
          <w:rFonts w:cs="Arial"/>
        </w:rPr>
        <w:t>Part 1: Table 1.2: Entity 2022­23 Budget measures</w:t>
      </w:r>
    </w:p>
    <w:p w:rsidR="0088779F" w:rsidRDefault="00BA7A7F" w:rsidP="005F74F3">
      <w:pPr>
        <w:pStyle w:val="TableHeadingcontinued"/>
      </w:pPr>
      <w:r>
        <w:t>Measures announced after the 2021­22 Mid-Year Economic and Fiscal Outlook (MYEFO)</w:t>
      </w:r>
    </w:p>
    <w:tbl>
      <w:tblPr>
        <w:tblStyle w:val="CDMRange1"/>
        <w:tblW w:w="7680" w:type="dxa"/>
        <w:tblLayout w:type="fixed"/>
        <w:tblLook w:val="0600" w:firstRow="0" w:lastRow="0" w:firstColumn="0" w:lastColumn="0" w:noHBand="1" w:noVBand="1"/>
      </w:tblPr>
      <w:tblGrid>
        <w:gridCol w:w="2745"/>
        <w:gridCol w:w="705"/>
        <w:gridCol w:w="855"/>
        <w:gridCol w:w="855"/>
        <w:gridCol w:w="855"/>
        <w:gridCol w:w="855"/>
        <w:gridCol w:w="810"/>
      </w:tblGrid>
      <w:tr w:rsidR="00253274">
        <w:trPr>
          <w:trHeight w:val="450"/>
        </w:trPr>
        <w:tc>
          <w:tcPr>
            <w:tcW w:w="27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Receipt measures</w:t>
            </w:r>
          </w:p>
        </w:tc>
        <w:tc>
          <w:tcPr>
            <w:tcW w:w="7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45" w:type="dxa"/>
            <w:tcBorders>
              <w:top w:val="nil"/>
              <w:left w:val="nil"/>
              <w:bottom w:val="nil"/>
              <w:right w:val="nil"/>
              <w:tl2br w:val="nil"/>
              <w:tr2bl w:val="nil"/>
            </w:tcBorders>
            <w:shd w:val="clear" w:color="auto" w:fill="auto"/>
            <w:tcMar>
              <w:left w:w="40"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Energy and Emissions Reduction (a)</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receipts</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receipts</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7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Implementing Sport 2030 </w:t>
            </w:r>
            <w:r>
              <w:rPr>
                <w:rFonts w:ascii="Arial" w:eastAsia="Arial" w:hAnsi="Arial" w:cs="Arial"/>
                <w:color w:val="000000"/>
                <w:sz w:val="18"/>
              </w:rPr>
              <w:t xml:space="preserve">– </w:t>
            </w:r>
            <w:r>
              <w:rPr>
                <w:rFonts w:ascii="Arial" w:eastAsia="Arial" w:hAnsi="Arial" w:cs="Arial"/>
                <w:color w:val="000000"/>
                <w:sz w:val="17"/>
              </w:rPr>
              <w:t>Ensuring the Integrity of Sport (b)</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receipts</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receipts</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950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950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7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Support for the Australian Space Industry (a) </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receipts</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receipts</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receipt measures</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950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950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745" w:type="dxa"/>
            <w:tcBorders>
              <w:top w:val="nil"/>
              <w:left w:val="nil"/>
              <w:bottom w:val="nil"/>
              <w:right w:val="nil"/>
              <w:tl2br w:val="nil"/>
              <w:tr2bl w:val="nil"/>
            </w:tcBorders>
            <w:shd w:val="clear" w:color="auto" w:fill="auto"/>
            <w:tcMar>
              <w:left w:w="40"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Advancing Science, Technology, Engineering and Maths (d)</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2,416</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2,499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2,416</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2,889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Assistance to Ukraine (a) (e)</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1.3</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nfp </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nfp </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7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Australia-UK Free Trade Agreement – increasing market access opportunities and strengthening ties between our two countries (f)</w:t>
            </w:r>
          </w:p>
        </w:tc>
        <w:tc>
          <w:tcPr>
            <w:tcW w:w="705"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7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Australian Export and Trade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Support </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535FB6" w:rsidRDefault="00BA7A7F">
      <w:pPr>
        <w:keepLines w:val="0"/>
        <w:spacing w:after="160" w:line="259" w:lineRule="auto"/>
        <w:jc w:val="left"/>
        <w:rPr>
          <w:rFonts w:ascii="Arial" w:hAnsi="Arial" w:cs="Arial"/>
          <w:b/>
        </w:rPr>
      </w:pPr>
      <w:r>
        <w:rPr>
          <w:rFonts w:cs="Arial"/>
        </w:rPr>
        <w:br w:type="page"/>
      </w:r>
    </w:p>
    <w:p w:rsidR="0088779F" w:rsidRDefault="00BA7A7F" w:rsidP="005F74F3">
      <w:pPr>
        <w:pStyle w:val="TableHeading"/>
        <w:keepLines/>
        <w:spacing w:before="0"/>
        <w:rPr>
          <w:rFonts w:cs="Arial"/>
        </w:rPr>
      </w:pPr>
      <w:r>
        <w:rPr>
          <w:rFonts w:cs="Arial"/>
        </w:rPr>
        <w:t>Table 1.2: Entity 2022­23 Budget measures (continued)</w:t>
      </w:r>
    </w:p>
    <w:tbl>
      <w:tblPr>
        <w:tblStyle w:val="CDMRange2"/>
        <w:tblW w:w="7680" w:type="dxa"/>
        <w:tblLayout w:type="fixed"/>
        <w:tblLook w:val="0600" w:firstRow="0" w:lastRow="0" w:firstColumn="0" w:lastColumn="0" w:noHBand="1" w:noVBand="1"/>
      </w:tblPr>
      <w:tblGrid>
        <w:gridCol w:w="2745"/>
        <w:gridCol w:w="705"/>
        <w:gridCol w:w="855"/>
        <w:gridCol w:w="855"/>
        <w:gridCol w:w="855"/>
        <w:gridCol w:w="855"/>
        <w:gridCol w:w="810"/>
      </w:tblGrid>
      <w:tr w:rsidR="00253274">
        <w:trPr>
          <w:trHeight w:val="450"/>
        </w:trPr>
        <w:tc>
          <w:tcPr>
            <w:tcW w:w="27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7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Boosting the Modern Manufacturing Strategy and Addressing Critical Supply Chain Vulnerabilities (a) (g)</w:t>
            </w:r>
          </w:p>
        </w:tc>
        <w:tc>
          <w:tcPr>
            <w:tcW w:w="70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745" w:type="dxa"/>
            <w:tcBorders>
              <w:top w:val="nil"/>
              <w:left w:val="nil"/>
              <w:bottom w:val="nil"/>
              <w:right w:val="nil"/>
              <w:tl2br w:val="nil"/>
              <w:tr2bl w:val="nil"/>
            </w:tcBorders>
            <w:shd w:val="clear" w:color="auto" w:fill="auto"/>
            <w:tcMar>
              <w:left w:w="40"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Commonwealth's Deregulation Agenda </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1.3</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27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7"/>
              </w:rPr>
            </w:pPr>
            <w:r>
              <w:rPr>
                <w:rFonts w:ascii="Arial" w:eastAsia="Arial" w:hAnsi="Arial" w:cs="Arial"/>
                <w:color w:val="000000"/>
                <w:sz w:val="17"/>
              </w:rPr>
              <w:t>Comprehensive Strategic Partnership with India – new initiatives (h) (i)</w:t>
            </w:r>
          </w:p>
        </w:tc>
        <w:tc>
          <w:tcPr>
            <w:tcW w:w="705" w:type="dxa"/>
            <w:vMerge w:val="restart"/>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1.1, 1.2</w:t>
            </w:r>
          </w:p>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1.3, 2.1, 3.1</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vMerge/>
            <w:tcBorders>
              <w:top w:val="nil"/>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7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Critical Minerals Strategy – implementation</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1.3</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58,900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46,400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46,400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2,002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1,767</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1,775</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60,902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48,167</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48,175</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38,998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Digital Economy Strategy (a)</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2745" w:type="dxa"/>
            <w:tcBorders>
              <w:top w:val="nil"/>
              <w:left w:val="nil"/>
              <w:bottom w:val="nil"/>
              <w:right w:val="nil"/>
              <w:tl2br w:val="nil"/>
              <w:tr2bl w:val="nil"/>
            </w:tcBorders>
            <w:shd w:val="clear" w:color="auto" w:fill="auto"/>
            <w:tcMar>
              <w:left w:w="40"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Energy and Emissions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Reduction (a) (j)</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2.1, 3.1</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Flood Package </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6,690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7,038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7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Implementing Sport 2030 </w:t>
            </w:r>
            <w:r>
              <w:rPr>
                <w:rFonts w:ascii="Arial" w:eastAsia="Arial" w:hAnsi="Arial" w:cs="Arial"/>
                <w:color w:val="000000"/>
                <w:sz w:val="18"/>
              </w:rPr>
              <w:t xml:space="preserve">– </w:t>
            </w:r>
            <w:r>
              <w:rPr>
                <w:rFonts w:ascii="Arial" w:eastAsia="Arial" w:hAnsi="Arial" w:cs="Arial"/>
                <w:color w:val="000000"/>
                <w:sz w:val="17"/>
              </w:rPr>
              <w:t>Ensuring the Integrity of Sport (b)</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973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7,477</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973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7,477</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mRNA Vaccine Manufacturing (a) (b)</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nfp </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nfp </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nfp </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nfp </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nfp </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nfp </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nfp </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nfp </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nfp </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nfp </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745" w:type="dxa"/>
            <w:tcBorders>
              <w:top w:val="nil"/>
              <w:left w:val="nil"/>
              <w:bottom w:val="nil"/>
              <w:right w:val="nil"/>
              <w:tl2br w:val="nil"/>
              <w:tr2bl w:val="nil"/>
            </w:tcBorders>
            <w:shd w:val="clear" w:color="auto" w:fill="auto"/>
            <w:tcMar>
              <w:left w:w="40"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Patent Box – Expanding the patent box tax concession to Low Emissions Technology innovations (k)</w:t>
            </w:r>
          </w:p>
        </w:tc>
        <w:tc>
          <w:tcPr>
            <w:tcW w:w="705"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12,424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15,574</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11,011</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10,732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13,424</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16,574</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12,011</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11,732</w:t>
            </w:r>
          </w:p>
        </w:tc>
      </w:tr>
    </w:tbl>
    <w:p w:rsidR="00973EE0" w:rsidRDefault="00BA7A7F" w:rsidP="005F74F3">
      <w:pPr>
        <w:pStyle w:val="TableHeading"/>
        <w:keepLines/>
        <w:spacing w:before="0"/>
        <w:rPr>
          <w:rFonts w:cs="Arial"/>
        </w:rPr>
      </w:pPr>
      <w:r>
        <w:rPr>
          <w:rFonts w:cs="Arial"/>
        </w:rPr>
        <w:t>Table 1.2: Entity 2022­23 Budget measures (continued)</w:t>
      </w:r>
    </w:p>
    <w:tbl>
      <w:tblPr>
        <w:tblStyle w:val="CDMRange1"/>
        <w:tblW w:w="7680" w:type="dxa"/>
        <w:tblLayout w:type="fixed"/>
        <w:tblLook w:val="0600" w:firstRow="0" w:lastRow="0" w:firstColumn="0" w:lastColumn="0" w:noHBand="1" w:noVBand="1"/>
      </w:tblPr>
      <w:tblGrid>
        <w:gridCol w:w="2745"/>
        <w:gridCol w:w="705"/>
        <w:gridCol w:w="855"/>
        <w:gridCol w:w="855"/>
        <w:gridCol w:w="855"/>
        <w:gridCol w:w="855"/>
        <w:gridCol w:w="810"/>
      </w:tblGrid>
      <w:tr w:rsidR="00253274">
        <w:trPr>
          <w:trHeight w:val="450"/>
        </w:trPr>
        <w:tc>
          <w:tcPr>
            <w:tcW w:w="27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Support for the Australian Space Industry (a) (c)</w:t>
            </w:r>
          </w:p>
        </w:tc>
        <w:tc>
          <w:tcPr>
            <w:tcW w:w="7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Women's Leadership Package </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1,098</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1,098</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1,329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1,115</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1,115</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1,115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Administered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68,078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48,498</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48,498</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39,598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2,416</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18,477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24,835</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12,803</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12,247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2,416</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86,555</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73,333</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61,301</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51,845</w:t>
            </w:r>
          </w:p>
        </w:tc>
      </w:tr>
    </w:tbl>
    <w:p w:rsidR="00FD0B73" w:rsidRDefault="00FD0B73" w:rsidP="00734B59">
      <w:pPr>
        <w:keepLines w:val="0"/>
        <w:spacing w:before="40" w:after="0" w:line="240" w:lineRule="auto"/>
        <w:jc w:val="left"/>
        <w:rPr>
          <w:rFonts w:ascii="Arial" w:hAnsi="Arial" w:cs="Arial"/>
          <w:sz w:val="16"/>
          <w:szCs w:val="16"/>
        </w:rPr>
      </w:pPr>
    </w:p>
    <w:p w:rsidR="00734B59" w:rsidRPr="00CE00F2" w:rsidRDefault="00BA7A7F" w:rsidP="00734B59">
      <w:pPr>
        <w:keepLines w:val="0"/>
        <w:spacing w:before="40" w:after="0" w:line="240" w:lineRule="auto"/>
        <w:jc w:val="left"/>
        <w:rPr>
          <w:rFonts w:ascii="Arial" w:hAnsi="Arial" w:cs="Arial"/>
          <w:b/>
        </w:rPr>
      </w:pPr>
      <w:r w:rsidRPr="00301DBD">
        <w:rPr>
          <w:rFonts w:ascii="Arial" w:hAnsi="Arial" w:cs="Arial"/>
          <w:sz w:val="16"/>
          <w:szCs w:val="16"/>
        </w:rPr>
        <w:t>Prepared on a Government Finance Statistics (Underlying Cash) basis. Figures displayed as a negative (-) represent a decrease in funds and a positive (+) represent an increase in funds.</w:t>
      </w:r>
    </w:p>
    <w:p w:rsidR="006760A4" w:rsidRPr="00864B05" w:rsidRDefault="00BA7A7F" w:rsidP="009D7DF1">
      <w:pPr>
        <w:pStyle w:val="ChartandTableFootnote"/>
        <w:numPr>
          <w:ilvl w:val="0"/>
          <w:numId w:val="11"/>
        </w:numPr>
        <w:ind w:left="284" w:hanging="284"/>
        <w:rPr>
          <w:color w:val="auto"/>
          <w:szCs w:val="16"/>
        </w:rPr>
      </w:pPr>
      <w:r w:rsidRPr="00864B05">
        <w:rPr>
          <w:color w:val="auto"/>
          <w:szCs w:val="16"/>
          <w:lang w:val="en-AU"/>
        </w:rPr>
        <w:t>The financial impact of this measure is not for publication</w:t>
      </w:r>
      <w:r w:rsidR="00D770A4">
        <w:rPr>
          <w:color w:val="auto"/>
          <w:szCs w:val="16"/>
          <w:lang w:val="en-AU"/>
        </w:rPr>
        <w:t xml:space="preserve"> (nfp).</w:t>
      </w:r>
    </w:p>
    <w:p w:rsidR="009D7DF1" w:rsidRPr="00864B05" w:rsidRDefault="00BA7A7F" w:rsidP="009D7DF1">
      <w:pPr>
        <w:pStyle w:val="ChartandTableFootnote"/>
        <w:numPr>
          <w:ilvl w:val="0"/>
          <w:numId w:val="11"/>
        </w:numPr>
        <w:ind w:left="284" w:hanging="284"/>
        <w:rPr>
          <w:color w:val="auto"/>
          <w:szCs w:val="16"/>
        </w:rPr>
      </w:pPr>
      <w:r w:rsidRPr="00864B05">
        <w:rPr>
          <w:color w:val="auto"/>
          <w:szCs w:val="16"/>
        </w:rPr>
        <w:t xml:space="preserve">The </w:t>
      </w:r>
      <w:r w:rsidRPr="00864B05">
        <w:rPr>
          <w:color w:val="auto"/>
          <w:szCs w:val="16"/>
          <w:lang w:val="en-AU"/>
        </w:rPr>
        <w:t xml:space="preserve">lead entity for this measure is the Department of Health. The full measure and package details appear in Budget Paper No. 2 (BP No.2) under the Health </w:t>
      </w:r>
      <w:r w:rsidR="00D770A4">
        <w:rPr>
          <w:color w:val="auto"/>
          <w:szCs w:val="16"/>
          <w:lang w:val="en-AU"/>
        </w:rPr>
        <w:t>P</w:t>
      </w:r>
      <w:r w:rsidRPr="00864B05">
        <w:rPr>
          <w:color w:val="auto"/>
          <w:szCs w:val="16"/>
          <w:lang w:val="en-AU"/>
        </w:rPr>
        <w:t>ortfolio.</w:t>
      </w:r>
    </w:p>
    <w:p w:rsidR="00577D41" w:rsidRPr="00864B05" w:rsidRDefault="00BA7A7F" w:rsidP="00734B59">
      <w:pPr>
        <w:pStyle w:val="ChartandTableFootnote"/>
        <w:numPr>
          <w:ilvl w:val="0"/>
          <w:numId w:val="11"/>
        </w:numPr>
        <w:ind w:left="284" w:hanging="284"/>
        <w:rPr>
          <w:color w:val="auto"/>
          <w:szCs w:val="16"/>
          <w:lang w:val="en-AU"/>
        </w:rPr>
      </w:pPr>
      <w:r w:rsidRPr="00864B05">
        <w:rPr>
          <w:color w:val="auto"/>
          <w:szCs w:val="16"/>
          <w:lang w:val="en-AU"/>
        </w:rPr>
        <w:t>Includes decisions taken but not yet announced in the 2021-22 MYEFO, with the following impact</w:t>
      </w:r>
      <w:r w:rsidR="00D770A4">
        <w:rPr>
          <w:color w:val="auto"/>
          <w:szCs w:val="16"/>
          <w:lang w:val="en-AU"/>
        </w:rPr>
        <w:t>:</w:t>
      </w:r>
      <w:r w:rsidRPr="00864B05">
        <w:rPr>
          <w:color w:val="auto"/>
          <w:szCs w:val="16"/>
          <w:lang w:val="en-AU"/>
        </w:rPr>
        <w:t xml:space="preserve"> </w:t>
      </w:r>
    </w:p>
    <w:p w:rsidR="00D12826" w:rsidRDefault="00BA7A7F" w:rsidP="00577D41">
      <w:pPr>
        <w:pStyle w:val="ChartandTableFootnote"/>
        <w:ind w:left="284"/>
        <w:rPr>
          <w:color w:val="auto"/>
          <w:szCs w:val="16"/>
          <w:lang w:val="en-AU"/>
        </w:rPr>
      </w:pPr>
      <w:r w:rsidRPr="00864B05">
        <w:rPr>
          <w:color w:val="auto"/>
          <w:szCs w:val="16"/>
          <w:lang w:val="en-AU"/>
        </w:rPr>
        <w:t>2021-22 $8.7 million</w:t>
      </w:r>
      <w:r>
        <w:rPr>
          <w:color w:val="auto"/>
          <w:szCs w:val="16"/>
          <w:lang w:val="en-AU"/>
        </w:rPr>
        <w:t>,</w:t>
      </w:r>
      <w:r w:rsidRPr="00864B05">
        <w:rPr>
          <w:color w:val="auto"/>
          <w:szCs w:val="16"/>
          <w:lang w:val="en-AU"/>
        </w:rPr>
        <w:t xml:space="preserve"> 2022-23 $22.</w:t>
      </w:r>
      <w:r w:rsidR="00D770A4">
        <w:rPr>
          <w:color w:val="auto"/>
          <w:szCs w:val="16"/>
          <w:lang w:val="en-AU"/>
        </w:rPr>
        <w:t>2</w:t>
      </w:r>
      <w:r w:rsidRPr="00864B05">
        <w:rPr>
          <w:color w:val="auto"/>
          <w:szCs w:val="16"/>
          <w:lang w:val="en-AU"/>
        </w:rPr>
        <w:t xml:space="preserve"> million, 2023-24 $19.4 million, 2024-25 $16.5 million and </w:t>
      </w:r>
    </w:p>
    <w:p w:rsidR="00577D41" w:rsidRPr="00864B05" w:rsidRDefault="00BA7A7F" w:rsidP="00577D41">
      <w:pPr>
        <w:pStyle w:val="ChartandTableFootnote"/>
        <w:ind w:left="284"/>
        <w:rPr>
          <w:color w:val="auto"/>
          <w:szCs w:val="16"/>
          <w:lang w:val="en-AU"/>
        </w:rPr>
      </w:pPr>
      <w:r w:rsidRPr="00864B05">
        <w:rPr>
          <w:color w:val="auto"/>
          <w:szCs w:val="16"/>
          <w:lang w:val="en-AU"/>
        </w:rPr>
        <w:t>2025-26 $20.3 million.</w:t>
      </w:r>
    </w:p>
    <w:p w:rsidR="00577D41" w:rsidRPr="00864B05" w:rsidRDefault="00BA7A7F" w:rsidP="00577D41">
      <w:pPr>
        <w:pStyle w:val="ChartandTableFootnote"/>
        <w:numPr>
          <w:ilvl w:val="0"/>
          <w:numId w:val="11"/>
        </w:numPr>
        <w:ind w:left="284" w:hanging="284"/>
        <w:rPr>
          <w:color w:val="auto"/>
          <w:szCs w:val="16"/>
          <w:lang w:val="en-AU"/>
        </w:rPr>
      </w:pPr>
      <w:r w:rsidRPr="00864B05">
        <w:rPr>
          <w:color w:val="auto"/>
          <w:szCs w:val="16"/>
          <w:lang w:val="en-AU"/>
        </w:rPr>
        <w:t>Includes decisions taken but not yet announced in the 2021-22 M</w:t>
      </w:r>
      <w:r w:rsidR="00627C22">
        <w:rPr>
          <w:color w:val="auto"/>
          <w:szCs w:val="16"/>
          <w:lang w:val="en-AU"/>
        </w:rPr>
        <w:t>YEFO, with the following impact:</w:t>
      </w:r>
      <w:r w:rsidRPr="00864B05">
        <w:rPr>
          <w:color w:val="auto"/>
          <w:szCs w:val="16"/>
          <w:lang w:val="en-AU"/>
        </w:rPr>
        <w:t xml:space="preserve"> </w:t>
      </w:r>
    </w:p>
    <w:p w:rsidR="00D12826" w:rsidRDefault="00BA7A7F" w:rsidP="00577D41">
      <w:pPr>
        <w:pStyle w:val="ChartandTableFootnote"/>
        <w:ind w:left="284"/>
        <w:rPr>
          <w:color w:val="auto"/>
          <w:szCs w:val="16"/>
          <w:lang w:val="en-AU"/>
        </w:rPr>
      </w:pPr>
      <w:r w:rsidRPr="00864B05">
        <w:rPr>
          <w:color w:val="auto"/>
          <w:szCs w:val="16"/>
          <w:lang w:val="en-AU"/>
        </w:rPr>
        <w:t>2021-22 $0.</w:t>
      </w:r>
      <w:r w:rsidR="00627C22">
        <w:rPr>
          <w:color w:val="auto"/>
          <w:szCs w:val="16"/>
          <w:lang w:val="en-AU"/>
        </w:rPr>
        <w:t>6</w:t>
      </w:r>
      <w:r w:rsidRPr="00864B05">
        <w:rPr>
          <w:color w:val="auto"/>
          <w:szCs w:val="16"/>
          <w:lang w:val="en-AU"/>
        </w:rPr>
        <w:t xml:space="preserve"> million</w:t>
      </w:r>
      <w:r>
        <w:rPr>
          <w:color w:val="auto"/>
          <w:szCs w:val="16"/>
          <w:lang w:val="en-AU"/>
        </w:rPr>
        <w:t>,</w:t>
      </w:r>
      <w:r w:rsidRPr="00864B05">
        <w:rPr>
          <w:color w:val="auto"/>
          <w:szCs w:val="16"/>
          <w:lang w:val="en-AU"/>
        </w:rPr>
        <w:t xml:space="preserve"> 2022-23 $1.1 million, 2023-24 $1.3 million, 2024-25 $2.1 million and </w:t>
      </w:r>
    </w:p>
    <w:p w:rsidR="00577D41" w:rsidRPr="00864B05" w:rsidRDefault="00BA7A7F" w:rsidP="00577D41">
      <w:pPr>
        <w:pStyle w:val="ChartandTableFootnote"/>
        <w:ind w:left="284"/>
        <w:rPr>
          <w:color w:val="auto"/>
          <w:szCs w:val="16"/>
          <w:lang w:val="en-AU"/>
        </w:rPr>
      </w:pPr>
      <w:r w:rsidRPr="00864B05">
        <w:rPr>
          <w:color w:val="auto"/>
          <w:szCs w:val="16"/>
          <w:lang w:val="en-AU"/>
        </w:rPr>
        <w:t>2025-26</w:t>
      </w:r>
      <w:r>
        <w:rPr>
          <w:color w:val="auto"/>
          <w:szCs w:val="16"/>
          <w:lang w:val="en-AU"/>
        </w:rPr>
        <w:t xml:space="preserve"> </w:t>
      </w:r>
      <w:r w:rsidRPr="00864B05">
        <w:rPr>
          <w:color w:val="auto"/>
          <w:szCs w:val="16"/>
          <w:lang w:val="en-AU"/>
        </w:rPr>
        <w:t>$1.5 million.</w:t>
      </w:r>
    </w:p>
    <w:p w:rsidR="00D12826" w:rsidRDefault="00BA7A7F" w:rsidP="00734B59">
      <w:pPr>
        <w:pStyle w:val="ChartandTableFootnote"/>
        <w:numPr>
          <w:ilvl w:val="0"/>
          <w:numId w:val="11"/>
        </w:numPr>
        <w:ind w:left="284" w:hanging="284"/>
        <w:rPr>
          <w:color w:val="auto"/>
          <w:szCs w:val="16"/>
          <w:lang w:val="en-AU"/>
        </w:rPr>
      </w:pPr>
      <w:r>
        <w:rPr>
          <w:color w:val="auto"/>
          <w:szCs w:val="16"/>
          <w:lang w:val="en-AU"/>
        </w:rPr>
        <w:t xml:space="preserve">The lead entity for this measure is </w:t>
      </w:r>
      <w:r w:rsidR="00627C22">
        <w:rPr>
          <w:color w:val="auto"/>
          <w:szCs w:val="16"/>
          <w:lang w:val="en-AU"/>
        </w:rPr>
        <w:t xml:space="preserve">Department of </w:t>
      </w:r>
      <w:r>
        <w:rPr>
          <w:color w:val="auto"/>
          <w:szCs w:val="16"/>
          <w:lang w:val="en-AU"/>
        </w:rPr>
        <w:t xml:space="preserve">Defence. The full measure and package details appears in BP No.2 under </w:t>
      </w:r>
      <w:r w:rsidR="00627C22">
        <w:rPr>
          <w:color w:val="auto"/>
          <w:szCs w:val="16"/>
          <w:lang w:val="en-AU"/>
        </w:rPr>
        <w:t>Defence</w:t>
      </w:r>
      <w:r>
        <w:rPr>
          <w:color w:val="auto"/>
          <w:szCs w:val="16"/>
          <w:lang w:val="en-AU"/>
        </w:rPr>
        <w:t xml:space="preserve"> Portfolio.</w:t>
      </w:r>
    </w:p>
    <w:p w:rsidR="00577D41" w:rsidRPr="00864B05" w:rsidRDefault="00BA7A7F" w:rsidP="00734B59">
      <w:pPr>
        <w:pStyle w:val="ChartandTableFootnote"/>
        <w:numPr>
          <w:ilvl w:val="0"/>
          <w:numId w:val="11"/>
        </w:numPr>
        <w:ind w:left="284" w:hanging="284"/>
        <w:rPr>
          <w:color w:val="auto"/>
          <w:szCs w:val="16"/>
          <w:lang w:val="en-AU"/>
        </w:rPr>
      </w:pPr>
      <w:r w:rsidRPr="00864B05">
        <w:rPr>
          <w:color w:val="auto"/>
          <w:szCs w:val="16"/>
          <w:lang w:val="en-AU"/>
        </w:rPr>
        <w:t>This measure will be met from the existing resources of the department.</w:t>
      </w:r>
    </w:p>
    <w:p w:rsidR="00577D41" w:rsidRPr="00864B05" w:rsidRDefault="00BA7A7F" w:rsidP="00577D41">
      <w:pPr>
        <w:pStyle w:val="ChartandTableFootnote"/>
        <w:numPr>
          <w:ilvl w:val="0"/>
          <w:numId w:val="11"/>
        </w:numPr>
        <w:ind w:left="284" w:hanging="284"/>
        <w:rPr>
          <w:color w:val="auto"/>
          <w:szCs w:val="16"/>
          <w:lang w:val="en-AU"/>
        </w:rPr>
      </w:pPr>
      <w:r w:rsidRPr="00864B05">
        <w:rPr>
          <w:color w:val="auto"/>
          <w:szCs w:val="16"/>
          <w:lang w:val="en-AU"/>
        </w:rPr>
        <w:t>Includes decisions taken but not yet announced in the 2021-22 M</w:t>
      </w:r>
      <w:r>
        <w:rPr>
          <w:color w:val="auto"/>
          <w:szCs w:val="16"/>
          <w:lang w:val="en-AU"/>
        </w:rPr>
        <w:t>YEFO, with the following impact:</w:t>
      </w:r>
      <w:r w:rsidRPr="00864B05">
        <w:rPr>
          <w:color w:val="auto"/>
          <w:szCs w:val="16"/>
          <w:lang w:val="en-AU"/>
        </w:rPr>
        <w:t xml:space="preserve"> </w:t>
      </w:r>
    </w:p>
    <w:p w:rsidR="00577D41" w:rsidRPr="00864B05" w:rsidRDefault="00BA7A7F" w:rsidP="00577D41">
      <w:pPr>
        <w:pStyle w:val="ChartandTableFootnote"/>
        <w:ind w:left="284"/>
        <w:rPr>
          <w:color w:val="auto"/>
          <w:szCs w:val="16"/>
          <w:lang w:val="en-AU"/>
        </w:rPr>
      </w:pPr>
      <w:r w:rsidRPr="00864B05">
        <w:rPr>
          <w:color w:val="auto"/>
          <w:szCs w:val="16"/>
          <w:lang w:val="en-AU"/>
        </w:rPr>
        <w:t>2021-22 $1.7 million</w:t>
      </w:r>
      <w:r>
        <w:rPr>
          <w:color w:val="auto"/>
          <w:szCs w:val="16"/>
          <w:lang w:val="en-AU"/>
        </w:rPr>
        <w:t>,</w:t>
      </w:r>
      <w:r w:rsidRPr="00864B05">
        <w:rPr>
          <w:color w:val="auto"/>
          <w:szCs w:val="16"/>
          <w:lang w:val="en-AU"/>
        </w:rPr>
        <w:t xml:space="preserve"> 2022-23 negative $22.0 million, 2023-24 negative $26.5 million, 2024-25</w:t>
      </w:r>
      <w:r w:rsidR="009135D6" w:rsidRPr="00864B05">
        <w:rPr>
          <w:color w:val="auto"/>
          <w:szCs w:val="16"/>
          <w:lang w:val="en-AU"/>
        </w:rPr>
        <w:t xml:space="preserve"> negative</w:t>
      </w:r>
      <w:r w:rsidRPr="00864B05">
        <w:rPr>
          <w:color w:val="auto"/>
          <w:szCs w:val="16"/>
          <w:lang w:val="en-AU"/>
        </w:rPr>
        <w:t xml:space="preserve"> $2</w:t>
      </w:r>
      <w:r w:rsidR="009135D6" w:rsidRPr="00864B05">
        <w:rPr>
          <w:color w:val="auto"/>
          <w:szCs w:val="16"/>
          <w:lang w:val="en-AU"/>
        </w:rPr>
        <w:t>6.2</w:t>
      </w:r>
      <w:r w:rsidRPr="00864B05">
        <w:rPr>
          <w:color w:val="auto"/>
          <w:szCs w:val="16"/>
          <w:lang w:val="en-AU"/>
        </w:rPr>
        <w:t xml:space="preserve"> million and 2025-26</w:t>
      </w:r>
      <w:r w:rsidR="009135D6" w:rsidRPr="00864B05">
        <w:rPr>
          <w:color w:val="auto"/>
          <w:szCs w:val="16"/>
          <w:lang w:val="en-AU"/>
        </w:rPr>
        <w:t xml:space="preserve"> negative </w:t>
      </w:r>
      <w:r w:rsidRPr="00864B05">
        <w:rPr>
          <w:color w:val="auto"/>
          <w:szCs w:val="16"/>
          <w:lang w:val="en-AU"/>
        </w:rPr>
        <w:t>$</w:t>
      </w:r>
      <w:r w:rsidR="009135D6" w:rsidRPr="00864B05">
        <w:rPr>
          <w:color w:val="auto"/>
          <w:szCs w:val="16"/>
          <w:lang w:val="en-AU"/>
        </w:rPr>
        <w:t>32.0</w:t>
      </w:r>
      <w:r w:rsidRPr="00864B05">
        <w:rPr>
          <w:color w:val="auto"/>
          <w:szCs w:val="16"/>
          <w:lang w:val="en-AU"/>
        </w:rPr>
        <w:t xml:space="preserve"> million</w:t>
      </w:r>
      <w:r w:rsidR="009135D6" w:rsidRPr="00864B05">
        <w:rPr>
          <w:color w:val="auto"/>
          <w:szCs w:val="16"/>
          <w:lang w:val="en-AU"/>
        </w:rPr>
        <w:t>.</w:t>
      </w:r>
    </w:p>
    <w:p w:rsidR="00D12826" w:rsidRDefault="00BA7A7F" w:rsidP="00734B59">
      <w:pPr>
        <w:pStyle w:val="ChartandTableFootnote"/>
        <w:numPr>
          <w:ilvl w:val="0"/>
          <w:numId w:val="11"/>
        </w:numPr>
        <w:ind w:left="284" w:hanging="284"/>
        <w:rPr>
          <w:color w:val="auto"/>
          <w:szCs w:val="16"/>
          <w:lang w:val="en-AU"/>
        </w:rPr>
      </w:pPr>
      <w:r>
        <w:rPr>
          <w:color w:val="auto"/>
          <w:szCs w:val="16"/>
          <w:lang w:val="en-AU"/>
        </w:rPr>
        <w:t>The lead entity for this measure is Department of Foreign Affairs and Trade. The full measure and package details appears in BP No.2 under Foreign Affairs and Trade Portfolio.</w:t>
      </w:r>
    </w:p>
    <w:p w:rsidR="00A15FC4" w:rsidRPr="00864B05" w:rsidRDefault="00BA7A7F" w:rsidP="00734B59">
      <w:pPr>
        <w:pStyle w:val="ChartandTableFootnote"/>
        <w:numPr>
          <w:ilvl w:val="0"/>
          <w:numId w:val="11"/>
        </w:numPr>
        <w:ind w:left="284" w:hanging="284"/>
        <w:rPr>
          <w:color w:val="auto"/>
          <w:szCs w:val="16"/>
          <w:lang w:val="en-AU"/>
        </w:rPr>
      </w:pPr>
      <w:r w:rsidRPr="00864B05">
        <w:rPr>
          <w:color w:val="auto"/>
          <w:szCs w:val="16"/>
          <w:lang w:val="en-AU"/>
        </w:rPr>
        <w:t>Includes decisions taken but not yet announced in the 2021-22 MYEFO, with the following impact</w:t>
      </w:r>
      <w:r>
        <w:rPr>
          <w:color w:val="auto"/>
          <w:szCs w:val="16"/>
          <w:lang w:val="en-AU"/>
        </w:rPr>
        <w:t>:</w:t>
      </w:r>
      <w:r w:rsidRPr="00864B05">
        <w:rPr>
          <w:color w:val="auto"/>
          <w:szCs w:val="16"/>
          <w:lang w:val="en-AU"/>
        </w:rPr>
        <w:t xml:space="preserve"> </w:t>
      </w:r>
    </w:p>
    <w:p w:rsidR="00A15FC4" w:rsidRPr="00864B05" w:rsidRDefault="00BA7A7F" w:rsidP="00A15FC4">
      <w:pPr>
        <w:pStyle w:val="ChartandTableFootnote"/>
        <w:ind w:left="284"/>
        <w:rPr>
          <w:color w:val="auto"/>
          <w:szCs w:val="16"/>
          <w:lang w:val="en-AU"/>
        </w:rPr>
      </w:pPr>
      <w:r w:rsidRPr="00864B05">
        <w:rPr>
          <w:color w:val="auto"/>
          <w:szCs w:val="16"/>
          <w:lang w:val="en-AU"/>
        </w:rPr>
        <w:t>2021-22 $7.3 million</w:t>
      </w:r>
      <w:r>
        <w:rPr>
          <w:color w:val="auto"/>
          <w:szCs w:val="16"/>
          <w:lang w:val="en-AU"/>
        </w:rPr>
        <w:t>,</w:t>
      </w:r>
      <w:r w:rsidRPr="00864B05">
        <w:rPr>
          <w:color w:val="auto"/>
          <w:szCs w:val="16"/>
          <w:lang w:val="en-AU"/>
        </w:rPr>
        <w:t xml:space="preserve"> 2022-23 $13.1 million, 2023-24 $13.1 million, 2024-25 $15.4 million and </w:t>
      </w:r>
    </w:p>
    <w:p w:rsidR="00A15FC4" w:rsidRPr="00864B05" w:rsidRDefault="00BA7A7F" w:rsidP="00A15FC4">
      <w:pPr>
        <w:pStyle w:val="ChartandTableFootnote"/>
        <w:ind w:left="284"/>
        <w:rPr>
          <w:color w:val="auto"/>
          <w:szCs w:val="16"/>
          <w:lang w:val="en-AU"/>
        </w:rPr>
      </w:pPr>
      <w:r w:rsidRPr="00864B05">
        <w:rPr>
          <w:color w:val="auto"/>
          <w:szCs w:val="16"/>
          <w:lang w:val="en-AU"/>
        </w:rPr>
        <w:t xml:space="preserve">2025-26 $13.9 million. </w:t>
      </w:r>
    </w:p>
    <w:p w:rsidR="00A15FC4" w:rsidRPr="00864B05" w:rsidRDefault="00BA7A7F" w:rsidP="00734B59">
      <w:pPr>
        <w:pStyle w:val="ChartandTableFootnote"/>
        <w:numPr>
          <w:ilvl w:val="0"/>
          <w:numId w:val="11"/>
        </w:numPr>
        <w:ind w:left="284" w:hanging="284"/>
        <w:rPr>
          <w:color w:val="auto"/>
          <w:szCs w:val="16"/>
          <w:lang w:val="en-AU"/>
        </w:rPr>
      </w:pPr>
      <w:r w:rsidRPr="00864B05">
        <w:rPr>
          <w:color w:val="auto"/>
          <w:szCs w:val="16"/>
          <w:lang w:val="en-AU"/>
        </w:rPr>
        <w:t>Includes decisions taken but not yet announced in the 2021-22 MYEFO, with the following impact</w:t>
      </w:r>
      <w:r>
        <w:rPr>
          <w:color w:val="auto"/>
          <w:szCs w:val="16"/>
          <w:lang w:val="en-AU"/>
        </w:rPr>
        <w:t>:</w:t>
      </w:r>
      <w:r w:rsidRPr="00864B05">
        <w:rPr>
          <w:color w:val="auto"/>
          <w:szCs w:val="16"/>
          <w:lang w:val="en-AU"/>
        </w:rPr>
        <w:t xml:space="preserve"> </w:t>
      </w:r>
    </w:p>
    <w:p w:rsidR="00A15FC4" w:rsidRPr="00864B05" w:rsidRDefault="00BA7A7F" w:rsidP="00A15FC4">
      <w:pPr>
        <w:pStyle w:val="ChartandTableFootnote"/>
        <w:ind w:left="284"/>
        <w:rPr>
          <w:color w:val="auto"/>
          <w:szCs w:val="16"/>
          <w:lang w:val="en-AU"/>
        </w:rPr>
      </w:pPr>
      <w:r w:rsidRPr="00864B05">
        <w:rPr>
          <w:color w:val="auto"/>
          <w:szCs w:val="16"/>
          <w:lang w:val="en-AU"/>
        </w:rPr>
        <w:t xml:space="preserve">2021-22 $8.0 million, 2022-23 $39.1 million, and 2023-24 $36.4 million with nil impact in 2024-25 and 2025-26.   </w:t>
      </w:r>
    </w:p>
    <w:p w:rsidR="00734B59" w:rsidRPr="00864B05" w:rsidRDefault="00BA7A7F" w:rsidP="00734B59">
      <w:pPr>
        <w:pStyle w:val="ChartandTableFootnote"/>
        <w:numPr>
          <w:ilvl w:val="0"/>
          <w:numId w:val="11"/>
        </w:numPr>
        <w:ind w:left="284" w:hanging="284"/>
        <w:rPr>
          <w:color w:val="auto"/>
          <w:szCs w:val="16"/>
          <w:lang w:val="en-AU"/>
        </w:rPr>
      </w:pPr>
      <w:r w:rsidRPr="00864B05">
        <w:rPr>
          <w:color w:val="auto"/>
          <w:szCs w:val="16"/>
          <w:lang w:val="en-AU"/>
        </w:rPr>
        <w:t>The lead entity for this measure is</w:t>
      </w:r>
      <w:r>
        <w:rPr>
          <w:color w:val="auto"/>
          <w:szCs w:val="16"/>
          <w:lang w:val="en-AU"/>
        </w:rPr>
        <w:t xml:space="preserve"> Department of the </w:t>
      </w:r>
      <w:r w:rsidRPr="00864B05">
        <w:rPr>
          <w:color w:val="auto"/>
          <w:szCs w:val="16"/>
          <w:lang w:val="en-AU"/>
        </w:rPr>
        <w:t xml:space="preserve">Treasury. The full measure and package details appear in BP No.2 under </w:t>
      </w:r>
      <w:r>
        <w:rPr>
          <w:color w:val="auto"/>
          <w:szCs w:val="16"/>
          <w:lang w:val="en-AU"/>
        </w:rPr>
        <w:t>Treasury</w:t>
      </w:r>
      <w:r w:rsidRPr="00864B05">
        <w:rPr>
          <w:color w:val="auto"/>
          <w:szCs w:val="16"/>
          <w:lang w:val="en-AU"/>
        </w:rPr>
        <w:t xml:space="preserve"> Portfolio.</w:t>
      </w:r>
    </w:p>
    <w:p w:rsidR="00734B59" w:rsidRPr="00864B05" w:rsidRDefault="00734B59" w:rsidP="009F3C65">
      <w:pPr>
        <w:pStyle w:val="ChartandTableFootnote"/>
        <w:ind w:left="284"/>
        <w:rPr>
          <w:color w:val="auto"/>
          <w:szCs w:val="16"/>
          <w:lang w:val="en-AU"/>
        </w:rPr>
      </w:pPr>
    </w:p>
    <w:p w:rsidR="003C4DFB" w:rsidRDefault="003C4DFB" w:rsidP="003C4DFB">
      <w:pPr>
        <w:rPr>
          <w:vanish/>
          <w:lang w:eastAsia="x-none"/>
        </w:rPr>
      </w:pPr>
    </w:p>
    <w:p w:rsidR="00EA45C8" w:rsidRPr="007C5F65" w:rsidRDefault="00BA7A7F" w:rsidP="007C5F65">
      <w:pPr>
        <w:pStyle w:val="Heading2"/>
        <w:pageBreakBefore/>
        <w:spacing w:after="120"/>
        <w:rPr>
          <w:b/>
          <w:sz w:val="26"/>
          <w:szCs w:val="26"/>
        </w:rPr>
      </w:pPr>
      <w:bookmarkStart w:id="73" w:name="RG_MARKER_11705"/>
      <w:bookmarkStart w:id="74" w:name="RG_MARKER_11699"/>
      <w:bookmarkStart w:id="75" w:name="RG_MARKER_12214"/>
      <w:bookmarkStart w:id="76" w:name="_Toc449255764"/>
      <w:bookmarkStart w:id="77" w:name="_Toc446237032"/>
      <w:bookmarkStart w:id="78" w:name="_Toc436625444"/>
      <w:bookmarkStart w:id="79" w:name="_Toc436624143"/>
      <w:bookmarkStart w:id="80" w:name="_Toc210646453"/>
      <w:bookmarkStart w:id="81" w:name="_Toc112137900"/>
      <w:bookmarkStart w:id="82" w:name="_Toc112137878"/>
      <w:bookmarkStart w:id="83" w:name="_Toc112212060"/>
      <w:bookmarkStart w:id="84" w:name="_Toc112211966"/>
      <w:bookmarkStart w:id="85" w:name="_Toc79399717"/>
      <w:bookmarkStart w:id="86" w:name="_Toc77998688"/>
      <w:bookmarkStart w:id="87" w:name="_Toc23563436"/>
      <w:bookmarkStart w:id="88" w:name="_Toc23560142"/>
      <w:bookmarkStart w:id="89" w:name="_Toc23559674"/>
      <w:bookmarkStart w:id="90" w:name="_Toc23559387"/>
      <w:bookmarkStart w:id="91" w:name="_Toc23559353"/>
      <w:bookmarkStart w:id="92" w:name="_Toc491773295"/>
      <w:bookmarkStart w:id="93" w:name="_Toc491771720"/>
      <w:bookmarkStart w:id="94" w:name="_Toc491032328"/>
      <w:bookmarkStart w:id="95" w:name="_Toc491032221"/>
      <w:bookmarkStart w:id="96" w:name="_Toc491032113"/>
      <w:bookmarkStart w:id="97" w:name="_Toc491031940"/>
      <w:bookmarkStart w:id="98" w:name="_Toc491031353"/>
      <w:bookmarkStart w:id="99" w:name="_Toc491030790"/>
      <w:bookmarkStart w:id="100" w:name="_Toc491030331"/>
      <w:bookmarkStart w:id="101" w:name="_Toc491029242"/>
      <w:bookmarkStart w:id="102" w:name="_Toc491015098"/>
      <w:bookmarkStart w:id="103" w:name="_Toc491014951"/>
      <w:bookmarkStart w:id="104" w:name="_Toc491014771"/>
      <w:bookmarkStart w:id="105" w:name="_Toc491014629"/>
      <w:bookmarkStart w:id="106" w:name="_Toc490972409"/>
      <w:bookmarkStart w:id="107" w:name="_Toc210703214"/>
      <w:bookmarkStart w:id="108" w:name="_Toc210698432"/>
      <w:r w:rsidRPr="007C5F65">
        <w:rPr>
          <w:b/>
          <w:sz w:val="26"/>
          <w:szCs w:val="26"/>
        </w:rPr>
        <w:t>Section 2</w:t>
      </w:r>
      <w:bookmarkEnd w:id="73"/>
      <w:bookmarkEnd w:id="74"/>
      <w:bookmarkEnd w:id="75"/>
      <w:bookmarkEnd w:id="76"/>
      <w:bookmarkEnd w:id="77"/>
      <w:bookmarkEnd w:id="78"/>
      <w:bookmarkEnd w:id="79"/>
      <w:r w:rsidRPr="007C5F65">
        <w:rPr>
          <w:b/>
          <w:sz w:val="26"/>
          <w:szCs w:val="26"/>
        </w:rPr>
        <w:t xml:space="preserve">: </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7C5F65">
        <w:rPr>
          <w:b/>
          <w:sz w:val="26"/>
          <w:szCs w:val="26"/>
        </w:rPr>
        <w:t>Outcomes and planned performanc</w:t>
      </w:r>
      <w:bookmarkEnd w:id="107"/>
      <w:bookmarkEnd w:id="108"/>
      <w:r w:rsidRPr="007C5F65">
        <w:rPr>
          <w:b/>
          <w:sz w:val="26"/>
          <w:szCs w:val="26"/>
        </w:rPr>
        <w:t>e</w:t>
      </w:r>
      <w:bookmarkStart w:id="109" w:name="_Toc210703215"/>
      <w:bookmarkStart w:id="110" w:name="_Toc210698433"/>
      <w:bookmarkStart w:id="111" w:name="_Toc210646454"/>
      <w:bookmarkStart w:id="112" w:name="_Toc112137901"/>
      <w:bookmarkStart w:id="113" w:name="_Toc112137879"/>
      <w:bookmarkStart w:id="114" w:name="_Toc112212061"/>
      <w:bookmarkStart w:id="115" w:name="_Toc112211967"/>
      <w:bookmarkStart w:id="116" w:name="_Toc79467820"/>
      <w:bookmarkStart w:id="117" w:name="_Toc79406118"/>
      <w:bookmarkStart w:id="118" w:name="_Toc77998689"/>
      <w:bookmarkStart w:id="119" w:name="_Toc23563437"/>
      <w:bookmarkStart w:id="120" w:name="_Toc23560143"/>
      <w:bookmarkStart w:id="121" w:name="_Toc23559675"/>
      <w:bookmarkStart w:id="122" w:name="_Toc23559388"/>
      <w:bookmarkStart w:id="123" w:name="_Toc23559354"/>
      <w:bookmarkStart w:id="124" w:name="_Toc491773296"/>
      <w:bookmarkStart w:id="125" w:name="_Toc491771721"/>
      <w:bookmarkStart w:id="126" w:name="_Toc491032329"/>
      <w:bookmarkStart w:id="127" w:name="_Toc491032222"/>
      <w:bookmarkStart w:id="128" w:name="_Toc491032114"/>
      <w:bookmarkStart w:id="129" w:name="_Toc491031941"/>
      <w:bookmarkStart w:id="130" w:name="_Toc491031354"/>
      <w:bookmarkStart w:id="131" w:name="_Toc491030791"/>
      <w:bookmarkStart w:id="132" w:name="_Toc491030332"/>
      <w:bookmarkStart w:id="133" w:name="_Toc491029243"/>
      <w:bookmarkStart w:id="134" w:name="_Toc491015099"/>
      <w:bookmarkStart w:id="135" w:name="_Toc491014952"/>
      <w:bookmarkStart w:id="136" w:name="_Toc491014772"/>
      <w:bookmarkStart w:id="137" w:name="_Toc491014630"/>
      <w:bookmarkStart w:id="138" w:name="_Toc490972410"/>
      <w:bookmarkStart w:id="139" w:name="_Toc449255766"/>
      <w:bookmarkStart w:id="140" w:name="_Toc436625446"/>
      <w:bookmarkStart w:id="141" w:name="_Toc436624145"/>
    </w:p>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rsidR="00C305C1" w:rsidRDefault="00BA7A7F" w:rsidP="007E7897">
      <w:r w:rsidRPr="00A11E64">
        <w:t>Government outcomes are the intended results, impacts or consequences of actions by the Government</w:t>
      </w:r>
      <w:r>
        <w:t xml:space="preserve"> on the Australian community</w:t>
      </w:r>
      <w:r w:rsidRPr="00A11E64">
        <w:t xml:space="preserve">. </w:t>
      </w:r>
      <w:r>
        <w:t xml:space="preserve">Commonwealth </w:t>
      </w:r>
      <w:r w:rsidRPr="005E3863">
        <w:rPr>
          <w:color w:val="000000"/>
        </w:rPr>
        <w:t xml:space="preserve">programs </w:t>
      </w:r>
      <w:r w:rsidRPr="00A11E64">
        <w:t>are the primary v</w:t>
      </w:r>
      <w:r>
        <w:t>ehicle by which government entit</w:t>
      </w:r>
      <w:r w:rsidRPr="00A11E64">
        <w:t xml:space="preserve">ies achieve the intended results of their outcome statements. </w:t>
      </w:r>
      <w:r>
        <w:t>Entit</w:t>
      </w:r>
      <w:r w:rsidRPr="00A11E64">
        <w:t>ies are re</w:t>
      </w:r>
      <w:r>
        <w:t xml:space="preserve">quired to identify the </w:t>
      </w:r>
      <w:r w:rsidRPr="005E3863">
        <w:rPr>
          <w:color w:val="000000"/>
        </w:rPr>
        <w:t xml:space="preserve">programs </w:t>
      </w:r>
      <w:r>
        <w:t>which</w:t>
      </w:r>
      <w:r w:rsidRPr="00A11E64">
        <w:t xml:space="preserve"> contribute to government outcomes over the Budget and forward years.</w:t>
      </w:r>
    </w:p>
    <w:p w:rsidR="00C23631" w:rsidRDefault="00BA7A7F" w:rsidP="007E7897">
      <w:r>
        <w:t xml:space="preserve">Each outcome is described below together with its related </w:t>
      </w:r>
      <w:r w:rsidRPr="005E3863">
        <w:rPr>
          <w:color w:val="000000"/>
        </w:rPr>
        <w:t>programs</w:t>
      </w:r>
      <w:r>
        <w:t>. The following provides detailed information on expenses for each outcome and program, further broken down by funding source.</w:t>
      </w:r>
    </w:p>
    <w:p w:rsidR="00D362BA" w:rsidRDefault="00BA7A7F" w:rsidP="007C5F65">
      <w:pPr>
        <w:pBdr>
          <w:top w:val="single" w:sz="4" w:space="1" w:color="auto"/>
          <w:left w:val="single" w:sz="4" w:space="4" w:color="auto"/>
          <w:bottom w:val="single" w:sz="4" w:space="1" w:color="auto"/>
          <w:right w:val="single" w:sz="4" w:space="4" w:color="auto"/>
        </w:pBdr>
        <w:spacing w:before="120" w:after="120" w:line="240" w:lineRule="auto"/>
        <w:rPr>
          <w:b/>
        </w:rPr>
      </w:pPr>
      <w:r>
        <w:rPr>
          <w:b/>
        </w:rPr>
        <w:t>Note:</w:t>
      </w:r>
    </w:p>
    <w:p w:rsidR="00D362BA" w:rsidRDefault="00BA7A7F" w:rsidP="007C5F65">
      <w:pPr>
        <w:pBdr>
          <w:top w:val="single" w:sz="4" w:space="1" w:color="auto"/>
          <w:left w:val="single" w:sz="4" w:space="4" w:color="auto"/>
          <w:bottom w:val="single" w:sz="4" w:space="1" w:color="auto"/>
          <w:right w:val="single" w:sz="4" w:space="4" w:color="auto"/>
        </w:pBdr>
      </w:pPr>
      <w:r>
        <w:t xml:space="preserve">Performance reporting requirements in the Portfolio Budget Statements are part of the Commonwealth performance framework established by the </w:t>
      </w:r>
      <w:r w:rsidRPr="00A07C1B">
        <w:rPr>
          <w:i/>
        </w:rPr>
        <w:t>Public Governance, Performance and Accountability Act 2013</w:t>
      </w:r>
      <w:r>
        <w:t>. It is anticipated that the performance measure described in Portfolio Budget Statements will be read with broader information provided in an entity’s corporate plans and annual performance statements – included in Annual Reports – to provide an entity’s complete picture of an entity’s planned and actual performance.</w:t>
      </w:r>
    </w:p>
    <w:p w:rsidR="00054C58" w:rsidRDefault="00BA7A7F" w:rsidP="00357966">
      <w:pPr>
        <w:pBdr>
          <w:top w:val="single" w:sz="4" w:space="1" w:color="auto"/>
          <w:left w:val="single" w:sz="4" w:space="4" w:color="auto"/>
          <w:bottom w:val="single" w:sz="4" w:space="1" w:color="auto"/>
          <w:right w:val="single" w:sz="4" w:space="4" w:color="auto"/>
        </w:pBdr>
      </w:pPr>
      <w:r>
        <w:t>The most recent corporate plan for the Department of Industry, Science, Energy and Resources can be found at: https://www.industry.gov.au/news/announcing-our-corporate-plan-2021-22</w:t>
      </w:r>
    </w:p>
    <w:p w:rsidR="00A07C1B" w:rsidRDefault="00BA7A7F" w:rsidP="00054C58">
      <w:pPr>
        <w:pBdr>
          <w:top w:val="single" w:sz="4" w:space="1" w:color="auto"/>
          <w:left w:val="single" w:sz="4" w:space="4" w:color="auto"/>
          <w:bottom w:val="single" w:sz="4" w:space="1" w:color="auto"/>
          <w:right w:val="single" w:sz="4" w:space="4" w:color="auto"/>
        </w:pBdr>
      </w:pPr>
      <w:r>
        <w:t>The most recent annual performance statement can be found at: https://www.industry.gov.au/data-and-publications/annual-report-2020-21</w:t>
      </w:r>
    </w:p>
    <w:p w:rsidR="00D86095" w:rsidRPr="007E2536" w:rsidRDefault="00BA7A7F" w:rsidP="00CA0CF0">
      <w:pPr>
        <w:keepNext/>
        <w:pageBreakBefore/>
        <w:tabs>
          <w:tab w:val="left" w:pos="709"/>
        </w:tabs>
        <w:spacing w:before="240" w:line="240" w:lineRule="auto"/>
        <w:jc w:val="left"/>
        <w:outlineLvl w:val="2"/>
        <w:rPr>
          <w:rFonts w:ascii="Arial" w:hAnsi="Arial"/>
          <w:b/>
          <w:color w:val="000000"/>
          <w:sz w:val="22"/>
          <w:szCs w:val="22"/>
        </w:rPr>
      </w:pPr>
      <w:bookmarkStart w:id="142" w:name="RG_MARKER_11706"/>
      <w:bookmarkStart w:id="143" w:name="RG_MARKER_11701"/>
      <w:bookmarkStart w:id="144" w:name="RG_MARKER_12130"/>
      <w:r w:rsidRPr="007E2536">
        <w:rPr>
          <w:rFonts w:ascii="Arial" w:hAnsi="Arial"/>
          <w:b/>
          <w:color w:val="000000"/>
          <w:sz w:val="22"/>
          <w:szCs w:val="22"/>
        </w:rPr>
        <w:t>2.1</w:t>
      </w:r>
      <w:bookmarkEnd w:id="142"/>
      <w:bookmarkEnd w:id="143"/>
      <w:bookmarkEnd w:id="144"/>
      <w:r w:rsidRPr="007E2536">
        <w:rPr>
          <w:rFonts w:ascii="Arial" w:hAnsi="Arial"/>
          <w:b/>
          <w:color w:val="000000"/>
          <w:sz w:val="22"/>
          <w:szCs w:val="22"/>
        </w:rPr>
        <w:tab/>
        <w:t>Budgeted expenses and performance for Outcome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7592"/>
      </w:tblGrid>
      <w:tr w:rsidR="00253274" w:rsidTr="00497DB1">
        <w:trPr>
          <w:trHeight w:val="113"/>
        </w:trPr>
        <w:tc>
          <w:tcPr>
            <w:tcW w:w="7592" w:type="dxa"/>
            <w:shd w:val="clear" w:color="auto" w:fill="E6E6E6"/>
          </w:tcPr>
          <w:p w:rsidR="00995137" w:rsidRPr="007E2536" w:rsidRDefault="00BA7A7F" w:rsidP="00CD7C00">
            <w:pPr>
              <w:pStyle w:val="ExampleText0"/>
              <w:spacing w:before="60" w:after="60" w:line="240" w:lineRule="auto"/>
              <w:rPr>
                <w:rFonts w:ascii="Arial" w:hAnsi="Arial" w:cs="Arial"/>
                <w:b/>
                <w:bCs/>
                <w:i w:val="0"/>
                <w:iCs/>
                <w:color w:val="000000"/>
              </w:rPr>
            </w:pPr>
            <w:r w:rsidRPr="007E2536">
              <w:rPr>
                <w:rFonts w:ascii="Arial" w:hAnsi="Arial" w:cs="Arial"/>
                <w:b/>
                <w:bCs/>
                <w:i w:val="0"/>
                <w:iCs/>
                <w:color w:val="000000"/>
              </w:rPr>
              <w:t>Outcome 1: Support economic growth, productivity and job creation for all Australians by investing in science, technology and commercialisation, growing innovative and competitive businesses, industries and regions, and supporting resources</w:t>
            </w:r>
          </w:p>
        </w:tc>
      </w:tr>
    </w:tbl>
    <w:p w:rsidR="00E77462" w:rsidRPr="007E2536" w:rsidRDefault="00BA7A7F" w:rsidP="00FC719F">
      <w:pPr>
        <w:pStyle w:val="Heading4"/>
        <w:rPr>
          <w:color w:val="000000"/>
          <w:sz w:val="20"/>
          <w:bdr w:val="none" w:sz="0" w:space="0" w:color="auto" w:frame="1"/>
        </w:rPr>
      </w:pPr>
      <w:r w:rsidRPr="007E2536">
        <w:rPr>
          <w:color w:val="000000"/>
          <w:sz w:val="20"/>
          <w:bdr w:val="none" w:sz="0" w:space="0" w:color="auto" w:frame="1"/>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253274"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B86ED2" w:rsidRDefault="00BA7A7F">
            <w:pPr>
              <w:pStyle w:val="ExampleText0"/>
              <w:spacing w:before="60" w:after="60" w:line="240" w:lineRule="auto"/>
              <w:rPr>
                <w:rStyle w:val="ExampletextCharChar"/>
                <w:b/>
                <w:color w:val="auto"/>
                <w:u w:val="single"/>
                <w:bdr w:val="none" w:sz="0" w:space="0" w:color="auto" w:frame="1"/>
              </w:rPr>
            </w:pPr>
            <w:bookmarkStart w:id="145" w:name="_Hlk38456699"/>
            <w:r w:rsidRPr="00B86ED2">
              <w:rPr>
                <w:rStyle w:val="ExampletextCharChar"/>
                <w:b/>
                <w:color w:val="auto"/>
                <w:u w:val="single"/>
                <w:bdr w:val="none" w:sz="0" w:space="0" w:color="auto" w:frame="1"/>
              </w:rPr>
              <w:t>Portfolio agencies</w:t>
            </w:r>
          </w:p>
          <w:p w:rsidR="00B86ED2" w:rsidRDefault="00BA7A7F" w:rsidP="00B86ED2">
            <w:pPr>
              <w:pStyle w:val="ExampleText0"/>
              <w:spacing w:before="60" w:after="60" w:line="240" w:lineRule="auto"/>
              <w:rPr>
                <w:rStyle w:val="ExampletextCharChar"/>
                <w:b/>
                <w:color w:val="auto"/>
              </w:rPr>
            </w:pPr>
            <w:r>
              <w:rPr>
                <w:rStyle w:val="ExampletextCharChar"/>
                <w:b/>
                <w:color w:val="auto"/>
              </w:rPr>
              <w:t>Australian Institute of Marine Science</w:t>
            </w:r>
          </w:p>
          <w:p w:rsidR="00B86ED2" w:rsidRDefault="00BA7A7F" w:rsidP="00B86ED2">
            <w:pPr>
              <w:pStyle w:val="ExampleText0"/>
              <w:spacing w:before="60" w:after="60" w:line="240" w:lineRule="auto"/>
              <w:rPr>
                <w:rStyle w:val="ExampletextCharChar"/>
                <w:b/>
                <w:color w:val="auto"/>
              </w:rPr>
            </w:pPr>
            <w:r>
              <w:rPr>
                <w:rStyle w:val="ExampletextCharChar"/>
                <w:b/>
                <w:color w:val="auto"/>
              </w:rPr>
              <w:t xml:space="preserve">Australian Nuclear Science and Technology Organisation </w:t>
            </w:r>
          </w:p>
          <w:p w:rsidR="00B86ED2" w:rsidRDefault="00BA7A7F" w:rsidP="00B86ED2">
            <w:pPr>
              <w:pStyle w:val="ExampleText0"/>
              <w:spacing w:before="60" w:after="60" w:line="240" w:lineRule="auto"/>
              <w:rPr>
                <w:rStyle w:val="ExampletextCharChar"/>
                <w:b/>
                <w:color w:val="auto"/>
              </w:rPr>
            </w:pPr>
            <w:r>
              <w:rPr>
                <w:rStyle w:val="ExampletextCharChar"/>
                <w:b/>
                <w:color w:val="auto"/>
              </w:rPr>
              <w:t>Australian Renewable Energy Agency</w:t>
            </w:r>
          </w:p>
          <w:p w:rsidR="00B86ED2" w:rsidRPr="008F7E61" w:rsidRDefault="00BA7A7F" w:rsidP="00B86ED2">
            <w:pPr>
              <w:pStyle w:val="ExampleText0"/>
              <w:spacing w:before="60" w:after="60" w:line="240" w:lineRule="auto"/>
              <w:rPr>
                <w:rStyle w:val="ExampletextCharChar"/>
                <w:b/>
                <w:color w:val="auto"/>
              </w:rPr>
            </w:pPr>
            <w:r w:rsidRPr="008F7E61">
              <w:rPr>
                <w:rStyle w:val="ExampletextCharChar"/>
                <w:b/>
                <w:color w:val="auto"/>
              </w:rPr>
              <w:t>Clean Energy Finance Corporation</w:t>
            </w:r>
          </w:p>
          <w:p w:rsidR="00B86ED2" w:rsidRDefault="00BA7A7F" w:rsidP="00B86ED2">
            <w:pPr>
              <w:pStyle w:val="ExampleText0"/>
              <w:spacing w:before="60" w:after="60" w:line="240" w:lineRule="auto"/>
              <w:rPr>
                <w:rStyle w:val="ExampletextCharChar"/>
                <w:b/>
                <w:color w:val="auto"/>
              </w:rPr>
            </w:pPr>
            <w:r>
              <w:rPr>
                <w:rStyle w:val="ExampletextCharChar"/>
                <w:b/>
                <w:color w:val="auto"/>
              </w:rPr>
              <w:t xml:space="preserve">Commonwealth Scientific and Industrial Research Organisation </w:t>
            </w:r>
          </w:p>
          <w:p w:rsidR="00B86ED2" w:rsidRDefault="00BA7A7F" w:rsidP="00B86ED2">
            <w:pPr>
              <w:pStyle w:val="ExampleText0"/>
              <w:spacing w:before="60" w:after="60" w:line="240" w:lineRule="auto"/>
              <w:rPr>
                <w:rStyle w:val="ExampletextCharChar"/>
                <w:b/>
                <w:color w:val="auto"/>
              </w:rPr>
            </w:pPr>
            <w:r>
              <w:rPr>
                <w:rStyle w:val="ExampletextCharChar"/>
                <w:b/>
                <w:color w:val="auto"/>
              </w:rPr>
              <w:t>Geoscience Australia</w:t>
            </w:r>
          </w:p>
          <w:p w:rsidR="00B86ED2" w:rsidRPr="00B86ED2" w:rsidRDefault="00BA7A7F" w:rsidP="00B86ED2">
            <w:pPr>
              <w:pStyle w:val="ExampleText0"/>
              <w:spacing w:before="60" w:after="60" w:line="240" w:lineRule="auto"/>
              <w:rPr>
                <w:rStyle w:val="ExampletextCharChar"/>
                <w:b/>
                <w:color w:val="auto"/>
              </w:rPr>
            </w:pPr>
            <w:r w:rsidRPr="00B86ED2">
              <w:rPr>
                <w:rStyle w:val="ExampletextCharChar"/>
                <w:b/>
                <w:color w:val="auto"/>
              </w:rPr>
              <w:t>IP Australia</w:t>
            </w:r>
          </w:p>
          <w:p w:rsidR="007E2536" w:rsidRPr="00833776" w:rsidRDefault="00BA7A7F" w:rsidP="00B86ED2">
            <w:pPr>
              <w:pStyle w:val="ExampleText0"/>
              <w:spacing w:before="60" w:after="60" w:line="240" w:lineRule="auto"/>
              <w:rPr>
                <w:i w:val="0"/>
              </w:rPr>
            </w:pPr>
            <w:r w:rsidRPr="00B86ED2">
              <w:rPr>
                <w:rStyle w:val="ExampletextCharChar"/>
                <w:b/>
                <w:color w:val="auto"/>
              </w:rPr>
              <w:t>National Offshore Petroleum Safety and Environmental Management Authority</w:t>
            </w:r>
          </w:p>
        </w:tc>
      </w:tr>
      <w:tr w:rsidR="00253274" w:rsidTr="007E2536">
        <w:trPr>
          <w:trHeight w:val="113"/>
        </w:trPr>
        <w:tc>
          <w:tcPr>
            <w:tcW w:w="7592" w:type="dxa"/>
            <w:tcBorders>
              <w:top w:val="dotted" w:sz="4" w:space="0" w:color="auto"/>
              <w:left w:val="single" w:sz="4" w:space="0" w:color="auto"/>
              <w:bottom w:val="single" w:sz="2" w:space="0" w:color="auto"/>
              <w:right w:val="single" w:sz="4" w:space="0" w:color="auto"/>
            </w:tcBorders>
            <w:hideMark/>
          </w:tcPr>
          <w:p w:rsidR="007E2536" w:rsidRPr="00B86ED2" w:rsidRDefault="00BA7A7F">
            <w:pPr>
              <w:spacing w:before="60" w:after="60" w:line="240" w:lineRule="auto"/>
              <w:rPr>
                <w:rStyle w:val="ExampletextCharChar"/>
                <w:i w:val="0"/>
                <w:color w:val="auto"/>
              </w:rPr>
            </w:pPr>
            <w:r w:rsidRPr="00B86ED2">
              <w:rPr>
                <w:rStyle w:val="ExampletextCharChar"/>
                <w:b/>
                <w:i w:val="0"/>
                <w:color w:val="auto"/>
                <w:bdr w:val="none" w:sz="0" w:space="0" w:color="auto" w:frame="1"/>
              </w:rPr>
              <w:t>Programs</w:t>
            </w:r>
          </w:p>
          <w:p w:rsidR="007E2536" w:rsidRPr="00B86ED2" w:rsidRDefault="00BA7A7F">
            <w:pPr>
              <w:spacing w:before="60" w:after="60" w:line="240" w:lineRule="auto"/>
              <w:jc w:val="left"/>
              <w:rPr>
                <w:rStyle w:val="ExampletextCharChar"/>
                <w:rFonts w:cs="Arial"/>
                <w:i w:val="0"/>
                <w:color w:val="auto"/>
                <w:bdr w:val="none" w:sz="0" w:space="0" w:color="auto" w:frame="1"/>
              </w:rPr>
            </w:pPr>
            <w:r w:rsidRPr="00B86ED2">
              <w:rPr>
                <w:rStyle w:val="ExampletextCharChar"/>
                <w:rFonts w:cs="Arial"/>
                <w:i w:val="0"/>
                <w:color w:val="auto"/>
                <w:bdr w:val="none" w:sz="0" w:space="0" w:color="auto" w:frame="1"/>
              </w:rPr>
              <w:t>Australian Institute of Marine Science</w:t>
            </w:r>
          </w:p>
          <w:p w:rsidR="007E2536" w:rsidRPr="00B86ED2" w:rsidRDefault="00BA7A7F" w:rsidP="007E2536">
            <w:pPr>
              <w:keepLines w:val="0"/>
              <w:numPr>
                <w:ilvl w:val="0"/>
                <w:numId w:val="12"/>
              </w:numPr>
              <w:spacing w:before="60" w:after="60" w:line="240" w:lineRule="auto"/>
              <w:ind w:left="697" w:hanging="357"/>
              <w:jc w:val="left"/>
              <w:rPr>
                <w:rStyle w:val="ExampletextCharChar"/>
                <w:rFonts w:cs="Arial"/>
                <w:i w:val="0"/>
                <w:color w:val="auto"/>
                <w:bdr w:val="none" w:sz="0" w:space="0" w:color="auto" w:frame="1"/>
              </w:rPr>
            </w:pPr>
            <w:r w:rsidRPr="00B86ED2">
              <w:rPr>
                <w:rStyle w:val="ExampletextCharChar"/>
                <w:rFonts w:cs="Arial"/>
                <w:i w:val="0"/>
                <w:color w:val="auto"/>
                <w:bdr w:val="none" w:sz="0" w:space="0" w:color="auto" w:frame="1"/>
              </w:rPr>
              <w:t>Program 1 – Marine Research</w:t>
            </w:r>
          </w:p>
          <w:p w:rsidR="007E2536" w:rsidRPr="00B86ED2" w:rsidRDefault="00BA7A7F">
            <w:pPr>
              <w:spacing w:before="60" w:after="60" w:line="240" w:lineRule="auto"/>
              <w:jc w:val="left"/>
              <w:rPr>
                <w:rStyle w:val="ExampletextCharChar"/>
                <w:rFonts w:cs="Arial"/>
                <w:i w:val="0"/>
                <w:color w:val="auto"/>
                <w:bdr w:val="none" w:sz="0" w:space="0" w:color="auto" w:frame="1"/>
              </w:rPr>
            </w:pPr>
            <w:r w:rsidRPr="00B86ED2">
              <w:rPr>
                <w:rStyle w:val="ExampletextCharChar"/>
                <w:rFonts w:cs="Arial"/>
                <w:i w:val="0"/>
                <w:color w:val="auto"/>
                <w:bdr w:val="none" w:sz="0" w:space="0" w:color="auto" w:frame="1"/>
              </w:rPr>
              <w:t>Australian Nuclear Science and Technology Organisation</w:t>
            </w:r>
          </w:p>
          <w:p w:rsidR="007E2536" w:rsidRPr="00B86ED2" w:rsidRDefault="00BA7A7F" w:rsidP="007E2536">
            <w:pPr>
              <w:keepLines w:val="0"/>
              <w:numPr>
                <w:ilvl w:val="0"/>
                <w:numId w:val="12"/>
              </w:numPr>
              <w:spacing w:before="60" w:after="60" w:line="240" w:lineRule="auto"/>
              <w:ind w:left="697" w:hanging="357"/>
              <w:jc w:val="left"/>
              <w:rPr>
                <w:rStyle w:val="ExampletextCharChar"/>
                <w:rFonts w:cs="Arial"/>
                <w:i w:val="0"/>
                <w:color w:val="auto"/>
                <w:bdr w:val="none" w:sz="0" w:space="0" w:color="auto" w:frame="1"/>
              </w:rPr>
            </w:pPr>
            <w:r w:rsidRPr="00B86ED2">
              <w:rPr>
                <w:rStyle w:val="ExampletextCharChar"/>
                <w:rFonts w:cs="Arial"/>
                <w:i w:val="0"/>
                <w:color w:val="auto"/>
                <w:bdr w:val="none" w:sz="0" w:space="0" w:color="auto" w:frame="1"/>
              </w:rPr>
              <w:t>Program 1 – Science and Technology Solutions</w:t>
            </w:r>
          </w:p>
          <w:p w:rsidR="007E2536" w:rsidRPr="00B86ED2" w:rsidRDefault="00BA7A7F">
            <w:pPr>
              <w:spacing w:before="60" w:after="60" w:line="240" w:lineRule="auto"/>
              <w:jc w:val="left"/>
              <w:rPr>
                <w:rStyle w:val="ExampletextCharChar"/>
                <w:rFonts w:cs="Arial"/>
                <w:i w:val="0"/>
                <w:color w:val="auto"/>
                <w:bdr w:val="none" w:sz="0" w:space="0" w:color="auto" w:frame="1"/>
              </w:rPr>
            </w:pPr>
            <w:r w:rsidRPr="00B86ED2">
              <w:rPr>
                <w:rStyle w:val="ExampletextCharChar"/>
                <w:rFonts w:cs="Arial"/>
                <w:i w:val="0"/>
                <w:color w:val="auto"/>
                <w:bdr w:val="none" w:sz="0" w:space="0" w:color="auto" w:frame="1"/>
              </w:rPr>
              <w:t>Australian Renewable Energy Agency</w:t>
            </w:r>
          </w:p>
          <w:p w:rsidR="007E2536" w:rsidRPr="00B86ED2" w:rsidRDefault="00BA7A7F" w:rsidP="007E2536">
            <w:pPr>
              <w:keepLines w:val="0"/>
              <w:numPr>
                <w:ilvl w:val="0"/>
                <w:numId w:val="12"/>
              </w:numPr>
              <w:spacing w:before="60" w:after="60" w:line="240" w:lineRule="auto"/>
              <w:ind w:left="697" w:hanging="357"/>
              <w:jc w:val="left"/>
              <w:rPr>
                <w:rStyle w:val="ExampletextCharChar"/>
                <w:rFonts w:cs="Arial"/>
                <w:i w:val="0"/>
                <w:color w:val="auto"/>
                <w:bdr w:val="none" w:sz="0" w:space="0" w:color="auto" w:frame="1"/>
              </w:rPr>
            </w:pPr>
            <w:r w:rsidRPr="00B86ED2">
              <w:rPr>
                <w:rStyle w:val="ExampletextCharChar"/>
                <w:rFonts w:cs="Arial"/>
                <w:i w:val="0"/>
                <w:color w:val="auto"/>
                <w:bdr w:val="none" w:sz="0" w:space="0" w:color="auto" w:frame="1"/>
              </w:rPr>
              <w:t>Program 1.1 – Australian Renewable Energy Agency</w:t>
            </w:r>
          </w:p>
          <w:p w:rsidR="007E2536" w:rsidRPr="008F7E61" w:rsidRDefault="00BA7A7F">
            <w:pPr>
              <w:spacing w:before="60" w:after="60" w:line="240" w:lineRule="auto"/>
              <w:jc w:val="left"/>
              <w:rPr>
                <w:rStyle w:val="ExampletextCharChar"/>
                <w:rFonts w:cs="Arial"/>
                <w:i w:val="0"/>
                <w:color w:val="auto"/>
                <w:bdr w:val="none" w:sz="0" w:space="0" w:color="auto" w:frame="1"/>
              </w:rPr>
            </w:pPr>
            <w:r w:rsidRPr="008F7E61">
              <w:rPr>
                <w:rStyle w:val="ExampletextCharChar"/>
                <w:rFonts w:cs="Arial"/>
                <w:i w:val="0"/>
                <w:color w:val="auto"/>
                <w:bdr w:val="none" w:sz="0" w:space="0" w:color="auto" w:frame="1"/>
              </w:rPr>
              <w:t>Clean Energy Finance Corporation</w:t>
            </w:r>
          </w:p>
          <w:p w:rsidR="007E2536" w:rsidRPr="008F7E61" w:rsidRDefault="00BA7A7F" w:rsidP="007E2536">
            <w:pPr>
              <w:keepLines w:val="0"/>
              <w:numPr>
                <w:ilvl w:val="0"/>
                <w:numId w:val="12"/>
              </w:numPr>
              <w:spacing w:before="60" w:after="60" w:line="240" w:lineRule="auto"/>
              <w:ind w:left="697" w:hanging="357"/>
              <w:jc w:val="left"/>
              <w:rPr>
                <w:rStyle w:val="ExampletextCharChar"/>
                <w:rFonts w:cs="Arial"/>
                <w:i w:val="0"/>
                <w:color w:val="auto"/>
                <w:bdr w:val="none" w:sz="0" w:space="0" w:color="auto" w:frame="1"/>
              </w:rPr>
            </w:pPr>
            <w:r w:rsidRPr="008F7E61">
              <w:rPr>
                <w:rStyle w:val="ExampletextCharChar"/>
                <w:rFonts w:cs="Arial"/>
                <w:i w:val="0"/>
                <w:color w:val="auto"/>
                <w:bdr w:val="none" w:sz="0" w:space="0" w:color="auto" w:frame="1"/>
              </w:rPr>
              <w:t>Program 1.1 – Clean Energy Finance Corporation</w:t>
            </w:r>
          </w:p>
          <w:p w:rsidR="007E2536" w:rsidRPr="00B86ED2" w:rsidRDefault="00BA7A7F">
            <w:pPr>
              <w:spacing w:before="60" w:after="60" w:line="240" w:lineRule="auto"/>
              <w:jc w:val="left"/>
              <w:rPr>
                <w:rStyle w:val="ExampletextCharChar"/>
                <w:rFonts w:cs="Arial"/>
                <w:i w:val="0"/>
                <w:color w:val="auto"/>
                <w:bdr w:val="none" w:sz="0" w:space="0" w:color="auto" w:frame="1"/>
              </w:rPr>
            </w:pPr>
            <w:r w:rsidRPr="00B86ED2">
              <w:rPr>
                <w:rStyle w:val="ExampletextCharChar"/>
                <w:rFonts w:cs="Arial"/>
                <w:i w:val="0"/>
                <w:color w:val="auto"/>
                <w:bdr w:val="none" w:sz="0" w:space="0" w:color="auto" w:frame="1"/>
              </w:rPr>
              <w:t>Commonwealth Scientific and Industrial Research Organisation</w:t>
            </w:r>
          </w:p>
          <w:p w:rsidR="007E2536" w:rsidRPr="00B86ED2" w:rsidRDefault="00BA7A7F" w:rsidP="007E2536">
            <w:pPr>
              <w:pStyle w:val="ListParagraph"/>
              <w:numPr>
                <w:ilvl w:val="0"/>
                <w:numId w:val="13"/>
              </w:numPr>
              <w:spacing w:before="60" w:after="60" w:line="240" w:lineRule="auto"/>
              <w:jc w:val="left"/>
              <w:rPr>
                <w:rStyle w:val="ExampletextCharChar"/>
                <w:rFonts w:eastAsia="Calibri" w:cs="Arial"/>
                <w:i w:val="0"/>
                <w:color w:val="auto"/>
                <w:bdr w:val="none" w:sz="0" w:space="0" w:color="auto" w:frame="1"/>
              </w:rPr>
            </w:pPr>
            <w:r w:rsidRPr="00B86ED2">
              <w:rPr>
                <w:rStyle w:val="ExampletextCharChar"/>
                <w:rFonts w:eastAsia="Calibri" w:cs="Arial"/>
                <w:i w:val="0"/>
                <w:color w:val="auto"/>
                <w:bdr w:val="none" w:sz="0" w:space="0" w:color="auto" w:frame="1"/>
              </w:rPr>
              <w:t>Program 1 – Scientific and Industrial Research and Infrastructure</w:t>
            </w:r>
          </w:p>
          <w:p w:rsidR="007E2536" w:rsidRPr="00B86ED2" w:rsidRDefault="00BA7A7F">
            <w:pPr>
              <w:spacing w:before="60" w:after="60" w:line="240" w:lineRule="auto"/>
              <w:jc w:val="left"/>
              <w:rPr>
                <w:rStyle w:val="ExampletextCharChar"/>
                <w:rFonts w:cs="Arial"/>
                <w:i w:val="0"/>
                <w:color w:val="auto"/>
                <w:bdr w:val="none" w:sz="0" w:space="0" w:color="auto" w:frame="1"/>
              </w:rPr>
            </w:pPr>
            <w:r w:rsidRPr="00B86ED2">
              <w:rPr>
                <w:rStyle w:val="ExampletextCharChar"/>
                <w:rFonts w:cs="Arial"/>
                <w:i w:val="0"/>
                <w:color w:val="auto"/>
                <w:bdr w:val="none" w:sz="0" w:space="0" w:color="auto" w:frame="1"/>
              </w:rPr>
              <w:t>Geoscience Australia</w:t>
            </w:r>
          </w:p>
          <w:p w:rsidR="007E2536" w:rsidRPr="00B86ED2" w:rsidRDefault="00BA7A7F" w:rsidP="007E2536">
            <w:pPr>
              <w:keepLines w:val="0"/>
              <w:numPr>
                <w:ilvl w:val="0"/>
                <w:numId w:val="12"/>
              </w:numPr>
              <w:spacing w:before="60" w:after="60" w:line="240" w:lineRule="auto"/>
              <w:ind w:left="697" w:hanging="357"/>
              <w:jc w:val="left"/>
              <w:rPr>
                <w:rStyle w:val="ExampletextCharChar"/>
                <w:rFonts w:cs="Arial"/>
                <w:i w:val="0"/>
                <w:color w:val="auto"/>
                <w:bdr w:val="none" w:sz="0" w:space="0" w:color="auto" w:frame="1"/>
              </w:rPr>
            </w:pPr>
            <w:r w:rsidRPr="00B86ED2">
              <w:rPr>
                <w:rStyle w:val="ExampletextCharChar"/>
                <w:rFonts w:cs="Arial"/>
                <w:i w:val="0"/>
                <w:color w:val="auto"/>
                <w:bdr w:val="none" w:sz="0" w:space="0" w:color="auto" w:frame="1"/>
              </w:rPr>
              <w:t>Program 1 – Geoscientific and Spatial Information Services</w:t>
            </w:r>
          </w:p>
          <w:p w:rsidR="007E2536" w:rsidRPr="00B86ED2" w:rsidRDefault="00BA7A7F">
            <w:pPr>
              <w:spacing w:before="60" w:after="60" w:line="240" w:lineRule="auto"/>
              <w:jc w:val="left"/>
              <w:rPr>
                <w:rStyle w:val="ExampletextCharChar"/>
                <w:rFonts w:cs="Arial"/>
                <w:i w:val="0"/>
                <w:color w:val="auto"/>
                <w:bdr w:val="none" w:sz="0" w:space="0" w:color="auto" w:frame="1"/>
              </w:rPr>
            </w:pPr>
            <w:r w:rsidRPr="00B86ED2">
              <w:rPr>
                <w:rStyle w:val="ExampletextCharChar"/>
                <w:rFonts w:cs="Arial"/>
                <w:i w:val="0"/>
                <w:color w:val="auto"/>
                <w:bdr w:val="none" w:sz="0" w:space="0" w:color="auto" w:frame="1"/>
              </w:rPr>
              <w:t>IP Australia</w:t>
            </w:r>
          </w:p>
          <w:p w:rsidR="007E2536" w:rsidRPr="00B86ED2" w:rsidRDefault="00BA7A7F" w:rsidP="007E2536">
            <w:pPr>
              <w:keepLines w:val="0"/>
              <w:numPr>
                <w:ilvl w:val="0"/>
                <w:numId w:val="12"/>
              </w:numPr>
              <w:spacing w:before="60" w:after="60" w:line="240" w:lineRule="auto"/>
              <w:ind w:left="697" w:hanging="357"/>
              <w:jc w:val="left"/>
              <w:rPr>
                <w:rStyle w:val="ExampletextCharChar"/>
                <w:rFonts w:cs="Arial"/>
                <w:i w:val="0"/>
                <w:color w:val="auto"/>
                <w:bdr w:val="none" w:sz="0" w:space="0" w:color="auto" w:frame="1"/>
              </w:rPr>
            </w:pPr>
            <w:r w:rsidRPr="00B86ED2">
              <w:rPr>
                <w:rStyle w:val="ExampletextCharChar"/>
                <w:rFonts w:cs="Arial"/>
                <w:i w:val="0"/>
                <w:color w:val="auto"/>
                <w:bdr w:val="none" w:sz="0" w:space="0" w:color="auto" w:frame="1"/>
              </w:rPr>
              <w:t>Program 1 – IP Rights Administration and Professional Registration</w:t>
            </w:r>
          </w:p>
          <w:p w:rsidR="007E2536" w:rsidRPr="00551AED" w:rsidRDefault="00BA7A7F" w:rsidP="007E2536">
            <w:pPr>
              <w:keepLines w:val="0"/>
              <w:numPr>
                <w:ilvl w:val="0"/>
                <w:numId w:val="12"/>
              </w:numPr>
              <w:spacing w:before="60" w:after="60" w:line="240" w:lineRule="auto"/>
              <w:ind w:left="697" w:hanging="357"/>
              <w:jc w:val="left"/>
              <w:rPr>
                <w:rStyle w:val="ExampletextCharChar"/>
                <w:rFonts w:cs="Arial"/>
                <w:i w:val="0"/>
                <w:color w:val="auto"/>
                <w:bdr w:val="none" w:sz="0" w:space="0" w:color="auto" w:frame="1"/>
              </w:rPr>
            </w:pPr>
            <w:r w:rsidRPr="00551AED">
              <w:rPr>
                <w:rStyle w:val="ExampletextCharChar"/>
                <w:rFonts w:cs="Arial"/>
                <w:i w:val="0"/>
                <w:color w:val="auto"/>
                <w:bdr w:val="none" w:sz="0" w:space="0" w:color="auto" w:frame="1"/>
              </w:rPr>
              <w:t xml:space="preserve">Program 2 – Education and Awareness </w:t>
            </w:r>
          </w:p>
          <w:p w:rsidR="007E2536" w:rsidRPr="00551AED" w:rsidRDefault="00BA7A7F" w:rsidP="007E2536">
            <w:pPr>
              <w:keepLines w:val="0"/>
              <w:numPr>
                <w:ilvl w:val="0"/>
                <w:numId w:val="12"/>
              </w:numPr>
              <w:spacing w:before="60" w:after="60" w:line="240" w:lineRule="auto"/>
              <w:ind w:left="697" w:hanging="357"/>
              <w:jc w:val="left"/>
              <w:rPr>
                <w:rStyle w:val="ExampletextCharChar"/>
                <w:rFonts w:cs="Arial"/>
                <w:i w:val="0"/>
                <w:color w:val="auto"/>
                <w:bdr w:val="none" w:sz="0" w:space="0" w:color="auto" w:frame="1"/>
              </w:rPr>
            </w:pPr>
            <w:r w:rsidRPr="00551AED">
              <w:rPr>
                <w:rStyle w:val="ExampletextCharChar"/>
                <w:rFonts w:cs="Arial"/>
                <w:i w:val="0"/>
                <w:color w:val="auto"/>
                <w:bdr w:val="none" w:sz="0" w:space="0" w:color="auto" w:frame="1"/>
              </w:rPr>
              <w:t>Program 3 – Advice to Government and International Engagement</w:t>
            </w:r>
          </w:p>
          <w:p w:rsidR="007E2536" w:rsidRPr="00551AED" w:rsidRDefault="00BA7A7F">
            <w:pPr>
              <w:spacing w:before="60" w:after="60" w:line="240" w:lineRule="auto"/>
              <w:jc w:val="left"/>
              <w:rPr>
                <w:rStyle w:val="ExampletextCharChar"/>
                <w:rFonts w:cs="Arial"/>
                <w:i w:val="0"/>
                <w:color w:val="auto"/>
                <w:bdr w:val="none" w:sz="0" w:space="0" w:color="auto" w:frame="1"/>
              </w:rPr>
            </w:pPr>
            <w:r w:rsidRPr="00551AED">
              <w:rPr>
                <w:rStyle w:val="ExampletextCharChar"/>
                <w:rFonts w:cs="Arial"/>
                <w:i w:val="0"/>
                <w:color w:val="auto"/>
                <w:bdr w:val="none" w:sz="0" w:space="0" w:color="auto" w:frame="1"/>
              </w:rPr>
              <w:t>National Offshore Petroleum Safety and Environmental Management Authority</w:t>
            </w:r>
          </w:p>
          <w:p w:rsidR="007E2536" w:rsidRPr="00B86ED2" w:rsidRDefault="00BA7A7F" w:rsidP="00B86ED2">
            <w:pPr>
              <w:keepLines w:val="0"/>
              <w:numPr>
                <w:ilvl w:val="0"/>
                <w:numId w:val="12"/>
              </w:numPr>
              <w:spacing w:before="60" w:after="60" w:line="240" w:lineRule="auto"/>
              <w:ind w:left="697" w:hanging="357"/>
              <w:jc w:val="left"/>
              <w:rPr>
                <w:rStyle w:val="ExampletextCharChar"/>
                <w:rFonts w:cs="Arial"/>
                <w:i w:val="0"/>
                <w:bdr w:val="none" w:sz="0" w:space="0" w:color="auto" w:frame="1"/>
              </w:rPr>
            </w:pPr>
            <w:r w:rsidRPr="00551AED">
              <w:rPr>
                <w:rStyle w:val="ExampletextCharChar"/>
                <w:rFonts w:cs="Arial"/>
                <w:i w:val="0"/>
                <w:color w:val="auto"/>
                <w:bdr w:val="none" w:sz="0" w:space="0" w:color="auto" w:frame="1"/>
              </w:rPr>
              <w:t>Program 1 – Regulatory oversight of Safety Cases, Well Operations Management Plans and Environment Plans coupled with effective monitoring, investigation and enforcement</w:t>
            </w:r>
          </w:p>
        </w:tc>
      </w:tr>
      <w:tr w:rsidR="00253274" w:rsidTr="007E2536">
        <w:trPr>
          <w:trHeight w:val="113"/>
        </w:trPr>
        <w:tc>
          <w:tcPr>
            <w:tcW w:w="7592" w:type="dxa"/>
            <w:tcBorders>
              <w:top w:val="single" w:sz="2" w:space="0" w:color="auto"/>
              <w:left w:val="single" w:sz="2" w:space="0" w:color="auto"/>
              <w:bottom w:val="single" w:sz="2" w:space="0" w:color="auto"/>
              <w:right w:val="single" w:sz="2" w:space="0" w:color="auto"/>
            </w:tcBorders>
            <w:hideMark/>
          </w:tcPr>
          <w:p w:rsidR="007E2536" w:rsidRPr="00B86ED2" w:rsidRDefault="00BA7A7F" w:rsidP="00522155">
            <w:pPr>
              <w:keepNext/>
              <w:spacing w:before="60" w:after="60" w:line="240" w:lineRule="auto"/>
              <w:rPr>
                <w:rStyle w:val="ExampletextCharChar"/>
                <w:b/>
                <w:i w:val="0"/>
                <w:color w:val="auto"/>
                <w:bdr w:val="none" w:sz="0" w:space="0" w:color="auto" w:frame="1"/>
              </w:rPr>
            </w:pPr>
            <w:bookmarkStart w:id="146" w:name="_Hlk38456740"/>
            <w:bookmarkEnd w:id="145"/>
            <w:r w:rsidRPr="00B86ED2">
              <w:rPr>
                <w:rStyle w:val="ExampletextCharChar"/>
                <w:b/>
                <w:i w:val="0"/>
                <w:color w:val="auto"/>
                <w:bdr w:val="none" w:sz="0" w:space="0" w:color="auto" w:frame="1"/>
              </w:rPr>
              <w:t>Contribution to Outcome 1 made by linked programs</w:t>
            </w:r>
          </w:p>
          <w:p w:rsidR="007E2536" w:rsidRPr="00B86ED2" w:rsidRDefault="00BA7A7F">
            <w:pPr>
              <w:spacing w:before="60" w:after="60" w:line="240" w:lineRule="auto"/>
              <w:rPr>
                <w:rStyle w:val="ExampletextCharChar"/>
                <w:i w:val="0"/>
                <w:color w:val="auto"/>
                <w:bdr w:val="none" w:sz="0" w:space="0" w:color="auto" w:frame="1"/>
              </w:rPr>
            </w:pPr>
            <w:r w:rsidRPr="00B86ED2">
              <w:rPr>
                <w:rStyle w:val="ExampletextCharChar"/>
                <w:i w:val="0"/>
                <w:color w:val="auto"/>
                <w:bdr w:val="none" w:sz="0" w:space="0" w:color="auto" w:frame="1"/>
              </w:rPr>
              <w:t>The portfolio agencies’ programs contribute to enabling growth and productivity for globally competitive industries through supporting science and commercialisation, growing business investment and improving business capability</w:t>
            </w:r>
            <w:r w:rsidR="00841D15">
              <w:rPr>
                <w:rStyle w:val="ExampletextCharChar"/>
                <w:i w:val="0"/>
                <w:color w:val="auto"/>
                <w:bdr w:val="none" w:sz="0" w:space="0" w:color="auto" w:frame="1"/>
              </w:rPr>
              <w:t>,</w:t>
            </w:r>
            <w:r w:rsidRPr="00B86ED2">
              <w:rPr>
                <w:rStyle w:val="ExampletextCharChar"/>
                <w:i w:val="0"/>
                <w:color w:val="auto"/>
                <w:bdr w:val="none" w:sz="0" w:space="0" w:color="auto" w:frame="1"/>
              </w:rPr>
              <w:t xml:space="preserve"> and streamlining regulation. </w:t>
            </w:r>
          </w:p>
          <w:p w:rsidR="007E2536" w:rsidRPr="00833776" w:rsidRDefault="00BA7A7F">
            <w:pPr>
              <w:spacing w:before="60" w:after="60" w:line="240" w:lineRule="auto"/>
              <w:rPr>
                <w:rStyle w:val="ExampletextCharChar"/>
                <w:i w:val="0"/>
                <w:bdr w:val="none" w:sz="0" w:space="0" w:color="auto" w:frame="1"/>
              </w:rPr>
            </w:pPr>
            <w:r w:rsidRPr="00B86ED2">
              <w:rPr>
                <w:rStyle w:val="ExampletextCharChar"/>
                <w:i w:val="0"/>
                <w:color w:val="auto"/>
                <w:bdr w:val="none" w:sz="0" w:space="0" w:color="auto" w:frame="1"/>
              </w:rPr>
              <w:t>Further information on the linked programs is available in the agencies’ chapters.</w:t>
            </w:r>
          </w:p>
        </w:tc>
      </w:tr>
      <w:tr w:rsidR="00253274" w:rsidTr="007E2536">
        <w:trPr>
          <w:trHeight w:val="113"/>
        </w:trPr>
        <w:tc>
          <w:tcPr>
            <w:tcW w:w="7592" w:type="dxa"/>
            <w:tcBorders>
              <w:top w:val="single" w:sz="2" w:space="0" w:color="auto"/>
              <w:left w:val="single" w:sz="4" w:space="0" w:color="auto"/>
              <w:bottom w:val="dotted" w:sz="4" w:space="0" w:color="auto"/>
              <w:right w:val="single" w:sz="4" w:space="0" w:color="auto"/>
            </w:tcBorders>
          </w:tcPr>
          <w:p w:rsidR="00B86ED2" w:rsidRPr="00833776" w:rsidRDefault="00BA7A7F">
            <w:pPr>
              <w:pStyle w:val="ExampleText0"/>
              <w:spacing w:before="60" w:after="60" w:line="240" w:lineRule="auto"/>
              <w:rPr>
                <w:rStyle w:val="ExampletextCharChar"/>
                <w:b/>
                <w:bdr w:val="none" w:sz="0" w:space="0" w:color="auto" w:frame="1"/>
              </w:rPr>
            </w:pPr>
            <w:r w:rsidRPr="00984CFB">
              <w:rPr>
                <w:rStyle w:val="ExampletextCharChar"/>
                <w:b/>
                <w:color w:val="auto"/>
                <w:bdr w:val="none" w:sz="0" w:space="0" w:color="auto" w:frame="1"/>
              </w:rPr>
              <w:t>Australian Competition and Consumer Commission</w:t>
            </w:r>
          </w:p>
        </w:tc>
      </w:tr>
      <w:tr w:rsidR="00253274"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B86ED2" w:rsidRDefault="00BA7A7F">
            <w:pPr>
              <w:spacing w:before="60" w:after="60" w:line="240" w:lineRule="auto"/>
              <w:rPr>
                <w:rStyle w:val="ExampletextCharChar"/>
                <w:i w:val="0"/>
                <w:color w:val="auto"/>
              </w:rPr>
            </w:pPr>
            <w:r w:rsidRPr="00B86ED2">
              <w:rPr>
                <w:rStyle w:val="ExampletextCharChar"/>
                <w:b/>
                <w:i w:val="0"/>
                <w:color w:val="auto"/>
                <w:bdr w:val="none" w:sz="0" w:space="0" w:color="auto" w:frame="1"/>
              </w:rPr>
              <w:t>Programs</w:t>
            </w:r>
          </w:p>
          <w:p w:rsidR="00516D10" w:rsidRPr="00833776" w:rsidRDefault="00BA7A7F" w:rsidP="00984CFB">
            <w:pPr>
              <w:keepLines w:val="0"/>
              <w:numPr>
                <w:ilvl w:val="0"/>
                <w:numId w:val="12"/>
              </w:numPr>
              <w:spacing w:before="60" w:after="60" w:line="240" w:lineRule="auto"/>
              <w:ind w:left="697" w:hanging="357"/>
              <w:jc w:val="left"/>
              <w:rPr>
                <w:rStyle w:val="ExampletextCharChar"/>
                <w:i w:val="0"/>
                <w:bdr w:val="none" w:sz="0" w:space="0" w:color="auto" w:frame="1"/>
              </w:rPr>
            </w:pPr>
            <w:r w:rsidRPr="00984CFB">
              <w:rPr>
                <w:rStyle w:val="ExampletextCharChar"/>
                <w:i w:val="0"/>
                <w:color w:val="auto"/>
                <w:bdr w:val="none" w:sz="0" w:space="0" w:color="auto" w:frame="1"/>
              </w:rPr>
              <w:t>Program 1.1 – Australian Competition and Consumer Commission</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7E2536" w:rsidRPr="00516D10" w:rsidRDefault="00BA7A7F">
            <w:pPr>
              <w:spacing w:before="60" w:after="60" w:line="240" w:lineRule="auto"/>
              <w:rPr>
                <w:rStyle w:val="ExampletextCharChar"/>
                <w:b/>
                <w:i w:val="0"/>
                <w:color w:val="auto"/>
                <w:bdr w:val="none" w:sz="0" w:space="0" w:color="auto" w:frame="1"/>
              </w:rPr>
            </w:pPr>
            <w:r w:rsidRPr="00516D10">
              <w:rPr>
                <w:rStyle w:val="ExampletextCharChar"/>
                <w:b/>
                <w:i w:val="0"/>
                <w:color w:val="auto"/>
                <w:bdr w:val="none" w:sz="0" w:space="0" w:color="auto" w:frame="1"/>
              </w:rPr>
              <w:t>Contribution to Outcome 1 made by linked programs</w:t>
            </w:r>
          </w:p>
          <w:p w:rsidR="007E2536" w:rsidRPr="00833776" w:rsidRDefault="00BA7A7F" w:rsidP="00841D15">
            <w:pPr>
              <w:spacing w:before="60" w:after="60" w:line="240" w:lineRule="auto"/>
              <w:rPr>
                <w:rStyle w:val="ExampletextCharChar"/>
                <w:i w:val="0"/>
                <w:bdr w:val="none" w:sz="0" w:space="0" w:color="auto" w:frame="1"/>
              </w:rPr>
            </w:pPr>
            <w:r w:rsidRPr="00984CFB">
              <w:rPr>
                <w:rStyle w:val="ExampletextCharChar"/>
                <w:i w:val="0"/>
                <w:color w:val="auto"/>
                <w:bdr w:val="none" w:sz="0" w:space="0" w:color="auto" w:frame="1"/>
              </w:rPr>
              <w:t xml:space="preserve">The Australian Competition and Consumer Commission is responsible for achieving compliance with the </w:t>
            </w:r>
            <w:r w:rsidRPr="00841D15">
              <w:rPr>
                <w:rStyle w:val="ExampletextCharChar"/>
                <w:color w:val="auto"/>
                <w:bdr w:val="none" w:sz="0" w:space="0" w:color="auto" w:frame="1"/>
              </w:rPr>
              <w:t>Competition and Consumer Act 2010</w:t>
            </w:r>
            <w:r w:rsidRPr="00984CFB">
              <w:rPr>
                <w:rStyle w:val="ExampletextCharChar"/>
                <w:i w:val="0"/>
                <w:color w:val="auto"/>
                <w:bdr w:val="none" w:sz="0" w:space="0" w:color="auto" w:frame="1"/>
              </w:rPr>
              <w:t xml:space="preserve"> and</w:t>
            </w:r>
            <w:r w:rsidR="00841D15">
              <w:rPr>
                <w:rStyle w:val="ExampletextCharChar"/>
                <w:i w:val="0"/>
                <w:color w:val="auto"/>
                <w:bdr w:val="none" w:sz="0" w:space="0" w:color="auto" w:frame="1"/>
              </w:rPr>
              <w:t xml:space="preserve"> associated legislation</w:t>
            </w:r>
            <w:r w:rsidRPr="00984CFB">
              <w:rPr>
                <w:rStyle w:val="ExampletextCharChar"/>
                <w:i w:val="0"/>
                <w:color w:val="auto"/>
                <w:bdr w:val="none" w:sz="0" w:space="0" w:color="auto" w:frame="1"/>
              </w:rPr>
              <w:t xml:space="preserve"> to protect, strengthen and supplement the way competition works in Australian markets and industries to improve the efficiency of the economy and the welfare of Australians. This contributes to growth and productivity for globally competitive industries.</w:t>
            </w:r>
          </w:p>
        </w:tc>
      </w:tr>
      <w:tr w:rsidR="00253274"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516D10" w:rsidRDefault="00BA7A7F">
            <w:pPr>
              <w:pStyle w:val="ExampleText0"/>
              <w:spacing w:before="60" w:after="60" w:line="240" w:lineRule="auto"/>
              <w:rPr>
                <w:i w:val="0"/>
                <w:color w:val="auto"/>
              </w:rPr>
            </w:pPr>
            <w:r w:rsidRPr="00984CFB">
              <w:rPr>
                <w:rStyle w:val="ExampletextCharChar"/>
                <w:b/>
                <w:color w:val="auto"/>
                <w:bdr w:val="none" w:sz="0" w:space="0" w:color="auto" w:frame="1"/>
              </w:rPr>
              <w:t>Australian Taxation Office</w:t>
            </w:r>
          </w:p>
        </w:tc>
      </w:tr>
      <w:tr w:rsidR="00253274"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516D10" w:rsidRDefault="00BA7A7F">
            <w:pPr>
              <w:spacing w:before="60" w:after="60" w:line="240" w:lineRule="auto"/>
              <w:rPr>
                <w:rStyle w:val="ExampletextCharChar"/>
                <w:b/>
                <w:i w:val="0"/>
                <w:color w:val="auto"/>
              </w:rPr>
            </w:pPr>
            <w:r w:rsidRPr="00516D10">
              <w:rPr>
                <w:rStyle w:val="ExampletextCharChar"/>
                <w:b/>
                <w:i w:val="0"/>
                <w:color w:val="auto"/>
                <w:bdr w:val="none" w:sz="0" w:space="0" w:color="auto" w:frame="1"/>
              </w:rPr>
              <w:t>Programs</w:t>
            </w:r>
          </w:p>
          <w:p w:rsidR="00984CFB" w:rsidRPr="00984CFB" w:rsidRDefault="00BA7A7F" w:rsidP="00984CFB">
            <w:pPr>
              <w:keepLines w:val="0"/>
              <w:numPr>
                <w:ilvl w:val="0"/>
                <w:numId w:val="12"/>
              </w:numPr>
              <w:spacing w:before="60" w:after="60" w:line="240" w:lineRule="auto"/>
              <w:ind w:left="697" w:hanging="357"/>
              <w:jc w:val="left"/>
              <w:rPr>
                <w:rStyle w:val="ExampletextCharChar"/>
                <w:i w:val="0"/>
                <w:color w:val="auto"/>
                <w:bdr w:val="none" w:sz="0" w:space="0" w:color="auto" w:frame="1"/>
              </w:rPr>
            </w:pPr>
            <w:r w:rsidRPr="00984CFB">
              <w:rPr>
                <w:rStyle w:val="ExampletextCharChar"/>
                <w:i w:val="0"/>
                <w:color w:val="auto"/>
                <w:bdr w:val="none" w:sz="0" w:space="0" w:color="auto" w:frame="1"/>
              </w:rPr>
              <w:t>Program 1.1 – Australian Taxation Office</w:t>
            </w:r>
          </w:p>
          <w:p w:rsidR="00984CFB" w:rsidRPr="00984CFB" w:rsidRDefault="00BA7A7F" w:rsidP="00984CFB">
            <w:pPr>
              <w:keepLines w:val="0"/>
              <w:numPr>
                <w:ilvl w:val="0"/>
                <w:numId w:val="12"/>
              </w:numPr>
              <w:spacing w:before="60" w:after="60" w:line="240" w:lineRule="auto"/>
              <w:ind w:left="697" w:hanging="357"/>
              <w:jc w:val="left"/>
              <w:rPr>
                <w:rStyle w:val="ExampletextCharChar"/>
                <w:i w:val="0"/>
                <w:color w:val="auto"/>
                <w:bdr w:val="none" w:sz="0" w:space="0" w:color="auto" w:frame="1"/>
              </w:rPr>
            </w:pPr>
            <w:r w:rsidRPr="00984CFB">
              <w:rPr>
                <w:rStyle w:val="ExampletextCharChar"/>
                <w:i w:val="0"/>
                <w:color w:val="auto"/>
                <w:bdr w:val="none" w:sz="0" w:space="0" w:color="auto" w:frame="1"/>
              </w:rPr>
              <w:t>Program 1.7 – Fuel Tax Credit Scheme</w:t>
            </w:r>
          </w:p>
          <w:p w:rsidR="007E2536" w:rsidRPr="00516D10" w:rsidRDefault="00BA7A7F" w:rsidP="00984CFB">
            <w:pPr>
              <w:keepLines w:val="0"/>
              <w:numPr>
                <w:ilvl w:val="0"/>
                <w:numId w:val="12"/>
              </w:numPr>
              <w:spacing w:before="60" w:after="60" w:line="240" w:lineRule="auto"/>
              <w:ind w:left="697" w:hanging="357"/>
              <w:jc w:val="left"/>
              <w:rPr>
                <w:rStyle w:val="ExampletextCharChar"/>
                <w:i w:val="0"/>
                <w:color w:val="auto"/>
                <w:bdr w:val="none" w:sz="0" w:space="0" w:color="auto" w:frame="1"/>
              </w:rPr>
            </w:pPr>
            <w:r w:rsidRPr="00984CFB">
              <w:rPr>
                <w:rStyle w:val="ExampletextCharChar"/>
                <w:i w:val="0"/>
                <w:color w:val="auto"/>
                <w:bdr w:val="none" w:sz="0" w:space="0" w:color="auto" w:frame="1"/>
              </w:rPr>
              <w:t>Program 1.10 – Research and Development Tax Incentive</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7E2536" w:rsidRPr="00516D10" w:rsidRDefault="00BA7A7F">
            <w:pPr>
              <w:spacing w:before="60" w:after="60" w:line="240" w:lineRule="auto"/>
              <w:rPr>
                <w:rStyle w:val="ExampletextCharChar"/>
                <w:b/>
                <w:i w:val="0"/>
                <w:color w:val="auto"/>
                <w:bdr w:val="none" w:sz="0" w:space="0" w:color="auto" w:frame="1"/>
              </w:rPr>
            </w:pPr>
            <w:r w:rsidRPr="00516D10">
              <w:rPr>
                <w:rStyle w:val="ExampletextCharChar"/>
                <w:b/>
                <w:i w:val="0"/>
                <w:color w:val="auto"/>
                <w:bdr w:val="none" w:sz="0" w:space="0" w:color="auto" w:frame="1"/>
              </w:rPr>
              <w:t>Contribution to Outcome 1 made by linked programs</w:t>
            </w:r>
          </w:p>
          <w:p w:rsidR="007E2536" w:rsidRPr="00833776" w:rsidRDefault="00BA7A7F" w:rsidP="00D255E6">
            <w:pPr>
              <w:spacing w:before="60" w:after="60" w:line="240" w:lineRule="auto"/>
              <w:rPr>
                <w:rStyle w:val="ExampletextCharChar"/>
                <w:i w:val="0"/>
                <w:bdr w:val="none" w:sz="0" w:space="0" w:color="auto" w:frame="1"/>
              </w:rPr>
            </w:pPr>
            <w:r w:rsidRPr="00984CFB">
              <w:rPr>
                <w:rFonts w:cs="Arial"/>
              </w:rPr>
              <w:t xml:space="preserve">The Australian Taxation Office works collaboratively with the department on a number of taxation benefits initiatives. These include the Research and Development (R&amp;D) Tax Incentive, tax incentives for early stage investors (‘angel investors’), the Fuel Tax Credit Scheme, the Early Stage Venture Capital Limited Partnerships tax concessions, Venture Capital Limited Partnerships tax concessions, Pooled Development Funds tax concessions, Australian Venture Capital Fund tax concessions, </w:t>
            </w:r>
            <w:r>
              <w:rPr>
                <w:rFonts w:cs="Arial"/>
              </w:rPr>
              <w:t xml:space="preserve">Junior Minerals Exploration Incentive, </w:t>
            </w:r>
            <w:r w:rsidRPr="00984CFB">
              <w:rPr>
                <w:rFonts w:cs="Arial"/>
              </w:rPr>
              <w:t xml:space="preserve">and </w:t>
            </w:r>
            <w:r w:rsidR="00522155">
              <w:rPr>
                <w:rFonts w:cs="Arial"/>
              </w:rPr>
              <w:t xml:space="preserve">Patent Box for </w:t>
            </w:r>
            <w:r w:rsidRPr="00984CFB">
              <w:rPr>
                <w:rFonts w:cs="Arial"/>
              </w:rPr>
              <w:t>Low</w:t>
            </w:r>
            <w:r w:rsidR="00522155">
              <w:rPr>
                <w:rFonts w:cs="Arial"/>
              </w:rPr>
              <w:t xml:space="preserve"> Emissions Technology</w:t>
            </w:r>
            <w:r w:rsidRPr="00984CFB">
              <w:rPr>
                <w:rFonts w:cs="Arial"/>
              </w:rPr>
              <w:t>.</w:t>
            </w:r>
          </w:p>
        </w:tc>
      </w:tr>
      <w:bookmarkEnd w:id="146"/>
      <w:tr w:rsidR="00253274"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516D10" w:rsidRDefault="00BA7A7F">
            <w:pPr>
              <w:pStyle w:val="ExampleText0"/>
              <w:spacing w:before="60" w:after="60" w:line="240" w:lineRule="auto"/>
              <w:rPr>
                <w:i w:val="0"/>
                <w:color w:val="auto"/>
              </w:rPr>
            </w:pPr>
            <w:r w:rsidRPr="004D028A">
              <w:rPr>
                <w:rStyle w:val="ExampletextCharChar"/>
                <w:b/>
                <w:color w:val="auto"/>
                <w:bdr w:val="none" w:sz="0" w:space="0" w:color="auto" w:frame="1"/>
              </w:rPr>
              <w:t>Australian Trade and Investment Commission</w:t>
            </w:r>
          </w:p>
        </w:tc>
      </w:tr>
      <w:tr w:rsidR="00253274"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516D10" w:rsidRDefault="00BA7A7F">
            <w:pPr>
              <w:spacing w:before="60" w:after="60" w:line="240" w:lineRule="auto"/>
              <w:rPr>
                <w:rStyle w:val="ExampletextCharChar"/>
                <w:b/>
                <w:i w:val="0"/>
                <w:color w:val="auto"/>
              </w:rPr>
            </w:pPr>
            <w:r w:rsidRPr="00516D10">
              <w:rPr>
                <w:rStyle w:val="ExampletextCharChar"/>
                <w:b/>
                <w:i w:val="0"/>
                <w:color w:val="auto"/>
                <w:bdr w:val="none" w:sz="0" w:space="0" w:color="auto" w:frame="1"/>
              </w:rPr>
              <w:t>Programs</w:t>
            </w:r>
          </w:p>
          <w:p w:rsidR="007E2536" w:rsidRPr="00516D10" w:rsidRDefault="00BA7A7F" w:rsidP="004D028A">
            <w:pPr>
              <w:keepLines w:val="0"/>
              <w:numPr>
                <w:ilvl w:val="0"/>
                <w:numId w:val="12"/>
              </w:numPr>
              <w:spacing w:before="60" w:after="60" w:line="240" w:lineRule="auto"/>
              <w:ind w:left="697" w:hanging="357"/>
              <w:jc w:val="left"/>
              <w:rPr>
                <w:rStyle w:val="ExampletextCharChar"/>
                <w:i w:val="0"/>
                <w:color w:val="auto"/>
                <w:bdr w:val="none" w:sz="0" w:space="0" w:color="auto" w:frame="1"/>
              </w:rPr>
            </w:pPr>
            <w:r w:rsidRPr="004D028A">
              <w:rPr>
                <w:rStyle w:val="ExampletextCharChar"/>
                <w:i w:val="0"/>
                <w:color w:val="auto"/>
                <w:bdr w:val="none" w:sz="0" w:space="0" w:color="auto" w:frame="1"/>
              </w:rPr>
              <w:t>Program 1.1 – Promotion of Australia’s export and other international economic interests</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7E2536" w:rsidRPr="00B124D9" w:rsidRDefault="00BA7A7F">
            <w:pPr>
              <w:spacing w:before="60" w:after="60" w:line="240" w:lineRule="auto"/>
              <w:rPr>
                <w:rStyle w:val="ExampletextCharChar"/>
                <w:b/>
                <w:i w:val="0"/>
                <w:color w:val="auto"/>
                <w:bdr w:val="none" w:sz="0" w:space="0" w:color="auto" w:frame="1"/>
              </w:rPr>
            </w:pPr>
            <w:r w:rsidRPr="00B124D9">
              <w:rPr>
                <w:rStyle w:val="ExampletextCharChar"/>
                <w:b/>
                <w:i w:val="0"/>
                <w:color w:val="auto"/>
                <w:bdr w:val="none" w:sz="0" w:space="0" w:color="auto" w:frame="1"/>
              </w:rPr>
              <w:t xml:space="preserve">Contribution to Outcome 1 made by linked programs </w:t>
            </w:r>
          </w:p>
          <w:p w:rsidR="004D028A" w:rsidRPr="004D028A" w:rsidRDefault="00BA7A7F" w:rsidP="004D028A">
            <w:pPr>
              <w:spacing w:before="60" w:after="60" w:line="240" w:lineRule="auto"/>
              <w:rPr>
                <w:rFonts w:cs="Arial"/>
              </w:rPr>
            </w:pPr>
            <w:r w:rsidRPr="004D028A">
              <w:rPr>
                <w:rFonts w:cs="Arial"/>
              </w:rPr>
              <w:t xml:space="preserve">The Australian Trade and Investment Commission (Austrade) promotes Australia’s exports and other international economic interests </w:t>
            </w:r>
            <w:r w:rsidR="00841D15">
              <w:rPr>
                <w:rFonts w:cs="Arial"/>
              </w:rPr>
              <w:t xml:space="preserve">by providing </w:t>
            </w:r>
            <w:r w:rsidRPr="004D028A">
              <w:rPr>
                <w:rFonts w:cs="Arial"/>
              </w:rPr>
              <w:t>information, advice and services to businesses, associations, institutions and government.</w:t>
            </w:r>
          </w:p>
          <w:p w:rsidR="004D028A" w:rsidRPr="004D028A" w:rsidRDefault="00BA7A7F" w:rsidP="004D028A">
            <w:pPr>
              <w:spacing w:before="60" w:after="60" w:line="240" w:lineRule="auto"/>
              <w:rPr>
                <w:rFonts w:cs="Arial"/>
              </w:rPr>
            </w:pPr>
            <w:r w:rsidRPr="004D028A">
              <w:rPr>
                <w:rFonts w:cs="Arial"/>
              </w:rPr>
              <w:t>The department’s administration of the Modern Manufacturing Strategy requires cooperation with Austrade to build global networks, develop resilient supply chains and identify and capitalise on opportunities in the National Manufacturing Priorities.</w:t>
            </w:r>
          </w:p>
          <w:p w:rsidR="004D028A" w:rsidRPr="004D028A" w:rsidRDefault="00BA7A7F" w:rsidP="004D028A">
            <w:pPr>
              <w:spacing w:before="60" w:after="60" w:line="240" w:lineRule="auto"/>
              <w:rPr>
                <w:rFonts w:cs="Arial"/>
              </w:rPr>
            </w:pPr>
            <w:r w:rsidRPr="004D028A">
              <w:rPr>
                <w:rFonts w:cs="Arial"/>
              </w:rPr>
              <w:t>Austrade also cooperates with the department to grow the Australian space industry through the Advancing Space: Australian Civil Space Strategy 2019-28 with the Australian Space Agency.</w:t>
            </w:r>
          </w:p>
          <w:p w:rsidR="007E2536" w:rsidRPr="00833776" w:rsidRDefault="00BA7A7F" w:rsidP="004D028A">
            <w:pPr>
              <w:spacing w:before="60" w:after="60" w:line="240" w:lineRule="auto"/>
              <w:rPr>
                <w:rStyle w:val="ExampletextCharChar"/>
                <w:i w:val="0"/>
              </w:rPr>
            </w:pPr>
            <w:r w:rsidRPr="004D028A">
              <w:rPr>
                <w:rFonts w:cs="Arial"/>
              </w:rPr>
              <w:t>Finally, the department cooperates with Austrade to grow Australia’s cyber security industry in support of the 2020 Cyber Security Strategy and 2021 Digital Economy Strategy.</w:t>
            </w:r>
          </w:p>
        </w:tc>
      </w:tr>
      <w:tr w:rsidR="00253274"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B124D9" w:rsidRDefault="00BA7A7F">
            <w:pPr>
              <w:pStyle w:val="ExampleText0"/>
              <w:spacing w:before="60" w:after="60" w:line="240" w:lineRule="auto"/>
              <w:rPr>
                <w:i w:val="0"/>
                <w:color w:val="auto"/>
              </w:rPr>
            </w:pPr>
            <w:r w:rsidRPr="004D028A">
              <w:rPr>
                <w:rStyle w:val="ExampletextCharChar"/>
                <w:b/>
                <w:color w:val="auto"/>
                <w:bdr w:val="none" w:sz="0" w:space="0" w:color="auto" w:frame="1"/>
              </w:rPr>
              <w:t>Bureau of Meteorology</w:t>
            </w:r>
          </w:p>
        </w:tc>
      </w:tr>
      <w:tr w:rsidR="00253274"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B124D9" w:rsidRDefault="00BA7A7F">
            <w:pPr>
              <w:spacing w:before="60" w:after="60" w:line="240" w:lineRule="auto"/>
              <w:rPr>
                <w:rStyle w:val="ExampletextCharChar"/>
                <w:b/>
                <w:i w:val="0"/>
                <w:color w:val="auto"/>
              </w:rPr>
            </w:pPr>
            <w:r w:rsidRPr="00B124D9">
              <w:rPr>
                <w:rStyle w:val="ExampletextCharChar"/>
                <w:b/>
                <w:i w:val="0"/>
                <w:color w:val="auto"/>
                <w:bdr w:val="none" w:sz="0" w:space="0" w:color="auto" w:frame="1"/>
              </w:rPr>
              <w:t>Programs</w:t>
            </w:r>
          </w:p>
          <w:p w:rsidR="007E2536" w:rsidRPr="00B124D9" w:rsidRDefault="00BA7A7F" w:rsidP="004D028A">
            <w:pPr>
              <w:keepLines w:val="0"/>
              <w:numPr>
                <w:ilvl w:val="0"/>
                <w:numId w:val="12"/>
              </w:numPr>
              <w:spacing w:before="60" w:after="60" w:line="240" w:lineRule="auto"/>
              <w:ind w:left="697" w:hanging="357"/>
              <w:jc w:val="left"/>
              <w:rPr>
                <w:rStyle w:val="ExampletextCharChar"/>
                <w:i w:val="0"/>
                <w:color w:val="auto"/>
                <w:bdr w:val="none" w:sz="0" w:space="0" w:color="auto" w:frame="1"/>
              </w:rPr>
            </w:pPr>
            <w:r w:rsidRPr="004D028A">
              <w:rPr>
                <w:rStyle w:val="ExampletextCharChar"/>
                <w:i w:val="0"/>
                <w:color w:val="auto"/>
                <w:bdr w:val="none" w:sz="0" w:space="0" w:color="auto" w:frame="1"/>
              </w:rPr>
              <w:tab/>
              <w:t>Program 1.1 – Bureau of Meteorology</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7E2536" w:rsidRPr="0079299F" w:rsidRDefault="00BA7A7F">
            <w:pPr>
              <w:spacing w:before="60" w:after="60" w:line="240" w:lineRule="auto"/>
              <w:rPr>
                <w:rStyle w:val="ExampletextCharChar"/>
                <w:b/>
                <w:i w:val="0"/>
                <w:color w:val="auto"/>
                <w:bdr w:val="none" w:sz="0" w:space="0" w:color="auto" w:frame="1"/>
              </w:rPr>
            </w:pPr>
            <w:r w:rsidRPr="0079299F">
              <w:rPr>
                <w:rStyle w:val="ExampletextCharChar"/>
                <w:b/>
                <w:i w:val="0"/>
                <w:color w:val="auto"/>
                <w:bdr w:val="none" w:sz="0" w:space="0" w:color="auto" w:frame="1"/>
              </w:rPr>
              <w:t>Contribution to Outcome 1 made by linked programs</w:t>
            </w:r>
          </w:p>
          <w:p w:rsidR="007E2536" w:rsidRPr="00833776" w:rsidRDefault="00BA7A7F" w:rsidP="0079299F">
            <w:pPr>
              <w:spacing w:before="60" w:after="60" w:line="240" w:lineRule="auto"/>
              <w:rPr>
                <w:rStyle w:val="ExampletextCharChar"/>
                <w:i w:val="0"/>
                <w:bdr w:val="none" w:sz="0" w:space="0" w:color="auto" w:frame="1"/>
              </w:rPr>
            </w:pPr>
            <w:r w:rsidRPr="004D028A">
              <w:rPr>
                <w:rFonts w:cs="Arial"/>
              </w:rPr>
              <w:t>The Bureau of Meteorology works with the department (through the Australian Space Agency) to provide expertise in space weather and earth observations to achieve outcomes across the National Priority Areas as outlined in Advancing Space: Australian Civil Space Strategy 2019–28.</w:t>
            </w:r>
          </w:p>
        </w:tc>
      </w:tr>
      <w:tr w:rsidR="00253274"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79299F" w:rsidRDefault="00BA7A7F">
            <w:pPr>
              <w:pStyle w:val="ExampleText0"/>
              <w:spacing w:before="60" w:after="60" w:line="240" w:lineRule="auto"/>
              <w:rPr>
                <w:i w:val="0"/>
                <w:color w:val="auto"/>
              </w:rPr>
            </w:pPr>
            <w:r w:rsidRPr="004D028A">
              <w:rPr>
                <w:rStyle w:val="ExampletextCharChar"/>
                <w:b/>
                <w:color w:val="auto"/>
                <w:bdr w:val="none" w:sz="0" w:space="0" w:color="auto" w:frame="1"/>
              </w:rPr>
              <w:t>Department of Agriculture, Water and the Environment</w:t>
            </w:r>
          </w:p>
        </w:tc>
      </w:tr>
      <w:tr w:rsidR="00253274"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79299F" w:rsidRDefault="00BA7A7F">
            <w:pPr>
              <w:spacing w:before="60" w:after="60" w:line="240" w:lineRule="auto"/>
              <w:rPr>
                <w:rStyle w:val="ExampletextCharChar"/>
                <w:b/>
                <w:i w:val="0"/>
                <w:color w:val="auto"/>
              </w:rPr>
            </w:pPr>
            <w:r w:rsidRPr="0079299F">
              <w:rPr>
                <w:rStyle w:val="ExampletextCharChar"/>
                <w:b/>
                <w:i w:val="0"/>
                <w:color w:val="auto"/>
                <w:bdr w:val="none" w:sz="0" w:space="0" w:color="auto" w:frame="1"/>
              </w:rPr>
              <w:t>Programs</w:t>
            </w:r>
          </w:p>
          <w:p w:rsidR="004D028A" w:rsidRPr="004D028A" w:rsidRDefault="00BA7A7F" w:rsidP="004D028A">
            <w:pPr>
              <w:keepLines w:val="0"/>
              <w:numPr>
                <w:ilvl w:val="0"/>
                <w:numId w:val="12"/>
              </w:numPr>
              <w:spacing w:before="60" w:after="60" w:line="240" w:lineRule="auto"/>
              <w:ind w:left="697" w:hanging="357"/>
              <w:jc w:val="left"/>
              <w:rPr>
                <w:rStyle w:val="ExampletextCharChar"/>
                <w:i w:val="0"/>
                <w:color w:val="auto"/>
                <w:bdr w:val="none" w:sz="0" w:space="0" w:color="auto" w:frame="1"/>
              </w:rPr>
            </w:pPr>
            <w:r w:rsidRPr="004D028A">
              <w:rPr>
                <w:rStyle w:val="ExampletextCharChar"/>
                <w:i w:val="0"/>
                <w:color w:val="auto"/>
                <w:bdr w:val="none" w:sz="0" w:space="0" w:color="auto" w:frame="1"/>
              </w:rPr>
              <w:t>Program 1.1 – Sustainable Management of Natural Resources and the Environment</w:t>
            </w:r>
          </w:p>
          <w:p w:rsidR="004D028A" w:rsidRPr="004D028A" w:rsidRDefault="00BA7A7F" w:rsidP="004D028A">
            <w:pPr>
              <w:keepLines w:val="0"/>
              <w:numPr>
                <w:ilvl w:val="0"/>
                <w:numId w:val="12"/>
              </w:numPr>
              <w:spacing w:before="60" w:after="60" w:line="240" w:lineRule="auto"/>
              <w:ind w:left="697" w:hanging="357"/>
              <w:jc w:val="left"/>
              <w:rPr>
                <w:rStyle w:val="ExampletextCharChar"/>
                <w:i w:val="0"/>
                <w:color w:val="auto"/>
                <w:bdr w:val="none" w:sz="0" w:space="0" w:color="auto" w:frame="1"/>
              </w:rPr>
            </w:pPr>
            <w:r w:rsidRPr="004D028A">
              <w:rPr>
                <w:rStyle w:val="ExampletextCharChar"/>
                <w:i w:val="0"/>
                <w:color w:val="auto"/>
                <w:bdr w:val="none" w:sz="0" w:space="0" w:color="auto" w:frame="1"/>
              </w:rPr>
              <w:t>Program 1.3 – Commonwealth Environmental Water</w:t>
            </w:r>
          </w:p>
          <w:p w:rsidR="004D028A" w:rsidRPr="004D028A" w:rsidRDefault="00BA7A7F" w:rsidP="004D028A">
            <w:pPr>
              <w:keepLines w:val="0"/>
              <w:numPr>
                <w:ilvl w:val="0"/>
                <w:numId w:val="12"/>
              </w:numPr>
              <w:spacing w:before="60" w:after="60" w:line="240" w:lineRule="auto"/>
              <w:ind w:left="697" w:hanging="357"/>
              <w:jc w:val="left"/>
              <w:rPr>
                <w:rStyle w:val="ExampletextCharChar"/>
                <w:i w:val="0"/>
                <w:color w:val="auto"/>
                <w:bdr w:val="none" w:sz="0" w:space="0" w:color="auto" w:frame="1"/>
              </w:rPr>
            </w:pPr>
            <w:r w:rsidRPr="004D028A">
              <w:rPr>
                <w:rStyle w:val="ExampletextCharChar"/>
                <w:i w:val="0"/>
                <w:color w:val="auto"/>
                <w:bdr w:val="none" w:sz="0" w:space="0" w:color="auto" w:frame="1"/>
              </w:rPr>
              <w:t>Program 2.1 – Antarctica: Science, Policy and Presence</w:t>
            </w:r>
          </w:p>
          <w:p w:rsidR="004D028A" w:rsidRPr="004D028A" w:rsidRDefault="00BA7A7F" w:rsidP="004D028A">
            <w:pPr>
              <w:keepLines w:val="0"/>
              <w:numPr>
                <w:ilvl w:val="0"/>
                <w:numId w:val="12"/>
              </w:numPr>
              <w:spacing w:before="60" w:after="60" w:line="240" w:lineRule="auto"/>
              <w:ind w:left="697" w:hanging="357"/>
              <w:jc w:val="left"/>
              <w:rPr>
                <w:rStyle w:val="ExampletextCharChar"/>
                <w:i w:val="0"/>
                <w:color w:val="auto"/>
                <w:bdr w:val="none" w:sz="0" w:space="0" w:color="auto" w:frame="1"/>
              </w:rPr>
            </w:pPr>
            <w:r w:rsidRPr="004D028A">
              <w:rPr>
                <w:rStyle w:val="ExampletextCharChar"/>
                <w:i w:val="0"/>
                <w:color w:val="auto"/>
                <w:bdr w:val="none" w:sz="0" w:space="0" w:color="auto" w:frame="1"/>
              </w:rPr>
              <w:t>Program 3.2 – Sustainable Management - Natural Resources</w:t>
            </w:r>
          </w:p>
          <w:p w:rsidR="004D028A" w:rsidRPr="004D028A" w:rsidRDefault="00BA7A7F" w:rsidP="004D028A">
            <w:pPr>
              <w:keepLines w:val="0"/>
              <w:numPr>
                <w:ilvl w:val="0"/>
                <w:numId w:val="12"/>
              </w:numPr>
              <w:spacing w:before="60" w:after="60" w:line="240" w:lineRule="auto"/>
              <w:ind w:left="697" w:hanging="357"/>
              <w:jc w:val="left"/>
              <w:rPr>
                <w:rStyle w:val="ExampletextCharChar"/>
                <w:i w:val="0"/>
                <w:color w:val="auto"/>
                <w:bdr w:val="none" w:sz="0" w:space="0" w:color="auto" w:frame="1"/>
              </w:rPr>
            </w:pPr>
            <w:r w:rsidRPr="004D028A">
              <w:rPr>
                <w:rStyle w:val="ExampletextCharChar"/>
                <w:i w:val="0"/>
                <w:color w:val="auto"/>
                <w:bdr w:val="none" w:sz="0" w:space="0" w:color="auto" w:frame="1"/>
              </w:rPr>
              <w:t>Program 3.10 – Agricultural Resources</w:t>
            </w:r>
          </w:p>
          <w:p w:rsidR="007E2536" w:rsidRPr="0079299F" w:rsidRDefault="00BA7A7F" w:rsidP="004D028A">
            <w:pPr>
              <w:keepLines w:val="0"/>
              <w:numPr>
                <w:ilvl w:val="0"/>
                <w:numId w:val="12"/>
              </w:numPr>
              <w:spacing w:before="60" w:after="60" w:line="240" w:lineRule="auto"/>
              <w:ind w:left="697" w:hanging="357"/>
              <w:jc w:val="left"/>
              <w:rPr>
                <w:rStyle w:val="ExampletextCharChar"/>
                <w:i w:val="0"/>
                <w:color w:val="auto"/>
                <w:bdr w:val="none" w:sz="0" w:space="0" w:color="auto" w:frame="1"/>
              </w:rPr>
            </w:pPr>
            <w:r w:rsidRPr="004D028A">
              <w:rPr>
                <w:rStyle w:val="ExampletextCharChar"/>
                <w:i w:val="0"/>
                <w:color w:val="auto"/>
                <w:bdr w:val="none" w:sz="0" w:space="0" w:color="auto" w:frame="1"/>
              </w:rPr>
              <w:t>Program 4.1 – Biosecurity and Export Services</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7E2536" w:rsidRPr="0079299F" w:rsidRDefault="00BA7A7F">
            <w:pPr>
              <w:spacing w:before="60" w:after="60" w:line="240" w:lineRule="auto"/>
              <w:rPr>
                <w:rStyle w:val="ExampletextCharChar"/>
                <w:b/>
                <w:i w:val="0"/>
                <w:color w:val="auto"/>
                <w:bdr w:val="none" w:sz="0" w:space="0" w:color="auto" w:frame="1"/>
              </w:rPr>
            </w:pPr>
            <w:r w:rsidRPr="0079299F">
              <w:rPr>
                <w:rStyle w:val="ExampletextCharChar"/>
                <w:b/>
                <w:i w:val="0"/>
                <w:color w:val="auto"/>
                <w:bdr w:val="none" w:sz="0" w:space="0" w:color="auto" w:frame="1"/>
              </w:rPr>
              <w:t>Contribution to Outcome 1 made by linked programs</w:t>
            </w:r>
          </w:p>
          <w:p w:rsidR="004D028A" w:rsidRPr="004D028A" w:rsidRDefault="00BA7A7F" w:rsidP="004D028A">
            <w:pPr>
              <w:spacing w:before="60" w:after="60" w:line="240" w:lineRule="auto"/>
              <w:rPr>
                <w:rFonts w:cs="Arial"/>
              </w:rPr>
            </w:pPr>
            <w:r w:rsidRPr="004D028A">
              <w:rPr>
                <w:rFonts w:cs="Arial"/>
              </w:rPr>
              <w:t xml:space="preserve">The Department of Agriculture, Water and the Environment (DAWE) works collaboratively with the department on the Australian Antarctic Science Council and the ongoing protection of the Alligator Rivers Region from impacts of mining uranium at Ranger </w:t>
            </w:r>
            <w:r w:rsidR="00841D15">
              <w:rPr>
                <w:rFonts w:cs="Arial"/>
              </w:rPr>
              <w:t>Uranium M</w:t>
            </w:r>
            <w:r w:rsidRPr="004D028A">
              <w:rPr>
                <w:rFonts w:cs="Arial"/>
              </w:rPr>
              <w:t>ine.</w:t>
            </w:r>
          </w:p>
          <w:p w:rsidR="004D028A" w:rsidRPr="004D028A" w:rsidRDefault="00BA7A7F" w:rsidP="004D028A">
            <w:pPr>
              <w:spacing w:before="60" w:after="60" w:line="240" w:lineRule="auto"/>
              <w:rPr>
                <w:rFonts w:cs="Arial"/>
              </w:rPr>
            </w:pPr>
            <w:r w:rsidRPr="004D028A">
              <w:rPr>
                <w:rFonts w:cs="Arial"/>
              </w:rPr>
              <w:t>The department also works collaboratively with DAWE to support manufacturers in the food and beverage and recycling sectors through the Modern Manufacturing Strategy.</w:t>
            </w:r>
          </w:p>
          <w:p w:rsidR="007E2536" w:rsidRPr="00833776" w:rsidRDefault="00BA7A7F" w:rsidP="001546AB">
            <w:pPr>
              <w:spacing w:before="60" w:after="60" w:line="240" w:lineRule="auto"/>
              <w:rPr>
                <w:rStyle w:val="ExampletextCharChar"/>
                <w:i w:val="0"/>
                <w:bdr w:val="none" w:sz="0" w:space="0" w:color="auto" w:frame="1"/>
              </w:rPr>
            </w:pPr>
            <w:r w:rsidRPr="004D028A">
              <w:rPr>
                <w:rFonts w:cs="Arial"/>
              </w:rPr>
              <w:t>Through the National Measurement Institute, DAWE access</w:t>
            </w:r>
            <w:r w:rsidR="00841D15">
              <w:rPr>
                <w:rFonts w:cs="Arial"/>
              </w:rPr>
              <w:t>es</w:t>
            </w:r>
            <w:r w:rsidRPr="004D028A">
              <w:rPr>
                <w:rFonts w:cs="Arial"/>
              </w:rPr>
              <w:t xml:space="preserve"> analytical laboratory services and expertise to support the National Residue Survey and Imported Food Inspection Scheme, and environmental services.</w:t>
            </w:r>
          </w:p>
        </w:tc>
      </w:tr>
      <w:tr w:rsidR="00253274"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79299F" w:rsidRDefault="00BA7A7F">
            <w:pPr>
              <w:pStyle w:val="ExampleText0"/>
              <w:spacing w:before="60" w:after="60" w:line="240" w:lineRule="auto"/>
              <w:rPr>
                <w:i w:val="0"/>
                <w:color w:val="auto"/>
              </w:rPr>
            </w:pPr>
            <w:r w:rsidRPr="00EC783E">
              <w:rPr>
                <w:rStyle w:val="ExampletextCharChar"/>
                <w:b/>
                <w:color w:val="auto"/>
                <w:bdr w:val="none" w:sz="0" w:space="0" w:color="auto" w:frame="1"/>
              </w:rPr>
              <w:t>Department of Defence</w:t>
            </w:r>
          </w:p>
        </w:tc>
      </w:tr>
      <w:tr w:rsidR="00253274"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79299F" w:rsidRDefault="00BA7A7F">
            <w:pPr>
              <w:spacing w:before="60" w:after="60" w:line="240" w:lineRule="auto"/>
              <w:rPr>
                <w:rStyle w:val="ExampletextCharChar"/>
                <w:b/>
                <w:i w:val="0"/>
                <w:color w:val="auto"/>
              </w:rPr>
            </w:pPr>
            <w:r w:rsidRPr="0079299F">
              <w:rPr>
                <w:rStyle w:val="ExampletextCharChar"/>
                <w:b/>
                <w:i w:val="0"/>
                <w:color w:val="auto"/>
                <w:bdr w:val="none" w:sz="0" w:space="0" w:color="auto" w:frame="1"/>
              </w:rPr>
              <w:t>Programs</w:t>
            </w:r>
          </w:p>
          <w:p w:rsidR="00EC783E" w:rsidRPr="00EC783E" w:rsidRDefault="00BA7A7F" w:rsidP="00EC783E">
            <w:pPr>
              <w:keepLines w:val="0"/>
              <w:numPr>
                <w:ilvl w:val="0"/>
                <w:numId w:val="12"/>
              </w:numPr>
              <w:spacing w:before="60" w:after="60" w:line="240" w:lineRule="auto"/>
              <w:ind w:left="697" w:hanging="357"/>
              <w:jc w:val="left"/>
              <w:rPr>
                <w:rStyle w:val="ExampletextCharChar"/>
                <w:i w:val="0"/>
                <w:color w:val="auto"/>
                <w:bdr w:val="none" w:sz="0" w:space="0" w:color="auto" w:frame="1"/>
              </w:rPr>
            </w:pPr>
            <w:r w:rsidRPr="00EC783E">
              <w:rPr>
                <w:rStyle w:val="ExampletextCharChar"/>
                <w:i w:val="0"/>
                <w:color w:val="auto"/>
                <w:bdr w:val="none" w:sz="0" w:space="0" w:color="auto" w:frame="1"/>
              </w:rPr>
              <w:t>Program 2.1 – Strategic Policy and Intelligence</w:t>
            </w:r>
          </w:p>
          <w:p w:rsidR="00EC783E" w:rsidRPr="00EC783E" w:rsidRDefault="00BA7A7F" w:rsidP="00EC783E">
            <w:pPr>
              <w:keepLines w:val="0"/>
              <w:numPr>
                <w:ilvl w:val="0"/>
                <w:numId w:val="12"/>
              </w:numPr>
              <w:spacing w:before="60" w:after="60" w:line="240" w:lineRule="auto"/>
              <w:ind w:left="697" w:hanging="357"/>
              <w:jc w:val="left"/>
              <w:rPr>
                <w:rStyle w:val="ExampletextCharChar"/>
                <w:i w:val="0"/>
                <w:color w:val="auto"/>
                <w:bdr w:val="none" w:sz="0" w:space="0" w:color="auto" w:frame="1"/>
              </w:rPr>
            </w:pPr>
            <w:r w:rsidRPr="00EC783E">
              <w:rPr>
                <w:rStyle w:val="ExampletextCharChar"/>
                <w:i w:val="0"/>
                <w:color w:val="auto"/>
                <w:bdr w:val="none" w:sz="0" w:space="0" w:color="auto" w:frame="1"/>
              </w:rPr>
              <w:t>Program 2.9 – Capability, Acquisition and Sustainment</w:t>
            </w:r>
          </w:p>
          <w:p w:rsidR="007E2536" w:rsidRDefault="00BA7A7F" w:rsidP="00EC783E">
            <w:pPr>
              <w:keepLines w:val="0"/>
              <w:numPr>
                <w:ilvl w:val="0"/>
                <w:numId w:val="12"/>
              </w:numPr>
              <w:spacing w:before="60" w:after="60" w:line="240" w:lineRule="auto"/>
              <w:ind w:left="697" w:hanging="357"/>
              <w:jc w:val="left"/>
              <w:rPr>
                <w:rStyle w:val="ExampletextCharChar"/>
                <w:i w:val="0"/>
                <w:color w:val="auto"/>
                <w:bdr w:val="none" w:sz="0" w:space="0" w:color="auto" w:frame="1"/>
              </w:rPr>
            </w:pPr>
            <w:r w:rsidRPr="00EC783E">
              <w:rPr>
                <w:rStyle w:val="ExampletextCharChar"/>
                <w:i w:val="0"/>
                <w:color w:val="auto"/>
                <w:bdr w:val="none" w:sz="0" w:space="0" w:color="auto" w:frame="1"/>
              </w:rPr>
              <w:t>Program 2.13 – Defence Science and Technology</w:t>
            </w:r>
          </w:p>
          <w:p w:rsidR="005459B7" w:rsidRPr="0079299F" w:rsidRDefault="00BA7A7F" w:rsidP="005459B7">
            <w:pPr>
              <w:keepLines w:val="0"/>
              <w:numPr>
                <w:ilvl w:val="0"/>
                <w:numId w:val="12"/>
              </w:numPr>
              <w:spacing w:before="60" w:after="60" w:line="240" w:lineRule="auto"/>
              <w:ind w:left="697" w:hanging="357"/>
              <w:jc w:val="left"/>
              <w:rPr>
                <w:rStyle w:val="ExampletextCharChar"/>
                <w:i w:val="0"/>
                <w:color w:val="auto"/>
                <w:bdr w:val="none" w:sz="0" w:space="0" w:color="auto" w:frame="1"/>
              </w:rPr>
            </w:pPr>
            <w:r w:rsidRPr="005459B7">
              <w:rPr>
                <w:rStyle w:val="ExampletextCharChar"/>
                <w:i w:val="0"/>
                <w:color w:val="auto"/>
                <w:bdr w:val="none" w:sz="0" w:space="0" w:color="auto" w:frame="1"/>
              </w:rPr>
              <w:t xml:space="preserve">Program 2.14 </w:t>
            </w:r>
            <w:r w:rsidR="00F66A6A" w:rsidRPr="00EC783E">
              <w:rPr>
                <w:rStyle w:val="ExampletextCharChar"/>
                <w:i w:val="0"/>
                <w:color w:val="auto"/>
                <w:bdr w:val="none" w:sz="0" w:space="0" w:color="auto" w:frame="1"/>
              </w:rPr>
              <w:t>–</w:t>
            </w:r>
            <w:r w:rsidRPr="005459B7">
              <w:rPr>
                <w:rStyle w:val="ExampletextCharChar"/>
                <w:i w:val="0"/>
                <w:color w:val="auto"/>
                <w:bdr w:val="none" w:sz="0" w:space="0" w:color="auto" w:frame="1"/>
              </w:rPr>
              <w:t>Defence Intelligence</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7E2536" w:rsidRPr="0079299F" w:rsidRDefault="00BA7A7F">
            <w:pPr>
              <w:spacing w:before="60" w:after="60" w:line="240" w:lineRule="auto"/>
              <w:rPr>
                <w:rStyle w:val="ExampletextCharChar"/>
                <w:b/>
                <w:i w:val="0"/>
                <w:color w:val="auto"/>
                <w:bdr w:val="none" w:sz="0" w:space="0" w:color="auto" w:frame="1"/>
              </w:rPr>
            </w:pPr>
            <w:r w:rsidRPr="0079299F">
              <w:rPr>
                <w:rStyle w:val="ExampletextCharChar"/>
                <w:b/>
                <w:i w:val="0"/>
                <w:color w:val="auto"/>
                <w:bdr w:val="none" w:sz="0" w:space="0" w:color="auto" w:frame="1"/>
              </w:rPr>
              <w:t xml:space="preserve">Contribution to Outcome 1 made by linked programs </w:t>
            </w:r>
          </w:p>
          <w:p w:rsidR="00EC783E" w:rsidRPr="00EC783E" w:rsidRDefault="00BA7A7F" w:rsidP="00EC783E">
            <w:pPr>
              <w:spacing w:before="60" w:after="60" w:line="240" w:lineRule="auto"/>
              <w:rPr>
                <w:rFonts w:cs="Arial"/>
              </w:rPr>
            </w:pPr>
            <w:r w:rsidRPr="00EC783E">
              <w:rPr>
                <w:rFonts w:cs="Arial"/>
              </w:rPr>
              <w:t>The Department of Defence works collaboratively with the department to grow and provide greater opportunities for Australia’s Defence Projects to support job creation and economic growth. This includes a focus on the National Naval Shipbuilding Enterprise, supporting the Nuclear-Powered Submarine Taskforce, Australian Industrial Capability Program and Sovereign Industrial Capability Priorities and the Sovereign Guided Weapons and Explosive Ordnance Enterprise, as well as the linkages between defence industry policy and broader industry policy.</w:t>
            </w:r>
          </w:p>
          <w:p w:rsidR="00EC783E" w:rsidRPr="00EC783E" w:rsidRDefault="00BA7A7F" w:rsidP="00EC783E">
            <w:pPr>
              <w:spacing w:before="60" w:after="60" w:line="240" w:lineRule="auto"/>
              <w:rPr>
                <w:rFonts w:cs="Arial"/>
              </w:rPr>
            </w:pPr>
            <w:r w:rsidRPr="00EC783E">
              <w:rPr>
                <w:rFonts w:cs="Arial"/>
              </w:rPr>
              <w:t>The department also focuses on maximising opportunities for Australian industry involvement in Defence procurement and building scale and resilience in defence manufacturing through the Modern Manufacturing Strategy.</w:t>
            </w:r>
          </w:p>
          <w:p w:rsidR="00EC783E" w:rsidRDefault="00BA7A7F" w:rsidP="00EC783E">
            <w:pPr>
              <w:spacing w:before="60" w:after="60" w:line="240" w:lineRule="auto"/>
              <w:rPr>
                <w:rFonts w:cs="Arial"/>
              </w:rPr>
            </w:pPr>
            <w:r w:rsidRPr="00EC783E">
              <w:rPr>
                <w:rFonts w:cs="Arial"/>
              </w:rPr>
              <w:t>The department works with the Department of Defence to de</w:t>
            </w:r>
            <w:r w:rsidR="00841D15">
              <w:rPr>
                <w:rFonts w:cs="Arial"/>
              </w:rPr>
              <w:t xml:space="preserve">liver </w:t>
            </w:r>
            <w:r w:rsidRPr="00EC783E">
              <w:rPr>
                <w:rFonts w:cs="Arial"/>
              </w:rPr>
              <w:t>the Advancing Space: Australian Civil Space Strategy 2019–28 by collaborating on aligned initiatives including the development of technical roadmaps under each of the National Civil Space Priorities.</w:t>
            </w:r>
          </w:p>
          <w:p w:rsidR="005459B7" w:rsidRPr="00EC783E" w:rsidRDefault="00BA7A7F" w:rsidP="00EC783E">
            <w:pPr>
              <w:spacing w:before="60" w:after="60" w:line="240" w:lineRule="auto"/>
              <w:rPr>
                <w:rFonts w:cs="Arial"/>
              </w:rPr>
            </w:pPr>
            <w:r w:rsidRPr="005459B7">
              <w:rPr>
                <w:rFonts w:cs="Arial"/>
              </w:rPr>
              <w:t xml:space="preserve">In November 2021, the Australian Space Agency announced a 10-year plan, known as The Earth Observation from Space Roadmap, to support growth in the Australian space sector. The Department of Defence contributes to the </w:t>
            </w:r>
            <w:r w:rsidR="00841D15">
              <w:rPr>
                <w:rFonts w:cs="Arial"/>
              </w:rPr>
              <w:t>r</w:t>
            </w:r>
            <w:r w:rsidRPr="005459B7">
              <w:rPr>
                <w:rFonts w:cs="Arial"/>
              </w:rPr>
              <w:t>oadmap by supporting the activities of a number of entities in the Industry Portfolio, including the department, to deliver the National Space Mission for Earth Observation.</w:t>
            </w:r>
          </w:p>
          <w:p w:rsidR="007E2536" w:rsidRPr="00833776" w:rsidRDefault="00BA7A7F" w:rsidP="00EC783E">
            <w:pPr>
              <w:spacing w:before="60" w:after="60" w:line="240" w:lineRule="auto"/>
              <w:rPr>
                <w:rStyle w:val="ExampletextCharChar"/>
                <w:i w:val="0"/>
                <w:bdr w:val="none" w:sz="0" w:space="0" w:color="auto" w:frame="1"/>
              </w:rPr>
            </w:pPr>
            <w:r w:rsidRPr="00EC783E">
              <w:rPr>
                <w:rFonts w:cs="Arial"/>
              </w:rPr>
              <w:t>The department works collaboratively with the Department of Defence to deliver teacher professional learning activities across Australia as part of the National Rollout of Questacon’s Engineering is Elementary program. The funding for Engineering is Elementary has been extended for 6 months in the 2022–23 financial year.</w:t>
            </w:r>
          </w:p>
        </w:tc>
      </w:tr>
      <w:tr w:rsidR="00253274"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79299F" w:rsidRDefault="00BA7A7F">
            <w:pPr>
              <w:pStyle w:val="ExampleText0"/>
              <w:spacing w:before="60" w:after="60" w:line="240" w:lineRule="auto"/>
              <w:rPr>
                <w:i w:val="0"/>
                <w:color w:val="auto"/>
              </w:rPr>
            </w:pPr>
            <w:r w:rsidRPr="00EC783E">
              <w:rPr>
                <w:rStyle w:val="ExampletextCharChar"/>
                <w:b/>
                <w:color w:val="auto"/>
                <w:bdr w:val="none" w:sz="0" w:space="0" w:color="auto" w:frame="1"/>
              </w:rPr>
              <w:t>Department of Education, Skills and Employment</w:t>
            </w:r>
          </w:p>
        </w:tc>
      </w:tr>
      <w:tr w:rsidR="00253274"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79299F" w:rsidRDefault="00BA7A7F">
            <w:pPr>
              <w:spacing w:before="60" w:after="60" w:line="240" w:lineRule="auto"/>
              <w:rPr>
                <w:rStyle w:val="ExampletextCharChar"/>
                <w:b/>
                <w:i w:val="0"/>
                <w:color w:val="auto"/>
              </w:rPr>
            </w:pPr>
            <w:r w:rsidRPr="0079299F">
              <w:rPr>
                <w:rStyle w:val="ExampletextCharChar"/>
                <w:b/>
                <w:i w:val="0"/>
                <w:color w:val="auto"/>
                <w:bdr w:val="none" w:sz="0" w:space="0" w:color="auto" w:frame="1"/>
              </w:rPr>
              <w:t>Programs</w:t>
            </w:r>
          </w:p>
          <w:p w:rsidR="00EC783E" w:rsidRPr="00EC783E" w:rsidRDefault="00BA7A7F" w:rsidP="00EC783E">
            <w:pPr>
              <w:keepLines w:val="0"/>
              <w:numPr>
                <w:ilvl w:val="0"/>
                <w:numId w:val="12"/>
              </w:numPr>
              <w:spacing w:before="60" w:after="60" w:line="240" w:lineRule="auto"/>
              <w:ind w:left="720"/>
              <w:rPr>
                <w:rStyle w:val="ExampletextCharChar"/>
                <w:i w:val="0"/>
                <w:color w:val="auto"/>
                <w:bdr w:val="none" w:sz="0" w:space="0" w:color="auto" w:frame="1"/>
              </w:rPr>
            </w:pPr>
            <w:r w:rsidRPr="00EC783E">
              <w:rPr>
                <w:rStyle w:val="ExampletextCharChar"/>
                <w:i w:val="0"/>
                <w:color w:val="auto"/>
                <w:bdr w:val="none" w:sz="0" w:space="0" w:color="auto" w:frame="1"/>
              </w:rPr>
              <w:t>Program 2.6 – Research capacity</w:t>
            </w:r>
          </w:p>
          <w:p w:rsidR="007E2536" w:rsidRPr="0079299F" w:rsidRDefault="00BA7A7F" w:rsidP="00EC783E">
            <w:pPr>
              <w:keepLines w:val="0"/>
              <w:numPr>
                <w:ilvl w:val="0"/>
                <w:numId w:val="12"/>
              </w:numPr>
              <w:spacing w:before="60" w:after="60" w:line="240" w:lineRule="auto"/>
              <w:ind w:left="720"/>
              <w:rPr>
                <w:rStyle w:val="ExampletextCharChar"/>
                <w:i w:val="0"/>
                <w:color w:val="auto"/>
                <w:bdr w:val="none" w:sz="0" w:space="0" w:color="auto" w:frame="1"/>
              </w:rPr>
            </w:pPr>
            <w:r w:rsidRPr="00EC783E">
              <w:rPr>
                <w:rStyle w:val="ExampletextCharChar"/>
                <w:i w:val="0"/>
                <w:color w:val="auto"/>
                <w:bdr w:val="none" w:sz="0" w:space="0" w:color="auto" w:frame="1"/>
              </w:rPr>
              <w:t>Program 4.1 – Employment Services</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7E2536" w:rsidRPr="0079299F" w:rsidRDefault="00BA7A7F">
            <w:pPr>
              <w:spacing w:before="60" w:after="60" w:line="240" w:lineRule="auto"/>
              <w:rPr>
                <w:rStyle w:val="ExampletextCharChar"/>
                <w:b/>
                <w:i w:val="0"/>
                <w:color w:val="auto"/>
                <w:bdr w:val="none" w:sz="0" w:space="0" w:color="auto" w:frame="1"/>
              </w:rPr>
            </w:pPr>
            <w:r w:rsidRPr="0079299F">
              <w:rPr>
                <w:rStyle w:val="ExampletextCharChar"/>
                <w:b/>
                <w:i w:val="0"/>
                <w:color w:val="auto"/>
                <w:bdr w:val="none" w:sz="0" w:space="0" w:color="auto" w:frame="1"/>
              </w:rPr>
              <w:t>Contribution to Outcome 1 made by linked programs</w:t>
            </w:r>
          </w:p>
          <w:p w:rsidR="00EC783E" w:rsidRPr="00EC783E" w:rsidRDefault="00BA7A7F" w:rsidP="00EC783E">
            <w:pPr>
              <w:spacing w:before="60" w:after="60" w:line="240" w:lineRule="auto"/>
              <w:rPr>
                <w:rFonts w:cs="Arial"/>
              </w:rPr>
            </w:pPr>
            <w:r w:rsidRPr="00EC783E">
              <w:rPr>
                <w:rFonts w:cs="Arial"/>
              </w:rPr>
              <w:t>The department is working with the Department of Education, Skills and Employment (DESE) to enhance Australia’s research capacity, primarily through the development of Research Infrastructure Investment Plans and National Research Infrastructure Roadmaps.</w:t>
            </w:r>
          </w:p>
          <w:p w:rsidR="00EC783E" w:rsidRPr="00EC783E" w:rsidRDefault="00BA7A7F" w:rsidP="00EC783E">
            <w:pPr>
              <w:spacing w:before="60" w:after="60" w:line="240" w:lineRule="auto"/>
              <w:rPr>
                <w:rFonts w:cs="Arial"/>
              </w:rPr>
            </w:pPr>
            <w:r w:rsidRPr="00EC783E">
              <w:rPr>
                <w:rFonts w:cs="Arial"/>
              </w:rPr>
              <w:t>The department is also working with DESE to increase Australian university research commercia</w:t>
            </w:r>
            <w:r w:rsidR="00841D15">
              <w:rPr>
                <w:rFonts w:cs="Arial"/>
              </w:rPr>
              <w:t>lisation outcomes and develop</w:t>
            </w:r>
            <w:r w:rsidRPr="00EC783E">
              <w:rPr>
                <w:rFonts w:cs="Arial"/>
              </w:rPr>
              <w:t xml:space="preserve"> a higher education research commercialisation intellectual property framework.</w:t>
            </w:r>
          </w:p>
          <w:p w:rsidR="007E2536" w:rsidRPr="00833776" w:rsidRDefault="00BA7A7F" w:rsidP="00EC783E">
            <w:pPr>
              <w:spacing w:before="60" w:after="60" w:line="240" w:lineRule="auto"/>
              <w:rPr>
                <w:rStyle w:val="ExampletextCharChar"/>
                <w:i w:val="0"/>
                <w:bdr w:val="none" w:sz="0" w:space="0" w:color="auto" w:frame="1"/>
              </w:rPr>
            </w:pPr>
            <w:r w:rsidRPr="00EC783E">
              <w:rPr>
                <w:rFonts w:cs="Arial"/>
              </w:rPr>
              <w:t>DESE works collaboratively with the department to create policies that help Australians participate in education, training and the workforce and meet employer needs for skilled workers. This includes building capability in national manufacturing priority sectors announced in the Modern Manufacturing Strategy. In support of this, the department and DESE are working collaboratively to develop the Manufacturing Workforce Strategy and associated actions to be delivered in late 2022, which will also include a focus on encouraging greater inclusi</w:t>
            </w:r>
            <w:r w:rsidR="005B505A">
              <w:rPr>
                <w:rFonts w:cs="Arial"/>
              </w:rPr>
              <w:t>on in the manufacturing sector.</w:t>
            </w:r>
          </w:p>
        </w:tc>
      </w:tr>
      <w:tr w:rsidR="00253274"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E83CEE" w:rsidRDefault="00BA7A7F">
            <w:pPr>
              <w:pStyle w:val="ExampleText0"/>
              <w:spacing w:before="60" w:after="60" w:line="240" w:lineRule="auto"/>
              <w:rPr>
                <w:i w:val="0"/>
                <w:color w:val="auto"/>
              </w:rPr>
            </w:pPr>
            <w:r w:rsidRPr="00EC783E">
              <w:rPr>
                <w:rStyle w:val="ExampletextCharChar"/>
                <w:b/>
                <w:color w:val="auto"/>
                <w:bdr w:val="none" w:sz="0" w:space="0" w:color="auto" w:frame="1"/>
              </w:rPr>
              <w:t>Department of Foreign Affairs and Trade</w:t>
            </w:r>
          </w:p>
        </w:tc>
      </w:tr>
      <w:tr w:rsidR="00253274"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E83CEE" w:rsidRDefault="00BA7A7F">
            <w:pPr>
              <w:spacing w:before="60" w:after="60" w:line="240" w:lineRule="auto"/>
              <w:rPr>
                <w:rStyle w:val="ExampletextCharChar"/>
                <w:b/>
                <w:i w:val="0"/>
                <w:color w:val="auto"/>
              </w:rPr>
            </w:pPr>
            <w:r w:rsidRPr="00E83CEE">
              <w:rPr>
                <w:rStyle w:val="ExampletextCharChar"/>
                <w:b/>
                <w:i w:val="0"/>
                <w:color w:val="auto"/>
                <w:bdr w:val="none" w:sz="0" w:space="0" w:color="auto" w:frame="1"/>
              </w:rPr>
              <w:t>Programs</w:t>
            </w:r>
          </w:p>
          <w:p w:rsidR="007E2536" w:rsidRPr="00E83CEE" w:rsidRDefault="00BA7A7F" w:rsidP="00EC783E">
            <w:pPr>
              <w:keepLines w:val="0"/>
              <w:numPr>
                <w:ilvl w:val="0"/>
                <w:numId w:val="12"/>
              </w:numPr>
              <w:spacing w:before="60" w:after="60" w:line="240" w:lineRule="auto"/>
              <w:ind w:left="720"/>
              <w:rPr>
                <w:rStyle w:val="ExampletextCharChar"/>
                <w:i w:val="0"/>
                <w:color w:val="auto"/>
                <w:bdr w:val="none" w:sz="0" w:space="0" w:color="auto" w:frame="1"/>
              </w:rPr>
            </w:pPr>
            <w:r w:rsidRPr="00EC783E">
              <w:rPr>
                <w:rStyle w:val="ExampletextCharChar"/>
                <w:i w:val="0"/>
                <w:color w:val="auto"/>
                <w:bdr w:val="none" w:sz="0" w:space="0" w:color="auto" w:frame="1"/>
              </w:rPr>
              <w:t>Program 1.1 – Foreign Affairs and Trade Operations</w:t>
            </w:r>
            <w:r w:rsidR="001546AB" w:rsidRPr="00E83CEE">
              <w:rPr>
                <w:rStyle w:val="ExampletextCharChar"/>
                <w:i w:val="0"/>
                <w:color w:val="auto"/>
                <w:bdr w:val="none" w:sz="0" w:space="0" w:color="auto" w:frame="1"/>
              </w:rPr>
              <w:t xml:space="preserve"> </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7E2536" w:rsidRPr="00E83CEE" w:rsidRDefault="00BA7A7F">
            <w:pPr>
              <w:spacing w:before="60" w:after="60" w:line="240" w:lineRule="auto"/>
              <w:rPr>
                <w:rStyle w:val="ExampletextCharChar"/>
                <w:b/>
                <w:i w:val="0"/>
                <w:color w:val="auto"/>
                <w:bdr w:val="none" w:sz="0" w:space="0" w:color="auto" w:frame="1"/>
              </w:rPr>
            </w:pPr>
            <w:r w:rsidRPr="00E83CEE">
              <w:rPr>
                <w:rStyle w:val="ExampletextCharChar"/>
                <w:b/>
                <w:i w:val="0"/>
                <w:color w:val="auto"/>
                <w:bdr w:val="none" w:sz="0" w:space="0" w:color="auto" w:frame="1"/>
              </w:rPr>
              <w:t>Contribution to Outcome 1 made by linked programs</w:t>
            </w:r>
          </w:p>
          <w:p w:rsidR="00EC783E" w:rsidRPr="00EC783E" w:rsidRDefault="00BA7A7F" w:rsidP="00EC783E">
            <w:pPr>
              <w:spacing w:before="60" w:after="60" w:line="240" w:lineRule="auto"/>
              <w:rPr>
                <w:rFonts w:cs="Arial"/>
              </w:rPr>
            </w:pPr>
            <w:r w:rsidRPr="00EC783E">
              <w:rPr>
                <w:rFonts w:cs="Arial"/>
              </w:rPr>
              <w:t>The Department of Foreign Affairs and Trade (DFAT) works collaboratively with the department to enable science diplomacy, support the implementation and delivery of the Global Science and Technology Diplomacy Fund, and advancement of Australia’s trade and investment interests, including supporting Australia’s technology approach to addressing climate change and the Global Resources Strategy.</w:t>
            </w:r>
          </w:p>
          <w:p w:rsidR="00EC783E" w:rsidRPr="00EC783E" w:rsidRDefault="00BA7A7F" w:rsidP="00EC783E">
            <w:pPr>
              <w:spacing w:before="60" w:after="60" w:line="240" w:lineRule="auto"/>
              <w:rPr>
                <w:rFonts w:cs="Arial"/>
              </w:rPr>
            </w:pPr>
            <w:r>
              <w:rPr>
                <w:rFonts w:cs="Arial"/>
              </w:rPr>
              <w:t xml:space="preserve">The department </w:t>
            </w:r>
            <w:r w:rsidR="00DB2CA2" w:rsidRPr="00EC783E">
              <w:rPr>
                <w:rFonts w:cs="Arial"/>
              </w:rPr>
              <w:t>works collaboratively with DFAT to support Australian manufacturers to grow exports, attract foreign investment and build resilience in supply chains through the Modern Manufacturing Strategy. It also works with DFAT and Export Finance Australia on implementing the Critical Minerals Strategy.</w:t>
            </w:r>
          </w:p>
          <w:p w:rsidR="007E2536" w:rsidRPr="00833776" w:rsidRDefault="00BA7A7F" w:rsidP="00841D15">
            <w:pPr>
              <w:spacing w:before="60" w:after="60" w:line="240" w:lineRule="auto"/>
              <w:rPr>
                <w:rStyle w:val="ExampletextCharChar"/>
                <w:i w:val="0"/>
                <w:bdr w:val="none" w:sz="0" w:space="0" w:color="auto" w:frame="1"/>
              </w:rPr>
            </w:pPr>
            <w:r>
              <w:rPr>
                <w:rFonts w:cs="Arial"/>
              </w:rPr>
              <w:t>DFAT and Austrade support t</w:t>
            </w:r>
            <w:r w:rsidR="00DB2CA2" w:rsidRPr="00EC783E">
              <w:rPr>
                <w:rFonts w:cs="Arial"/>
              </w:rPr>
              <w:t>he department (through the Australian Space Agency) to deliver on the Advancing Space: Australian Civil Space Strategy 2019</w:t>
            </w:r>
            <w:r w:rsidR="00DB2CA2">
              <w:rPr>
                <w:rFonts w:cs="Arial"/>
              </w:rPr>
              <w:t>-</w:t>
            </w:r>
            <w:r w:rsidR="00DB2CA2" w:rsidRPr="00EC783E">
              <w:rPr>
                <w:rFonts w:cs="Arial"/>
              </w:rPr>
              <w:t>28 by opening doors internationally for the Australian space sector, and ensuring the responsible use of outer space, in line with our international obligations.</w:t>
            </w:r>
          </w:p>
        </w:tc>
      </w:tr>
      <w:tr w:rsidR="00253274"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E83CEE" w:rsidRDefault="00BA7A7F">
            <w:pPr>
              <w:pStyle w:val="ExampleText0"/>
              <w:spacing w:before="60" w:after="60" w:line="240" w:lineRule="auto"/>
              <w:rPr>
                <w:i w:val="0"/>
                <w:color w:val="auto"/>
              </w:rPr>
            </w:pPr>
            <w:r w:rsidRPr="00EC783E">
              <w:rPr>
                <w:rStyle w:val="ExampletextCharChar"/>
                <w:b/>
                <w:color w:val="auto"/>
                <w:bdr w:val="none" w:sz="0" w:space="0" w:color="auto" w:frame="1"/>
              </w:rPr>
              <w:t>Department of Health</w:t>
            </w:r>
          </w:p>
        </w:tc>
      </w:tr>
      <w:tr w:rsidR="00253274"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E83CEE" w:rsidRDefault="00BA7A7F">
            <w:pPr>
              <w:spacing w:before="60" w:after="60" w:line="240" w:lineRule="auto"/>
              <w:rPr>
                <w:rStyle w:val="ExampletextCharChar"/>
                <w:b/>
                <w:i w:val="0"/>
                <w:color w:val="auto"/>
              </w:rPr>
            </w:pPr>
            <w:r w:rsidRPr="00E83CEE">
              <w:rPr>
                <w:rStyle w:val="ExampletextCharChar"/>
                <w:b/>
                <w:i w:val="0"/>
                <w:color w:val="auto"/>
                <w:bdr w:val="none" w:sz="0" w:space="0" w:color="auto" w:frame="1"/>
              </w:rPr>
              <w:t>Programs</w:t>
            </w:r>
          </w:p>
          <w:p w:rsidR="007E2536" w:rsidRPr="00E83CEE" w:rsidRDefault="00BA7A7F" w:rsidP="00EC783E">
            <w:pPr>
              <w:keepLines w:val="0"/>
              <w:numPr>
                <w:ilvl w:val="0"/>
                <w:numId w:val="12"/>
              </w:numPr>
              <w:spacing w:before="60" w:after="60" w:line="240" w:lineRule="auto"/>
              <w:ind w:left="720"/>
              <w:rPr>
                <w:rStyle w:val="ExampletextCharChar"/>
                <w:i w:val="0"/>
                <w:color w:val="auto"/>
                <w:bdr w:val="none" w:sz="0" w:space="0" w:color="auto" w:frame="1"/>
              </w:rPr>
            </w:pPr>
            <w:r w:rsidRPr="00EC783E">
              <w:rPr>
                <w:rStyle w:val="ExampletextCharChar"/>
                <w:i w:val="0"/>
                <w:color w:val="auto"/>
                <w:bdr w:val="none" w:sz="0" w:space="0" w:color="auto" w:frame="1"/>
              </w:rPr>
              <w:t>Program 1.1 – Health Research, Coordination and Access</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7E2536" w:rsidRPr="00E83CEE" w:rsidRDefault="00BA7A7F">
            <w:pPr>
              <w:spacing w:before="60" w:after="60" w:line="240" w:lineRule="auto"/>
              <w:rPr>
                <w:rStyle w:val="ExampletextCharChar"/>
                <w:b/>
                <w:i w:val="0"/>
                <w:color w:val="auto"/>
                <w:bdr w:val="none" w:sz="0" w:space="0" w:color="auto" w:frame="1"/>
              </w:rPr>
            </w:pPr>
            <w:r w:rsidRPr="00E83CEE">
              <w:rPr>
                <w:rStyle w:val="ExampletextCharChar"/>
                <w:b/>
                <w:i w:val="0"/>
                <w:color w:val="auto"/>
                <w:bdr w:val="none" w:sz="0" w:space="0" w:color="auto" w:frame="1"/>
              </w:rPr>
              <w:t>Contribution to Outcome 1 made by linked programs</w:t>
            </w:r>
          </w:p>
          <w:p w:rsidR="00EC783E" w:rsidRPr="00EC783E" w:rsidRDefault="00BA7A7F" w:rsidP="00EC783E">
            <w:pPr>
              <w:spacing w:before="60" w:after="60" w:line="240" w:lineRule="auto"/>
              <w:rPr>
                <w:rFonts w:cs="Arial"/>
              </w:rPr>
            </w:pPr>
            <w:r w:rsidRPr="00EC783E">
              <w:rPr>
                <w:rFonts w:cs="Arial"/>
              </w:rPr>
              <w:t>The Department of Health works collaboratively with the department to implement the Biomedical Translation Fund and the Medical Research Future Fund. The department provides input to a range of health policies to improve the support and regulatory environment for innovation by the health sector.</w:t>
            </w:r>
          </w:p>
          <w:p w:rsidR="00EC783E" w:rsidRPr="00EC783E" w:rsidRDefault="00BA7A7F" w:rsidP="00EC783E">
            <w:pPr>
              <w:spacing w:before="60" w:after="60" w:line="240" w:lineRule="auto"/>
              <w:rPr>
                <w:rFonts w:cs="Arial"/>
              </w:rPr>
            </w:pPr>
            <w:r w:rsidRPr="00EC783E">
              <w:rPr>
                <w:rFonts w:cs="Arial"/>
              </w:rPr>
              <w:t>Through the National Measurement Institute, the department contributes to reducing smoking prevalence in Australia by conducting tobacco plain packaging compliance and enforcement activities.</w:t>
            </w:r>
          </w:p>
          <w:p w:rsidR="00EC783E" w:rsidRPr="00EC783E" w:rsidRDefault="00BA7A7F" w:rsidP="00EC783E">
            <w:pPr>
              <w:spacing w:before="60" w:after="60" w:line="240" w:lineRule="auto"/>
              <w:rPr>
                <w:rFonts w:cs="Arial"/>
              </w:rPr>
            </w:pPr>
            <w:r w:rsidRPr="00EC783E">
              <w:rPr>
                <w:rFonts w:cs="Arial"/>
              </w:rPr>
              <w:t xml:space="preserve">The department also works with the Department of Health to support manufacturers of medical products through the Modern Manufacturing Strategy and to support industry and business response to COVID-19 impacts; in particular to establish an onshore sovereign mRNA vaccine manufacturing capability. </w:t>
            </w:r>
          </w:p>
          <w:p w:rsidR="007E2536" w:rsidRPr="00EC783E" w:rsidRDefault="00BA7A7F" w:rsidP="00E83CEE">
            <w:pPr>
              <w:spacing w:before="60" w:after="60" w:line="240" w:lineRule="auto"/>
              <w:rPr>
                <w:rStyle w:val="ExampletextCharChar"/>
                <w:rFonts w:cs="Arial"/>
                <w:i w:val="0"/>
                <w:color w:val="auto"/>
              </w:rPr>
            </w:pPr>
            <w:r w:rsidRPr="00EC783E">
              <w:rPr>
                <w:rFonts w:cs="Arial"/>
              </w:rPr>
              <w:t xml:space="preserve">The department works with the Department of Health </w:t>
            </w:r>
            <w:r>
              <w:rPr>
                <w:rFonts w:cs="Arial"/>
              </w:rPr>
              <w:t>on</w:t>
            </w:r>
            <w:r w:rsidRPr="00EC783E">
              <w:rPr>
                <w:rFonts w:cs="Arial"/>
              </w:rPr>
              <w:t xml:space="preserve"> supply chain disruptions in the health sector that r</w:t>
            </w:r>
            <w:r>
              <w:rPr>
                <w:rFonts w:cs="Arial"/>
              </w:rPr>
              <w:t xml:space="preserve">equire domestic industry </w:t>
            </w:r>
            <w:r w:rsidRPr="00EC783E">
              <w:rPr>
                <w:rFonts w:cs="Arial"/>
              </w:rPr>
              <w:t>considerations.</w:t>
            </w:r>
          </w:p>
        </w:tc>
      </w:tr>
      <w:tr w:rsidR="00253274"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E83CEE" w:rsidRDefault="00BA7A7F">
            <w:pPr>
              <w:pStyle w:val="ExampleText0"/>
              <w:spacing w:before="60" w:after="60" w:line="240" w:lineRule="auto"/>
              <w:rPr>
                <w:i w:val="0"/>
                <w:color w:val="auto"/>
              </w:rPr>
            </w:pPr>
            <w:r w:rsidRPr="00EC783E">
              <w:rPr>
                <w:rStyle w:val="ExampletextCharChar"/>
                <w:b/>
                <w:color w:val="auto"/>
                <w:bdr w:val="none" w:sz="0" w:space="0" w:color="auto" w:frame="1"/>
              </w:rPr>
              <w:t>Department of Home Affairs</w:t>
            </w:r>
          </w:p>
        </w:tc>
      </w:tr>
      <w:tr w:rsidR="00253274"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E83CEE" w:rsidRDefault="00BA7A7F">
            <w:pPr>
              <w:spacing w:before="60" w:after="60" w:line="240" w:lineRule="auto"/>
              <w:rPr>
                <w:rStyle w:val="ExampletextCharChar"/>
                <w:b/>
                <w:i w:val="0"/>
                <w:color w:val="auto"/>
              </w:rPr>
            </w:pPr>
            <w:r w:rsidRPr="00E83CEE">
              <w:rPr>
                <w:rStyle w:val="ExampletextCharChar"/>
                <w:b/>
                <w:i w:val="0"/>
                <w:color w:val="auto"/>
                <w:bdr w:val="none" w:sz="0" w:space="0" w:color="auto" w:frame="1"/>
              </w:rPr>
              <w:t>Programs</w:t>
            </w:r>
          </w:p>
          <w:p w:rsidR="00E8149C" w:rsidRPr="00E8149C" w:rsidRDefault="00BA7A7F" w:rsidP="00E8149C">
            <w:pPr>
              <w:keepLines w:val="0"/>
              <w:numPr>
                <w:ilvl w:val="0"/>
                <w:numId w:val="12"/>
              </w:numPr>
              <w:spacing w:before="60" w:after="60" w:line="240" w:lineRule="auto"/>
              <w:ind w:left="720"/>
              <w:rPr>
                <w:rStyle w:val="ExampletextCharChar"/>
                <w:i w:val="0"/>
                <w:color w:val="auto"/>
                <w:bdr w:val="none" w:sz="0" w:space="0" w:color="auto" w:frame="1"/>
              </w:rPr>
            </w:pPr>
            <w:r w:rsidRPr="00E8149C">
              <w:rPr>
                <w:rStyle w:val="ExampletextCharChar"/>
                <w:i w:val="0"/>
                <w:color w:val="auto"/>
                <w:bdr w:val="none" w:sz="0" w:space="0" w:color="auto" w:frame="1"/>
              </w:rPr>
              <w:t>Program 2.1 – Migration</w:t>
            </w:r>
          </w:p>
          <w:p w:rsidR="00E8149C" w:rsidRPr="00E8149C" w:rsidRDefault="00BA7A7F" w:rsidP="00E8149C">
            <w:pPr>
              <w:keepLines w:val="0"/>
              <w:numPr>
                <w:ilvl w:val="0"/>
                <w:numId w:val="12"/>
              </w:numPr>
              <w:spacing w:before="60" w:after="60" w:line="240" w:lineRule="auto"/>
              <w:ind w:left="720"/>
              <w:rPr>
                <w:rStyle w:val="ExampletextCharChar"/>
                <w:i w:val="0"/>
                <w:color w:val="auto"/>
                <w:bdr w:val="none" w:sz="0" w:space="0" w:color="auto" w:frame="1"/>
              </w:rPr>
            </w:pPr>
            <w:r w:rsidRPr="00E8149C">
              <w:rPr>
                <w:rStyle w:val="ExampletextCharChar"/>
                <w:i w:val="0"/>
                <w:color w:val="auto"/>
                <w:bdr w:val="none" w:sz="0" w:space="0" w:color="auto" w:frame="1"/>
              </w:rPr>
              <w:t>Program 3.3 – Border Revenue</w:t>
            </w:r>
          </w:p>
          <w:p w:rsidR="007E2536" w:rsidRPr="00E83CEE" w:rsidRDefault="00BA7A7F" w:rsidP="00E8149C">
            <w:pPr>
              <w:keepLines w:val="0"/>
              <w:numPr>
                <w:ilvl w:val="0"/>
                <w:numId w:val="12"/>
              </w:numPr>
              <w:spacing w:before="60" w:after="60" w:line="240" w:lineRule="auto"/>
              <w:ind w:left="720"/>
              <w:rPr>
                <w:rStyle w:val="ExampletextCharChar"/>
                <w:i w:val="0"/>
                <w:color w:val="auto"/>
                <w:bdr w:val="none" w:sz="0" w:space="0" w:color="auto" w:frame="1"/>
              </w:rPr>
            </w:pPr>
            <w:r w:rsidRPr="00E8149C">
              <w:rPr>
                <w:rStyle w:val="ExampletextCharChar"/>
                <w:i w:val="0"/>
                <w:color w:val="auto"/>
                <w:bdr w:val="none" w:sz="0" w:space="0" w:color="auto" w:frame="1"/>
              </w:rPr>
              <w:t>Program 3.1 – Trade Facilitation and Industry Engagement</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7E2536" w:rsidRPr="00E83CEE" w:rsidRDefault="00BA7A7F">
            <w:pPr>
              <w:spacing w:before="60" w:after="60" w:line="240" w:lineRule="auto"/>
              <w:rPr>
                <w:rStyle w:val="ExampletextCharChar"/>
                <w:b/>
                <w:i w:val="0"/>
                <w:color w:val="auto"/>
                <w:bdr w:val="none" w:sz="0" w:space="0" w:color="auto" w:frame="1"/>
              </w:rPr>
            </w:pPr>
            <w:r w:rsidRPr="00E83CEE">
              <w:rPr>
                <w:rStyle w:val="ExampletextCharChar"/>
                <w:b/>
                <w:i w:val="0"/>
                <w:color w:val="auto"/>
                <w:bdr w:val="none" w:sz="0" w:space="0" w:color="auto" w:frame="1"/>
              </w:rPr>
              <w:t>Contribution to Outcome 1 made by linked programs</w:t>
            </w:r>
          </w:p>
          <w:p w:rsidR="00E8149C" w:rsidRPr="00E8149C" w:rsidRDefault="00BA7A7F" w:rsidP="00E8149C">
            <w:pPr>
              <w:spacing w:before="60" w:after="60" w:line="240" w:lineRule="auto"/>
              <w:rPr>
                <w:rStyle w:val="ExampletextCharChar"/>
                <w:i w:val="0"/>
                <w:color w:val="auto"/>
                <w:bdr w:val="none" w:sz="0" w:space="0" w:color="auto" w:frame="1"/>
              </w:rPr>
            </w:pPr>
            <w:r w:rsidRPr="00E8149C">
              <w:rPr>
                <w:rStyle w:val="ExampletextCharChar"/>
                <w:i w:val="0"/>
                <w:color w:val="auto"/>
                <w:bdr w:val="none" w:sz="0" w:space="0" w:color="auto" w:frame="1"/>
              </w:rPr>
              <w:t>The Department of Home Affairs contributes to Australia’s anti-dumping system, in coordination with the Anti-Dumping Commission, and provision of tariff and duty credits and concessions. The Department of Home Affairs is working with the department on the Significant Investor Visa Complying Investment Framework that encourages the expansion of Australia’s venture capital fund capacity, attracting investment in innovative early stage companies, particularly from new sources of foreign investment. The department will continue to work with the Department of Home Affairs regarding employer sponsored permanent skilled migration.</w:t>
            </w:r>
          </w:p>
          <w:p w:rsidR="003F3FE1" w:rsidRPr="00833776" w:rsidRDefault="00BA7A7F" w:rsidP="00E8149C">
            <w:pPr>
              <w:spacing w:before="60" w:after="60" w:line="240" w:lineRule="auto"/>
              <w:rPr>
                <w:rStyle w:val="ExampletextCharChar"/>
                <w:i w:val="0"/>
                <w:bdr w:val="none" w:sz="0" w:space="0" w:color="auto" w:frame="1"/>
              </w:rPr>
            </w:pPr>
            <w:r w:rsidRPr="00E8149C">
              <w:rPr>
                <w:rStyle w:val="ExampletextCharChar"/>
                <w:i w:val="0"/>
                <w:color w:val="auto"/>
                <w:bdr w:val="none" w:sz="0" w:space="0" w:color="auto" w:frame="1"/>
              </w:rPr>
              <w:t>The Department of Home Affairs contributes to improving national cyber security skills, awareness and job readiness through the Questacon Cyber Ready Program as part of Australia’s Cyber Security Strategy 2020. This program helps prep</w:t>
            </w:r>
            <w:r w:rsidR="007874AA">
              <w:rPr>
                <w:rStyle w:val="ExampletextCharChar"/>
                <w:i w:val="0"/>
                <w:color w:val="auto"/>
                <w:bdr w:val="none" w:sz="0" w:space="0" w:color="auto" w:frame="1"/>
              </w:rPr>
              <w:t xml:space="preserve">are young Australians for world </w:t>
            </w:r>
            <w:r w:rsidRPr="00E8149C">
              <w:rPr>
                <w:rStyle w:val="ExampletextCharChar"/>
                <w:i w:val="0"/>
                <w:color w:val="auto"/>
                <w:bdr w:val="none" w:sz="0" w:space="0" w:color="auto" w:frame="1"/>
              </w:rPr>
              <w:t>class careers by building foundational skills in cyber security.</w:t>
            </w:r>
          </w:p>
        </w:tc>
      </w:tr>
      <w:tr w:rsidR="00253274"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7E2536" w:rsidRPr="00E83CEE" w:rsidRDefault="00BA7A7F">
            <w:pPr>
              <w:pStyle w:val="ExampleText0"/>
              <w:spacing w:before="60" w:after="60" w:line="240" w:lineRule="auto"/>
              <w:rPr>
                <w:i w:val="0"/>
                <w:color w:val="auto"/>
              </w:rPr>
            </w:pPr>
            <w:r w:rsidRPr="00E8149C">
              <w:rPr>
                <w:rStyle w:val="ExampletextCharChar"/>
                <w:b/>
                <w:color w:val="auto"/>
                <w:bdr w:val="none" w:sz="0" w:space="0" w:color="auto" w:frame="1"/>
              </w:rPr>
              <w:t>Department of Infrastructure, Transport, Regional Development and Communications</w:t>
            </w:r>
          </w:p>
        </w:tc>
      </w:tr>
      <w:tr w:rsidR="00253274"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7E2536" w:rsidRPr="00E83CEE" w:rsidRDefault="00BA7A7F">
            <w:pPr>
              <w:spacing w:before="60" w:after="60" w:line="240" w:lineRule="auto"/>
              <w:rPr>
                <w:rStyle w:val="ExampletextCharChar"/>
                <w:b/>
                <w:i w:val="0"/>
                <w:color w:val="auto"/>
              </w:rPr>
            </w:pPr>
            <w:r w:rsidRPr="00E83CEE">
              <w:rPr>
                <w:rStyle w:val="ExampletextCharChar"/>
                <w:b/>
                <w:i w:val="0"/>
                <w:color w:val="auto"/>
                <w:bdr w:val="none" w:sz="0" w:space="0" w:color="auto" w:frame="1"/>
              </w:rPr>
              <w:t>Programs</w:t>
            </w:r>
          </w:p>
          <w:p w:rsidR="00E8149C" w:rsidRPr="00E8149C" w:rsidRDefault="00BA7A7F" w:rsidP="00E8149C">
            <w:pPr>
              <w:keepLines w:val="0"/>
              <w:numPr>
                <w:ilvl w:val="0"/>
                <w:numId w:val="12"/>
              </w:numPr>
              <w:spacing w:before="60" w:after="60" w:line="240" w:lineRule="auto"/>
              <w:ind w:left="720"/>
              <w:rPr>
                <w:rStyle w:val="ExampletextCharChar"/>
                <w:i w:val="0"/>
                <w:color w:val="auto"/>
                <w:bdr w:val="none" w:sz="0" w:space="0" w:color="auto" w:frame="1"/>
              </w:rPr>
            </w:pPr>
            <w:r w:rsidRPr="00E8149C">
              <w:rPr>
                <w:rStyle w:val="ExampletextCharChar"/>
                <w:i w:val="0"/>
                <w:color w:val="auto"/>
                <w:bdr w:val="none" w:sz="0" w:space="0" w:color="auto" w:frame="1"/>
              </w:rPr>
              <w:t>Program 1.1 – Infrastructure Investment</w:t>
            </w:r>
          </w:p>
          <w:p w:rsidR="007E2536" w:rsidRPr="00E83CEE" w:rsidRDefault="00BA7A7F" w:rsidP="00E8149C">
            <w:pPr>
              <w:keepLines w:val="0"/>
              <w:numPr>
                <w:ilvl w:val="0"/>
                <w:numId w:val="12"/>
              </w:numPr>
              <w:spacing w:before="60" w:after="60" w:line="240" w:lineRule="auto"/>
              <w:ind w:left="720"/>
              <w:rPr>
                <w:rStyle w:val="ExampletextCharChar"/>
                <w:i w:val="0"/>
                <w:color w:val="auto"/>
                <w:bdr w:val="none" w:sz="0" w:space="0" w:color="auto" w:frame="1"/>
              </w:rPr>
            </w:pPr>
            <w:r w:rsidRPr="00E8149C">
              <w:rPr>
                <w:rStyle w:val="ExampletextCharChar"/>
                <w:i w:val="0"/>
                <w:color w:val="auto"/>
                <w:bdr w:val="none" w:sz="0" w:space="0" w:color="auto" w:frame="1"/>
              </w:rPr>
              <w:t>Program 3.1 – Regional Development</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7E2536" w:rsidRPr="00E83CEE" w:rsidRDefault="00BA7A7F">
            <w:pPr>
              <w:spacing w:before="60" w:after="60" w:line="240" w:lineRule="auto"/>
              <w:rPr>
                <w:rStyle w:val="ExampletextCharChar"/>
                <w:b/>
                <w:i w:val="0"/>
                <w:color w:val="auto"/>
                <w:bdr w:val="none" w:sz="0" w:space="0" w:color="auto" w:frame="1"/>
              </w:rPr>
            </w:pPr>
            <w:r w:rsidRPr="00E83CEE">
              <w:rPr>
                <w:rStyle w:val="ExampletextCharChar"/>
                <w:b/>
                <w:i w:val="0"/>
                <w:color w:val="auto"/>
                <w:bdr w:val="none" w:sz="0" w:space="0" w:color="auto" w:frame="1"/>
              </w:rPr>
              <w:t>Contribution to Outcome 1 made by linked programs</w:t>
            </w:r>
          </w:p>
          <w:p w:rsidR="00E8149C" w:rsidRDefault="00BA7A7F" w:rsidP="00E8149C">
            <w:pPr>
              <w:spacing w:before="60" w:after="60" w:line="240" w:lineRule="auto"/>
              <w:rPr>
                <w:rStyle w:val="ExampletextCharChar"/>
                <w:i w:val="0"/>
                <w:color w:val="auto"/>
                <w:bdr w:val="none" w:sz="0" w:space="0" w:color="auto" w:frame="1"/>
              </w:rPr>
            </w:pPr>
            <w:r w:rsidRPr="00E8149C">
              <w:rPr>
                <w:rStyle w:val="ExampletextCharChar"/>
                <w:i w:val="0"/>
                <w:color w:val="auto"/>
                <w:bdr w:val="none" w:sz="0" w:space="0" w:color="auto" w:frame="1"/>
              </w:rPr>
              <w:t xml:space="preserve">The Department of Infrastructure, Transport, Regional Development and Communications (DITRDC) is working with the department to support economic activity, improve innovation and create long-term sustainable jobs in Australia’s regions, including Northern Australia, through Regional Cooperative Research Centres Projects grants, through support for space sector investment linked to City Deals, </w:t>
            </w:r>
            <w:r w:rsidR="00522155">
              <w:rPr>
                <w:rStyle w:val="ExampletextCharChar"/>
                <w:i w:val="0"/>
                <w:color w:val="auto"/>
                <w:bdr w:val="none" w:sz="0" w:space="0" w:color="auto" w:frame="1"/>
              </w:rPr>
              <w:t xml:space="preserve">and </w:t>
            </w:r>
            <w:r w:rsidRPr="00E8149C">
              <w:rPr>
                <w:rStyle w:val="ExampletextCharChar"/>
                <w:i w:val="0"/>
                <w:color w:val="auto"/>
                <w:bdr w:val="none" w:sz="0" w:space="0" w:color="auto" w:frame="1"/>
              </w:rPr>
              <w:t>ongoing investment in the National Manufacturing Priorities</w:t>
            </w:r>
            <w:r w:rsidR="00522155">
              <w:rPr>
                <w:rStyle w:val="ExampletextCharChar"/>
                <w:i w:val="0"/>
                <w:color w:val="auto"/>
                <w:bdr w:val="none" w:sz="0" w:space="0" w:color="auto" w:frame="1"/>
              </w:rPr>
              <w:t>.</w:t>
            </w:r>
          </w:p>
          <w:p w:rsidR="00522155" w:rsidRPr="00E8149C" w:rsidRDefault="00BA7A7F" w:rsidP="00E8149C">
            <w:pPr>
              <w:spacing w:before="60" w:after="60" w:line="240" w:lineRule="auto"/>
              <w:rPr>
                <w:rStyle w:val="ExampletextCharChar"/>
                <w:i w:val="0"/>
                <w:color w:val="auto"/>
                <w:bdr w:val="none" w:sz="0" w:space="0" w:color="auto" w:frame="1"/>
              </w:rPr>
            </w:pPr>
            <w:r w:rsidRPr="00522155">
              <w:rPr>
                <w:rStyle w:val="ExampletextCharChar"/>
                <w:i w:val="0"/>
                <w:color w:val="auto"/>
                <w:bdr w:val="none" w:sz="0" w:space="0" w:color="auto" w:frame="1"/>
              </w:rPr>
              <w:t>DITRDC and the department work together on the Regional Accelerator program which provides a $2 billion investment in regional Australia through ‘Regional Accelerator Rounds’ of existing programs. This includes additional rounds for the Modern Manufacturing Initiative, the Critical Minerals Accelerator Initiative and the Supply Chain Resilience Initiative to further support growth and job creation in regional economies.</w:t>
            </w:r>
          </w:p>
          <w:p w:rsidR="007E2536" w:rsidRPr="00833776" w:rsidRDefault="00BA7A7F" w:rsidP="00E8149C">
            <w:pPr>
              <w:spacing w:before="60" w:after="60" w:line="240" w:lineRule="auto"/>
              <w:rPr>
                <w:rStyle w:val="ExampletextCharChar"/>
                <w:i w:val="0"/>
                <w:bdr w:val="none" w:sz="0" w:space="0" w:color="auto" w:frame="1"/>
              </w:rPr>
            </w:pPr>
            <w:r w:rsidRPr="00E8149C">
              <w:rPr>
                <w:rStyle w:val="ExampletextCharChar"/>
                <w:i w:val="0"/>
                <w:color w:val="auto"/>
                <w:bdr w:val="none" w:sz="0" w:space="0" w:color="auto" w:frame="1"/>
              </w:rPr>
              <w:t>The department is delivering the Strengthening Northern Australian Business (SNAB) Advisory Service for the DITRDC under the Northern Australia Development Program.</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tcPr>
          <w:p w:rsidR="00621117" w:rsidRPr="00E83CEE" w:rsidRDefault="00BA7A7F" w:rsidP="00621117">
            <w:pPr>
              <w:spacing w:before="60" w:after="60" w:line="240" w:lineRule="auto"/>
              <w:rPr>
                <w:rStyle w:val="ExampletextCharChar"/>
                <w:b/>
                <w:i w:val="0"/>
                <w:color w:val="auto"/>
                <w:bdr w:val="none" w:sz="0" w:space="0" w:color="auto" w:frame="1"/>
              </w:rPr>
            </w:pPr>
            <w:r w:rsidRPr="00DB2CA2">
              <w:rPr>
                <w:rStyle w:val="ExampletextCharChar"/>
                <w:b/>
                <w:i w:val="0"/>
                <w:color w:val="auto"/>
                <w:bdr w:val="none" w:sz="0" w:space="0" w:color="auto" w:frame="1"/>
              </w:rPr>
              <w:t>Department of</w:t>
            </w:r>
            <w:r>
              <w:rPr>
                <w:rStyle w:val="ExampletextCharChar"/>
                <w:b/>
                <w:i w:val="0"/>
                <w:color w:val="auto"/>
                <w:bdr w:val="none" w:sz="0" w:space="0" w:color="auto" w:frame="1"/>
              </w:rPr>
              <w:t xml:space="preserve"> the</w:t>
            </w:r>
            <w:r w:rsidRPr="00DB2CA2">
              <w:rPr>
                <w:rStyle w:val="ExampletextCharChar"/>
                <w:b/>
                <w:i w:val="0"/>
                <w:color w:val="auto"/>
                <w:bdr w:val="none" w:sz="0" w:space="0" w:color="auto" w:frame="1"/>
              </w:rPr>
              <w:t xml:space="preserve"> Prime Minister and Cabinet</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tcPr>
          <w:p w:rsidR="00621117" w:rsidRPr="00DB2CA2" w:rsidRDefault="00BA7A7F" w:rsidP="00621117">
            <w:pPr>
              <w:spacing w:before="60" w:after="60" w:line="240" w:lineRule="auto"/>
              <w:rPr>
                <w:rStyle w:val="ExampletextCharChar"/>
                <w:b/>
                <w:i w:val="0"/>
                <w:color w:val="auto"/>
                <w:bdr w:val="none" w:sz="0" w:space="0" w:color="auto" w:frame="1"/>
              </w:rPr>
            </w:pPr>
            <w:r w:rsidRPr="00DB2CA2">
              <w:rPr>
                <w:rStyle w:val="ExampletextCharChar"/>
                <w:b/>
                <w:i w:val="0"/>
                <w:color w:val="auto"/>
                <w:bdr w:val="none" w:sz="0" w:space="0" w:color="auto" w:frame="1"/>
              </w:rPr>
              <w:t>Programs</w:t>
            </w:r>
          </w:p>
          <w:p w:rsidR="00621117" w:rsidRPr="00E83CEE" w:rsidRDefault="00BA7A7F" w:rsidP="00621117">
            <w:pPr>
              <w:spacing w:before="60" w:after="60" w:line="240" w:lineRule="auto"/>
              <w:rPr>
                <w:rStyle w:val="ExampletextCharChar"/>
                <w:b/>
                <w:i w:val="0"/>
                <w:color w:val="auto"/>
                <w:bdr w:val="none" w:sz="0" w:space="0" w:color="auto" w:frame="1"/>
              </w:rPr>
            </w:pPr>
            <w:r w:rsidRPr="00F1393B">
              <w:rPr>
                <w:rStyle w:val="ExampletextCharChar"/>
                <w:i w:val="0"/>
                <w:color w:val="auto"/>
                <w:bdr w:val="none" w:sz="0" w:space="0" w:color="auto" w:frame="1"/>
              </w:rPr>
              <w:t>Program 1.1 – Prime Minister and Cabinet</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tcPr>
          <w:p w:rsidR="00621117" w:rsidRPr="00E83CEE" w:rsidRDefault="00BA7A7F" w:rsidP="00621117">
            <w:pPr>
              <w:spacing w:before="60" w:after="60" w:line="240" w:lineRule="auto"/>
              <w:rPr>
                <w:rStyle w:val="ExampletextCharChar"/>
                <w:b/>
                <w:i w:val="0"/>
                <w:color w:val="auto"/>
                <w:bdr w:val="none" w:sz="0" w:space="0" w:color="auto" w:frame="1"/>
              </w:rPr>
            </w:pPr>
            <w:r>
              <w:rPr>
                <w:rStyle w:val="ExampletextCharChar"/>
                <w:i w:val="0"/>
                <w:color w:val="auto"/>
                <w:bdr w:val="none" w:sz="0" w:space="0" w:color="auto" w:frame="1"/>
              </w:rPr>
              <w:t>The department</w:t>
            </w:r>
            <w:r w:rsidRPr="00DB2CA2">
              <w:rPr>
                <w:rStyle w:val="ExampletextCharChar"/>
                <w:i w:val="0"/>
                <w:color w:val="auto"/>
                <w:bdr w:val="none" w:sz="0" w:space="0" w:color="auto" w:frame="1"/>
              </w:rPr>
              <w:t xml:space="preserve"> works with the Department of the Prime Minister and Cabinet’s Of</w:t>
            </w:r>
            <w:r w:rsidR="007874AA">
              <w:rPr>
                <w:rStyle w:val="ExampletextCharChar"/>
                <w:i w:val="0"/>
                <w:color w:val="auto"/>
                <w:bdr w:val="none" w:sz="0" w:space="0" w:color="auto" w:frame="1"/>
              </w:rPr>
              <w:t>fice of Supply Chain Resilience</w:t>
            </w:r>
            <w:r w:rsidRPr="00DB2CA2">
              <w:rPr>
                <w:rStyle w:val="ExampletextCharChar"/>
                <w:i w:val="0"/>
                <w:color w:val="auto"/>
                <w:bdr w:val="none" w:sz="0" w:space="0" w:color="auto" w:frame="1"/>
              </w:rPr>
              <w:t xml:space="preserve"> to support Australia’s supply chain resilience and provide advice to government. </w:t>
            </w:r>
            <w:r>
              <w:rPr>
                <w:rStyle w:val="ExampletextCharChar"/>
                <w:i w:val="0"/>
                <w:color w:val="auto"/>
                <w:bdr w:val="none" w:sz="0" w:space="0" w:color="auto" w:frame="1"/>
              </w:rPr>
              <w:t>This is achieved through</w:t>
            </w:r>
            <w:r w:rsidRPr="00DB2CA2">
              <w:rPr>
                <w:rStyle w:val="ExampletextCharChar"/>
                <w:i w:val="0"/>
                <w:color w:val="auto"/>
                <w:bdr w:val="none" w:sz="0" w:space="0" w:color="auto" w:frame="1"/>
              </w:rPr>
              <w:t xml:space="preserve"> sharing industry insights and intelligence, harnessing subject matter expertise and l</w:t>
            </w:r>
            <w:r w:rsidR="007874AA">
              <w:rPr>
                <w:rStyle w:val="ExampletextCharChar"/>
                <w:i w:val="0"/>
                <w:color w:val="auto"/>
                <w:bdr w:val="none" w:sz="0" w:space="0" w:color="auto" w:frame="1"/>
              </w:rPr>
              <w:t>everaging internal supply chain</w:t>
            </w:r>
            <w:r w:rsidRPr="00DB2CA2">
              <w:rPr>
                <w:rStyle w:val="ExampletextCharChar"/>
                <w:i w:val="0"/>
                <w:color w:val="auto"/>
                <w:bdr w:val="none" w:sz="0" w:space="0" w:color="auto" w:frame="1"/>
              </w:rPr>
              <w:t xml:space="preserve"> analysis.</w:t>
            </w:r>
          </w:p>
        </w:tc>
      </w:tr>
      <w:tr w:rsidR="00253274" w:rsidTr="007E2536">
        <w:trPr>
          <w:trHeight w:val="113"/>
        </w:trPr>
        <w:tc>
          <w:tcPr>
            <w:tcW w:w="7592" w:type="dxa"/>
            <w:tcBorders>
              <w:top w:val="single" w:sz="4" w:space="0" w:color="auto"/>
              <w:left w:val="single" w:sz="4" w:space="0" w:color="auto"/>
              <w:bottom w:val="dotted" w:sz="4" w:space="0" w:color="auto"/>
              <w:right w:val="single" w:sz="4" w:space="0" w:color="auto"/>
            </w:tcBorders>
            <w:hideMark/>
          </w:tcPr>
          <w:p w:rsidR="00621117" w:rsidRPr="00E83CEE" w:rsidRDefault="00BA7A7F" w:rsidP="00621117">
            <w:pPr>
              <w:pStyle w:val="ExampleText0"/>
              <w:spacing w:before="60" w:after="60" w:line="240" w:lineRule="auto"/>
              <w:rPr>
                <w:i w:val="0"/>
                <w:color w:val="auto"/>
              </w:rPr>
            </w:pPr>
            <w:r w:rsidRPr="00AB1C00">
              <w:rPr>
                <w:rStyle w:val="ExampletextCharChar"/>
                <w:b/>
                <w:color w:val="auto"/>
                <w:bdr w:val="none" w:sz="0" w:space="0" w:color="auto" w:frame="1"/>
              </w:rPr>
              <w:t>Department of the Treasury</w:t>
            </w:r>
          </w:p>
        </w:tc>
      </w:tr>
      <w:tr w:rsidR="00253274" w:rsidTr="007E2536">
        <w:trPr>
          <w:trHeight w:val="113"/>
        </w:trPr>
        <w:tc>
          <w:tcPr>
            <w:tcW w:w="7592" w:type="dxa"/>
            <w:tcBorders>
              <w:top w:val="dotted" w:sz="4" w:space="0" w:color="auto"/>
              <w:left w:val="single" w:sz="4" w:space="0" w:color="auto"/>
              <w:bottom w:val="single" w:sz="4" w:space="0" w:color="auto"/>
              <w:right w:val="single" w:sz="4" w:space="0" w:color="auto"/>
            </w:tcBorders>
            <w:hideMark/>
          </w:tcPr>
          <w:p w:rsidR="00621117" w:rsidRPr="00E83CEE" w:rsidRDefault="00BA7A7F" w:rsidP="00621117">
            <w:pPr>
              <w:spacing w:before="60" w:after="60" w:line="240" w:lineRule="auto"/>
              <w:rPr>
                <w:rStyle w:val="ExampletextCharChar"/>
                <w:b/>
                <w:i w:val="0"/>
                <w:color w:val="auto"/>
              </w:rPr>
            </w:pPr>
            <w:r w:rsidRPr="00E83CEE">
              <w:rPr>
                <w:rStyle w:val="ExampletextCharChar"/>
                <w:b/>
                <w:i w:val="0"/>
                <w:color w:val="auto"/>
                <w:bdr w:val="none" w:sz="0" w:space="0" w:color="auto" w:frame="1"/>
              </w:rPr>
              <w:t>Programs</w:t>
            </w:r>
          </w:p>
          <w:p w:rsidR="00621117" w:rsidRPr="00AB1C00" w:rsidRDefault="00BA7A7F" w:rsidP="00621117">
            <w:pPr>
              <w:keepLines w:val="0"/>
              <w:numPr>
                <w:ilvl w:val="0"/>
                <w:numId w:val="12"/>
              </w:numPr>
              <w:spacing w:before="60" w:after="60" w:line="240" w:lineRule="auto"/>
              <w:ind w:left="720"/>
              <w:rPr>
                <w:rStyle w:val="ExampletextCharChar"/>
                <w:i w:val="0"/>
                <w:color w:val="auto"/>
                <w:bdr w:val="none" w:sz="0" w:space="0" w:color="auto" w:frame="1"/>
              </w:rPr>
            </w:pPr>
            <w:r w:rsidRPr="00AB1C00">
              <w:rPr>
                <w:rStyle w:val="ExampletextCharChar"/>
                <w:i w:val="0"/>
                <w:color w:val="auto"/>
                <w:bdr w:val="none" w:sz="0" w:space="0" w:color="auto" w:frame="1"/>
              </w:rPr>
              <w:t>Program 1.1 – Department of the Treasury</w:t>
            </w:r>
          </w:p>
          <w:p w:rsidR="00621117" w:rsidRPr="00AB1C00" w:rsidRDefault="00BA7A7F" w:rsidP="00621117">
            <w:pPr>
              <w:keepLines w:val="0"/>
              <w:numPr>
                <w:ilvl w:val="0"/>
                <w:numId w:val="12"/>
              </w:numPr>
              <w:spacing w:before="60" w:after="60" w:line="240" w:lineRule="auto"/>
              <w:ind w:left="720"/>
              <w:rPr>
                <w:rStyle w:val="ExampletextCharChar"/>
                <w:i w:val="0"/>
                <w:color w:val="auto"/>
                <w:bdr w:val="none" w:sz="0" w:space="0" w:color="auto" w:frame="1"/>
              </w:rPr>
            </w:pPr>
            <w:r w:rsidRPr="00AB1C00">
              <w:rPr>
                <w:rStyle w:val="ExampletextCharChar"/>
                <w:i w:val="0"/>
                <w:color w:val="auto"/>
                <w:bdr w:val="none" w:sz="0" w:space="0" w:color="auto" w:frame="1"/>
              </w:rPr>
              <w:t>Program 1.4 – General Revenue Assistance</w:t>
            </w:r>
          </w:p>
          <w:p w:rsidR="00621117" w:rsidRPr="00E83CEE" w:rsidRDefault="00BA7A7F" w:rsidP="00621117">
            <w:pPr>
              <w:keepLines w:val="0"/>
              <w:numPr>
                <w:ilvl w:val="0"/>
                <w:numId w:val="12"/>
              </w:numPr>
              <w:spacing w:before="60" w:after="60" w:line="240" w:lineRule="auto"/>
              <w:ind w:left="720"/>
              <w:rPr>
                <w:rStyle w:val="ExampletextCharChar"/>
                <w:i w:val="0"/>
                <w:color w:val="auto"/>
                <w:bdr w:val="none" w:sz="0" w:space="0" w:color="auto" w:frame="1"/>
              </w:rPr>
            </w:pPr>
            <w:r w:rsidRPr="00AB1C00">
              <w:rPr>
                <w:rStyle w:val="ExampletextCharChar"/>
                <w:i w:val="0"/>
                <w:color w:val="auto"/>
                <w:bdr w:val="none" w:sz="0" w:space="0" w:color="auto" w:frame="1"/>
              </w:rPr>
              <w:t>Program 1.9 – National Partnership Payments to the States</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621117" w:rsidRPr="00E83CEE" w:rsidRDefault="00BA7A7F" w:rsidP="00621117">
            <w:pPr>
              <w:spacing w:before="60" w:after="60" w:line="240" w:lineRule="auto"/>
              <w:rPr>
                <w:rStyle w:val="ExampletextCharChar"/>
                <w:b/>
                <w:i w:val="0"/>
                <w:color w:val="auto"/>
                <w:bdr w:val="none" w:sz="0" w:space="0" w:color="auto" w:frame="1"/>
              </w:rPr>
            </w:pPr>
            <w:r w:rsidRPr="00E83CEE">
              <w:rPr>
                <w:rStyle w:val="ExampletextCharChar"/>
                <w:b/>
                <w:i w:val="0"/>
                <w:color w:val="auto"/>
                <w:bdr w:val="none" w:sz="0" w:space="0" w:color="auto" w:frame="1"/>
              </w:rPr>
              <w:t>Contribution to Outcome 1 made by linked programs</w:t>
            </w:r>
          </w:p>
          <w:p w:rsidR="00621117" w:rsidRPr="00AB1C00" w:rsidRDefault="00BA7A7F" w:rsidP="00621117">
            <w:pPr>
              <w:spacing w:before="60" w:after="60" w:line="240" w:lineRule="auto"/>
              <w:rPr>
                <w:rStyle w:val="ExampletextCharChar"/>
                <w:i w:val="0"/>
                <w:color w:val="auto"/>
                <w:bdr w:val="none" w:sz="0" w:space="0" w:color="auto" w:frame="1"/>
              </w:rPr>
            </w:pPr>
            <w:r w:rsidRPr="00AB1C00">
              <w:rPr>
                <w:rStyle w:val="ExampletextCharChar"/>
                <w:i w:val="0"/>
                <w:color w:val="auto"/>
                <w:bdr w:val="none" w:sz="0" w:space="0" w:color="auto" w:frame="1"/>
              </w:rPr>
              <w:t>The Department of the Treasury (Treasury) shares pol</w:t>
            </w:r>
            <w:r w:rsidR="007874AA">
              <w:rPr>
                <w:rStyle w:val="ExampletextCharChar"/>
                <w:i w:val="0"/>
                <w:color w:val="auto"/>
                <w:bdr w:val="none" w:sz="0" w:space="0" w:color="auto" w:frame="1"/>
              </w:rPr>
              <w:t>icy responsibility in respect of</w:t>
            </w:r>
            <w:r w:rsidRPr="00AB1C00">
              <w:rPr>
                <w:rStyle w:val="ExampletextCharChar"/>
                <w:i w:val="0"/>
                <w:color w:val="auto"/>
                <w:bdr w:val="none" w:sz="0" w:space="0" w:color="auto" w:frame="1"/>
              </w:rPr>
              <w:t xml:space="preserve"> incentives and concessions delivered through the tax system, including the Research and Development (R&amp;D) Tax Incentive, the Early Stage Venture Capital Limited Partnerships tax concessions, Venture Capital Limited Partnerships tax concessions, Pooled Development Funds tax concessions and tax incentives for early stage investors (‘angel investors’).</w:t>
            </w:r>
          </w:p>
          <w:p w:rsidR="00621117" w:rsidRPr="00AB1C00" w:rsidRDefault="00BA7A7F" w:rsidP="00621117">
            <w:pPr>
              <w:spacing w:before="60" w:after="60" w:line="240" w:lineRule="auto"/>
              <w:rPr>
                <w:rStyle w:val="ExampletextCharChar"/>
                <w:i w:val="0"/>
                <w:color w:val="auto"/>
                <w:bdr w:val="none" w:sz="0" w:space="0" w:color="auto" w:frame="1"/>
              </w:rPr>
            </w:pPr>
            <w:r w:rsidRPr="00AB1C00">
              <w:rPr>
                <w:rStyle w:val="ExampletextCharChar"/>
                <w:i w:val="0"/>
                <w:color w:val="auto"/>
                <w:bdr w:val="none" w:sz="0" w:space="0" w:color="auto" w:frame="1"/>
              </w:rPr>
              <w:t>Treasury continues to work with the department on royalty payments collected from offshore oil and gas projects in Western Australia. A range of National Partnership payments are made to the states, including the environmental management of the former Rum Jungle mine site in the Northern Territory.</w:t>
            </w:r>
          </w:p>
          <w:p w:rsidR="00621117" w:rsidRPr="00E83CEE" w:rsidRDefault="00BA7A7F" w:rsidP="007874AA">
            <w:pPr>
              <w:spacing w:before="60" w:after="60" w:line="240" w:lineRule="auto"/>
              <w:rPr>
                <w:rStyle w:val="ExampletextCharChar"/>
                <w:i w:val="0"/>
                <w:color w:val="auto"/>
                <w:bdr w:val="none" w:sz="0" w:space="0" w:color="auto" w:frame="1"/>
              </w:rPr>
            </w:pPr>
            <w:r w:rsidRPr="00AB1C00">
              <w:rPr>
                <w:rStyle w:val="ExampletextCharChar"/>
                <w:i w:val="0"/>
                <w:color w:val="auto"/>
                <w:bdr w:val="none" w:sz="0" w:space="0" w:color="auto" w:frame="1"/>
              </w:rPr>
              <w:t xml:space="preserve">Treasury is responsible for the </w:t>
            </w:r>
            <w:r>
              <w:rPr>
                <w:rStyle w:val="ExampletextCharChar"/>
                <w:i w:val="0"/>
                <w:color w:val="auto"/>
                <w:bdr w:val="none" w:sz="0" w:space="0" w:color="auto" w:frame="1"/>
              </w:rPr>
              <w:t xml:space="preserve">Patent Box for </w:t>
            </w:r>
            <w:r w:rsidRPr="00AB1C00">
              <w:rPr>
                <w:rStyle w:val="ExampletextCharChar"/>
                <w:i w:val="0"/>
                <w:color w:val="auto"/>
                <w:bdr w:val="none" w:sz="0" w:space="0" w:color="auto" w:frame="1"/>
              </w:rPr>
              <w:t>Low</w:t>
            </w:r>
            <w:r>
              <w:rPr>
                <w:rStyle w:val="ExampletextCharChar"/>
                <w:i w:val="0"/>
                <w:color w:val="auto"/>
                <w:bdr w:val="none" w:sz="0" w:space="0" w:color="auto" w:frame="1"/>
              </w:rPr>
              <w:t xml:space="preserve"> Emissions Technology</w:t>
            </w:r>
            <w:r w:rsidR="007874AA">
              <w:rPr>
                <w:rStyle w:val="ExampletextCharChar"/>
                <w:i w:val="0"/>
                <w:color w:val="auto"/>
                <w:bdr w:val="none" w:sz="0" w:space="0" w:color="auto" w:frame="1"/>
              </w:rPr>
              <w:t xml:space="preserve"> and works with the d</w:t>
            </w:r>
            <w:r w:rsidRPr="00AB1C00">
              <w:rPr>
                <w:rStyle w:val="ExampletextCharChar"/>
                <w:i w:val="0"/>
                <w:color w:val="auto"/>
                <w:bdr w:val="none" w:sz="0" w:space="0" w:color="auto" w:frame="1"/>
              </w:rPr>
              <w:t xml:space="preserve">epartment and the ATO </w:t>
            </w:r>
            <w:r w:rsidR="007874AA">
              <w:rPr>
                <w:rStyle w:val="ExampletextCharChar"/>
                <w:i w:val="0"/>
                <w:color w:val="auto"/>
                <w:bdr w:val="none" w:sz="0" w:space="0" w:color="auto" w:frame="1"/>
              </w:rPr>
              <w:t>to deliver</w:t>
            </w:r>
            <w:r w:rsidRPr="00AB1C00">
              <w:rPr>
                <w:rStyle w:val="ExampletextCharChar"/>
                <w:i w:val="0"/>
                <w:color w:val="auto"/>
                <w:bdr w:val="none" w:sz="0" w:space="0" w:color="auto" w:frame="1"/>
              </w:rPr>
              <w:t xml:space="preserve"> the scheme.</w:t>
            </w:r>
          </w:p>
        </w:tc>
      </w:tr>
      <w:tr w:rsidR="00253274" w:rsidTr="002967C2">
        <w:trPr>
          <w:trHeight w:val="113"/>
        </w:trPr>
        <w:tc>
          <w:tcPr>
            <w:tcW w:w="7592" w:type="dxa"/>
            <w:tcBorders>
              <w:top w:val="single" w:sz="4" w:space="0" w:color="auto"/>
              <w:left w:val="single" w:sz="4" w:space="0" w:color="auto"/>
              <w:bottom w:val="dotted" w:sz="4" w:space="0" w:color="auto"/>
              <w:right w:val="single" w:sz="4" w:space="0" w:color="auto"/>
            </w:tcBorders>
            <w:hideMark/>
          </w:tcPr>
          <w:p w:rsidR="00621117" w:rsidRPr="00E83CEE" w:rsidRDefault="00BA7A7F" w:rsidP="00621117">
            <w:pPr>
              <w:spacing w:before="60" w:after="60" w:line="240" w:lineRule="auto"/>
              <w:rPr>
                <w:rStyle w:val="ExampletextCharChar"/>
                <w:b/>
                <w:i w:val="0"/>
                <w:color w:val="auto"/>
                <w:bdr w:val="none" w:sz="0" w:space="0" w:color="auto" w:frame="1"/>
              </w:rPr>
            </w:pPr>
            <w:r w:rsidRPr="00E730BF">
              <w:rPr>
                <w:rStyle w:val="ExampletextCharChar"/>
                <w:b/>
                <w:i w:val="0"/>
                <w:color w:val="auto"/>
                <w:bdr w:val="none" w:sz="0" w:space="0" w:color="auto" w:frame="1"/>
              </w:rPr>
              <w:t>National Indigenous Australians Agency</w:t>
            </w:r>
          </w:p>
        </w:tc>
      </w:tr>
      <w:tr w:rsidR="00253274" w:rsidTr="002967C2">
        <w:trPr>
          <w:trHeight w:val="95"/>
        </w:trPr>
        <w:tc>
          <w:tcPr>
            <w:tcW w:w="7592" w:type="dxa"/>
            <w:tcBorders>
              <w:top w:val="dotted" w:sz="4" w:space="0" w:color="auto"/>
              <w:left w:val="single" w:sz="4" w:space="0" w:color="auto"/>
              <w:bottom w:val="single" w:sz="4" w:space="0" w:color="auto"/>
              <w:right w:val="single" w:sz="4" w:space="0" w:color="auto"/>
            </w:tcBorders>
            <w:hideMark/>
          </w:tcPr>
          <w:p w:rsidR="00621117" w:rsidRPr="00E83CEE" w:rsidRDefault="00BA7A7F" w:rsidP="00621117">
            <w:pPr>
              <w:spacing w:before="60" w:after="60" w:line="240" w:lineRule="auto"/>
              <w:rPr>
                <w:rStyle w:val="ExampletextCharChar"/>
                <w:b/>
                <w:i w:val="0"/>
                <w:color w:val="auto"/>
                <w:bdr w:val="none" w:sz="0" w:space="0" w:color="auto" w:frame="1"/>
              </w:rPr>
            </w:pPr>
            <w:r w:rsidRPr="00E83CEE">
              <w:rPr>
                <w:rStyle w:val="ExampletextCharChar"/>
                <w:b/>
                <w:i w:val="0"/>
                <w:color w:val="auto"/>
                <w:bdr w:val="none" w:sz="0" w:space="0" w:color="auto" w:frame="1"/>
              </w:rPr>
              <w:t>Programs</w:t>
            </w:r>
          </w:p>
          <w:p w:rsidR="00621117" w:rsidRPr="00E83CEE" w:rsidRDefault="00BA7A7F" w:rsidP="00621117">
            <w:pPr>
              <w:keepLines w:val="0"/>
              <w:numPr>
                <w:ilvl w:val="0"/>
                <w:numId w:val="12"/>
              </w:numPr>
              <w:spacing w:before="60" w:after="60" w:line="240" w:lineRule="auto"/>
              <w:ind w:left="720"/>
              <w:rPr>
                <w:rStyle w:val="ExampletextCharChar"/>
                <w:i w:val="0"/>
                <w:color w:val="auto"/>
                <w:bdr w:val="none" w:sz="0" w:space="0" w:color="auto" w:frame="1"/>
              </w:rPr>
            </w:pPr>
            <w:r w:rsidRPr="00E730BF">
              <w:rPr>
                <w:rStyle w:val="ExampletextCharChar"/>
                <w:i w:val="0"/>
                <w:color w:val="auto"/>
                <w:bdr w:val="none" w:sz="0" w:space="0" w:color="auto" w:frame="1"/>
              </w:rPr>
              <w:t xml:space="preserve">Program 1.1 – Jobs, Land and the Economy </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hideMark/>
          </w:tcPr>
          <w:p w:rsidR="00621117" w:rsidRPr="00E83CEE" w:rsidRDefault="00BA7A7F" w:rsidP="00621117">
            <w:pPr>
              <w:spacing w:before="60" w:after="60" w:line="240" w:lineRule="auto"/>
              <w:rPr>
                <w:rStyle w:val="ExampletextCharChar"/>
                <w:b/>
                <w:i w:val="0"/>
                <w:color w:val="auto"/>
                <w:bdr w:val="none" w:sz="0" w:space="0" w:color="auto" w:frame="1"/>
              </w:rPr>
            </w:pPr>
            <w:r w:rsidRPr="00E83CEE">
              <w:rPr>
                <w:rStyle w:val="ExampletextCharChar"/>
                <w:b/>
                <w:i w:val="0"/>
                <w:color w:val="auto"/>
                <w:bdr w:val="none" w:sz="0" w:space="0" w:color="auto" w:frame="1"/>
              </w:rPr>
              <w:t>Contribution to Outcome 1 made by linked programs</w:t>
            </w:r>
          </w:p>
          <w:p w:rsidR="00621117" w:rsidRPr="00E730BF" w:rsidRDefault="00BA7A7F" w:rsidP="00621117">
            <w:pPr>
              <w:spacing w:before="60" w:after="60" w:line="240" w:lineRule="auto"/>
              <w:rPr>
                <w:rStyle w:val="ExampletextCharChar"/>
                <w:i w:val="0"/>
                <w:color w:val="auto"/>
                <w:bdr w:val="none" w:sz="0" w:space="0" w:color="auto" w:frame="1"/>
              </w:rPr>
            </w:pPr>
            <w:r w:rsidRPr="00E730BF">
              <w:rPr>
                <w:rStyle w:val="ExampletextCharChar"/>
                <w:i w:val="0"/>
                <w:color w:val="auto"/>
                <w:bdr w:val="none" w:sz="0" w:space="0" w:color="auto" w:frame="1"/>
              </w:rPr>
              <w:t>The National Indigenous Australians Agency (NIAA) is implementing initiatives that enable Indigenous Australians to benefit economically from their land.</w:t>
            </w:r>
          </w:p>
          <w:p w:rsidR="00621117" w:rsidRPr="00E730BF" w:rsidRDefault="00BA7A7F" w:rsidP="00621117">
            <w:pPr>
              <w:spacing w:before="60" w:after="60" w:line="240" w:lineRule="auto"/>
              <w:rPr>
                <w:rStyle w:val="ExampletextCharChar"/>
                <w:i w:val="0"/>
                <w:color w:val="auto"/>
                <w:bdr w:val="none" w:sz="0" w:space="0" w:color="auto" w:frame="1"/>
              </w:rPr>
            </w:pPr>
            <w:r w:rsidRPr="00E730BF">
              <w:rPr>
                <w:rStyle w:val="ExampletextCharChar"/>
                <w:i w:val="0"/>
                <w:color w:val="auto"/>
                <w:bdr w:val="none" w:sz="0" w:space="0" w:color="auto" w:frame="1"/>
              </w:rPr>
              <w:t>The departm</w:t>
            </w:r>
            <w:r>
              <w:rPr>
                <w:rStyle w:val="ExampletextCharChar"/>
                <w:i w:val="0"/>
                <w:color w:val="auto"/>
                <w:bdr w:val="none" w:sz="0" w:space="0" w:color="auto" w:frame="1"/>
              </w:rPr>
              <w:t>ent has been consulting with</w:t>
            </w:r>
            <w:r w:rsidRPr="00E730BF">
              <w:rPr>
                <w:rStyle w:val="ExampletextCharChar"/>
                <w:i w:val="0"/>
                <w:color w:val="auto"/>
                <w:bdr w:val="none" w:sz="0" w:space="0" w:color="auto" w:frame="1"/>
              </w:rPr>
              <w:t xml:space="preserve"> NIAA on its implementation of a Darwin Indigenous Business and Employment Hub to encourage access to mainstream business support offerings.</w:t>
            </w:r>
          </w:p>
          <w:p w:rsidR="00621117" w:rsidRPr="00833776" w:rsidRDefault="00BA7A7F" w:rsidP="00621117">
            <w:pPr>
              <w:spacing w:before="60" w:after="60" w:line="240" w:lineRule="auto"/>
              <w:rPr>
                <w:rStyle w:val="ExampletextCharChar"/>
                <w:i w:val="0"/>
                <w:bdr w:val="none" w:sz="0" w:space="0" w:color="auto" w:frame="1"/>
              </w:rPr>
            </w:pPr>
            <w:r w:rsidRPr="00E730BF">
              <w:rPr>
                <w:rStyle w:val="ExampletextCharChar"/>
                <w:i w:val="0"/>
                <w:color w:val="auto"/>
                <w:bdr w:val="none" w:sz="0" w:space="0" w:color="auto" w:frame="1"/>
              </w:rPr>
              <w:t>The department has contributed to the development of NIAA’s National Roadmap for Indigenous Skills, Jobs and Wealth Creation and will continue to work cooperatively to identify and enable opportunities for Indigenous Australians across industry, including manufacturing.</w:t>
            </w:r>
          </w:p>
        </w:tc>
      </w:tr>
      <w:tr w:rsidR="00253274" w:rsidTr="002967C2">
        <w:trPr>
          <w:trHeight w:val="113"/>
        </w:trPr>
        <w:tc>
          <w:tcPr>
            <w:tcW w:w="7592" w:type="dxa"/>
            <w:tcBorders>
              <w:top w:val="single" w:sz="4" w:space="0" w:color="auto"/>
              <w:left w:val="single" w:sz="4" w:space="0" w:color="auto"/>
              <w:bottom w:val="dotted" w:sz="4" w:space="0" w:color="auto"/>
              <w:right w:val="single" w:sz="4" w:space="0" w:color="auto"/>
            </w:tcBorders>
          </w:tcPr>
          <w:p w:rsidR="00621117" w:rsidRPr="00E83CEE" w:rsidRDefault="00BA7A7F" w:rsidP="00621117">
            <w:pPr>
              <w:spacing w:before="60" w:after="60" w:line="240" w:lineRule="auto"/>
              <w:rPr>
                <w:rStyle w:val="ExampletextCharChar"/>
                <w:b/>
                <w:i w:val="0"/>
                <w:color w:val="auto"/>
                <w:bdr w:val="none" w:sz="0" w:space="0" w:color="auto" w:frame="1"/>
              </w:rPr>
            </w:pPr>
            <w:r>
              <w:rPr>
                <w:rStyle w:val="ExampletextCharChar"/>
                <w:b/>
                <w:i w:val="0"/>
                <w:color w:val="auto"/>
                <w:bdr w:val="none" w:sz="0" w:space="0" w:color="auto" w:frame="1"/>
              </w:rPr>
              <w:t>National Recovery and Resilience Agency</w:t>
            </w:r>
          </w:p>
        </w:tc>
      </w:tr>
      <w:tr w:rsidR="00253274" w:rsidTr="002967C2">
        <w:trPr>
          <w:trHeight w:val="113"/>
        </w:trPr>
        <w:tc>
          <w:tcPr>
            <w:tcW w:w="7592" w:type="dxa"/>
            <w:tcBorders>
              <w:top w:val="dotted" w:sz="4" w:space="0" w:color="auto"/>
              <w:left w:val="single" w:sz="4" w:space="0" w:color="auto"/>
              <w:bottom w:val="single" w:sz="4" w:space="0" w:color="auto"/>
              <w:right w:val="single" w:sz="4" w:space="0" w:color="auto"/>
            </w:tcBorders>
          </w:tcPr>
          <w:p w:rsidR="00621117" w:rsidRPr="00E83CEE" w:rsidRDefault="00BA7A7F" w:rsidP="00621117">
            <w:pPr>
              <w:spacing w:before="60" w:after="60" w:line="240" w:lineRule="auto"/>
              <w:rPr>
                <w:rStyle w:val="ExampletextCharChar"/>
                <w:b/>
                <w:i w:val="0"/>
                <w:color w:val="auto"/>
                <w:bdr w:val="none" w:sz="0" w:space="0" w:color="auto" w:frame="1"/>
              </w:rPr>
            </w:pPr>
            <w:r w:rsidRPr="00E83CEE">
              <w:rPr>
                <w:rStyle w:val="ExampletextCharChar"/>
                <w:b/>
                <w:i w:val="0"/>
                <w:color w:val="auto"/>
                <w:bdr w:val="none" w:sz="0" w:space="0" w:color="auto" w:frame="1"/>
              </w:rPr>
              <w:t>Programs</w:t>
            </w:r>
          </w:p>
          <w:p w:rsidR="00621117" w:rsidRPr="00E83CEE" w:rsidRDefault="00BA7A7F" w:rsidP="00621117">
            <w:pPr>
              <w:keepLines w:val="0"/>
              <w:numPr>
                <w:ilvl w:val="0"/>
                <w:numId w:val="12"/>
              </w:numPr>
              <w:spacing w:before="60" w:after="60" w:line="240" w:lineRule="auto"/>
              <w:ind w:left="720"/>
              <w:rPr>
                <w:rStyle w:val="ExampletextCharChar"/>
                <w:b/>
                <w:i w:val="0"/>
                <w:color w:val="auto"/>
                <w:bdr w:val="none" w:sz="0" w:space="0" w:color="auto" w:frame="1"/>
              </w:rPr>
            </w:pPr>
            <w:r w:rsidRPr="00E83CEE">
              <w:rPr>
                <w:rStyle w:val="ExampletextCharChar"/>
                <w:i w:val="0"/>
                <w:color w:val="auto"/>
                <w:bdr w:val="none" w:sz="0" w:space="0" w:color="auto" w:frame="1"/>
              </w:rPr>
              <w:t>Program 1.1</w:t>
            </w:r>
            <w:r w:rsidRPr="00E83CEE">
              <w:rPr>
                <w:rStyle w:val="ExampletextCharChar"/>
                <w:rFonts w:cs="Arial"/>
                <w:i w:val="0"/>
                <w:color w:val="auto"/>
                <w:bdr w:val="none" w:sz="0" w:space="0" w:color="auto" w:frame="1"/>
              </w:rPr>
              <w:t xml:space="preserve"> – </w:t>
            </w:r>
            <w:r>
              <w:rPr>
                <w:rStyle w:val="ExampletextCharChar"/>
                <w:i w:val="0"/>
                <w:color w:val="auto"/>
                <w:bdr w:val="none" w:sz="0" w:space="0" w:color="auto" w:frame="1"/>
              </w:rPr>
              <w:t>NRRA – Departmental – Outcome 1</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tcPr>
          <w:p w:rsidR="00621117" w:rsidRPr="00E83CEE" w:rsidRDefault="00BA7A7F" w:rsidP="00621117">
            <w:pPr>
              <w:spacing w:before="60" w:after="60" w:line="240" w:lineRule="auto"/>
              <w:rPr>
                <w:rStyle w:val="ExampletextCharChar"/>
                <w:b/>
                <w:i w:val="0"/>
                <w:color w:val="auto"/>
                <w:bdr w:val="none" w:sz="0" w:space="0" w:color="auto" w:frame="1"/>
              </w:rPr>
            </w:pPr>
            <w:r w:rsidRPr="00E83CEE">
              <w:rPr>
                <w:rStyle w:val="ExampletextCharChar"/>
                <w:b/>
                <w:i w:val="0"/>
                <w:color w:val="auto"/>
                <w:bdr w:val="none" w:sz="0" w:space="0" w:color="auto" w:frame="1"/>
              </w:rPr>
              <w:t>Contribution to Outcome 1 made by linked programs</w:t>
            </w:r>
          </w:p>
          <w:p w:rsidR="00621117" w:rsidRPr="00E730BF" w:rsidRDefault="00BA7A7F" w:rsidP="00621117">
            <w:pPr>
              <w:spacing w:before="60" w:after="60" w:line="240" w:lineRule="auto"/>
              <w:rPr>
                <w:rStyle w:val="ExampletextCharChar"/>
                <w:i w:val="0"/>
                <w:color w:val="auto"/>
                <w:bdr w:val="none" w:sz="0" w:space="0" w:color="auto" w:frame="1"/>
              </w:rPr>
            </w:pPr>
            <w:r w:rsidRPr="00E730BF">
              <w:rPr>
                <w:rStyle w:val="ExampletextCharChar"/>
                <w:i w:val="0"/>
                <w:color w:val="auto"/>
                <w:bdr w:val="none" w:sz="0" w:space="0" w:color="auto" w:frame="1"/>
              </w:rPr>
              <w:t xml:space="preserve">The </w:t>
            </w:r>
            <w:r w:rsidR="00D36696">
              <w:rPr>
                <w:rStyle w:val="ExampletextCharChar"/>
                <w:i w:val="0"/>
                <w:color w:val="auto"/>
                <w:bdr w:val="none" w:sz="0" w:space="0" w:color="auto" w:frame="1"/>
              </w:rPr>
              <w:t>National Recovery and Resilience Agency (</w:t>
            </w:r>
            <w:r w:rsidRPr="00E730BF">
              <w:rPr>
                <w:rStyle w:val="ExampletextCharChar"/>
                <w:i w:val="0"/>
                <w:color w:val="auto"/>
                <w:bdr w:val="none" w:sz="0" w:space="0" w:color="auto" w:frame="1"/>
              </w:rPr>
              <w:t>NRRA</w:t>
            </w:r>
            <w:r w:rsidR="00D36696">
              <w:rPr>
                <w:rStyle w:val="ExampletextCharChar"/>
                <w:i w:val="0"/>
                <w:color w:val="auto"/>
                <w:bdr w:val="none" w:sz="0" w:space="0" w:color="auto" w:frame="1"/>
              </w:rPr>
              <w:t>)</w:t>
            </w:r>
            <w:r w:rsidRPr="00E730BF">
              <w:rPr>
                <w:rStyle w:val="ExampletextCharChar"/>
                <w:i w:val="0"/>
                <w:color w:val="auto"/>
                <w:bdr w:val="none" w:sz="0" w:space="0" w:color="auto" w:frame="1"/>
              </w:rPr>
              <w:t xml:space="preserve"> provides input to the department </w:t>
            </w:r>
            <w:r>
              <w:rPr>
                <w:rStyle w:val="ExampletextCharChar"/>
                <w:i w:val="0"/>
                <w:color w:val="auto"/>
                <w:bdr w:val="none" w:sz="0" w:space="0" w:color="auto" w:frame="1"/>
              </w:rPr>
              <w:t>to guide</w:t>
            </w:r>
            <w:r w:rsidRPr="00E730BF">
              <w:rPr>
                <w:rStyle w:val="ExampletextCharChar"/>
                <w:i w:val="0"/>
                <w:color w:val="auto"/>
                <w:bdr w:val="none" w:sz="0" w:space="0" w:color="auto" w:frame="1"/>
              </w:rPr>
              <w:t xml:space="preserve"> the delivery of the Strengthening Business Program which </w:t>
            </w:r>
            <w:r>
              <w:rPr>
                <w:rStyle w:val="ExampletextCharChar"/>
                <w:i w:val="0"/>
                <w:color w:val="auto"/>
                <w:bdr w:val="none" w:sz="0" w:space="0" w:color="auto" w:frame="1"/>
              </w:rPr>
              <w:t>assists Australian business in</w:t>
            </w:r>
            <w:r w:rsidRPr="00E730BF">
              <w:rPr>
                <w:rStyle w:val="ExampletextCharChar"/>
                <w:i w:val="0"/>
                <w:color w:val="auto"/>
                <w:bdr w:val="none" w:sz="0" w:space="0" w:color="auto" w:frame="1"/>
              </w:rPr>
              <w:t xml:space="preserve"> address</w:t>
            </w:r>
            <w:r>
              <w:rPr>
                <w:rStyle w:val="ExampletextCharChar"/>
                <w:i w:val="0"/>
                <w:color w:val="auto"/>
                <w:bdr w:val="none" w:sz="0" w:space="0" w:color="auto" w:frame="1"/>
              </w:rPr>
              <w:t>ing</w:t>
            </w:r>
            <w:r w:rsidRPr="00E730BF">
              <w:rPr>
                <w:rStyle w:val="ExampletextCharChar"/>
                <w:i w:val="0"/>
                <w:color w:val="auto"/>
                <w:bdr w:val="none" w:sz="0" w:space="0" w:color="auto" w:frame="1"/>
              </w:rPr>
              <w:t xml:space="preserve"> challenges arising from natural disasters. </w:t>
            </w:r>
          </w:p>
          <w:p w:rsidR="00621117" w:rsidRPr="00E83CEE" w:rsidRDefault="00BA7A7F" w:rsidP="00621117">
            <w:pPr>
              <w:spacing w:before="60" w:after="60" w:line="240" w:lineRule="auto"/>
              <w:rPr>
                <w:rStyle w:val="ExampletextCharChar"/>
                <w:b/>
                <w:i w:val="0"/>
                <w:color w:val="auto"/>
                <w:bdr w:val="none" w:sz="0" w:space="0" w:color="auto" w:frame="1"/>
              </w:rPr>
            </w:pPr>
            <w:r w:rsidRPr="00E730BF">
              <w:rPr>
                <w:rStyle w:val="ExampletextCharChar"/>
                <w:i w:val="0"/>
                <w:color w:val="auto"/>
                <w:bdr w:val="none" w:sz="0" w:space="0" w:color="auto" w:frame="1"/>
              </w:rPr>
              <w:t>The National Space Mission, led by the Australian Space Agency, provides national capabilities for monitoring the earth and is an important capability for providing information in times of crisis and natural disasters, consistent</w:t>
            </w:r>
            <w:r>
              <w:rPr>
                <w:rStyle w:val="ExampletextCharChar"/>
                <w:i w:val="0"/>
                <w:color w:val="auto"/>
                <w:bdr w:val="none" w:sz="0" w:space="0" w:color="auto" w:frame="1"/>
              </w:rPr>
              <w:t xml:space="preserve"> with the broad goals of </w:t>
            </w:r>
            <w:r w:rsidRPr="00E730BF">
              <w:rPr>
                <w:rStyle w:val="ExampletextCharChar"/>
                <w:i w:val="0"/>
                <w:color w:val="auto"/>
                <w:bdr w:val="none" w:sz="0" w:space="0" w:color="auto" w:frame="1"/>
              </w:rPr>
              <w:t>NRRA.</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tcPr>
          <w:p w:rsidR="00621117" w:rsidRPr="00E83CEE" w:rsidRDefault="00BA7A7F" w:rsidP="00621117">
            <w:pPr>
              <w:spacing w:before="60" w:after="60" w:line="240" w:lineRule="auto"/>
              <w:rPr>
                <w:rStyle w:val="ExampletextCharChar"/>
                <w:b/>
                <w:i w:val="0"/>
                <w:color w:val="auto"/>
                <w:bdr w:val="none" w:sz="0" w:space="0" w:color="auto" w:frame="1"/>
              </w:rPr>
            </w:pPr>
            <w:r w:rsidRPr="00232CFA">
              <w:rPr>
                <w:rStyle w:val="ExampletextCharChar"/>
                <w:b/>
                <w:i w:val="0"/>
                <w:color w:val="auto"/>
                <w:bdr w:val="none" w:sz="0" w:space="0" w:color="auto" w:frame="1"/>
              </w:rPr>
              <w:t>Sport Integrity Australia</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tcPr>
          <w:p w:rsidR="00621117" w:rsidRPr="00232CFA" w:rsidRDefault="00BA7A7F" w:rsidP="00621117">
            <w:pPr>
              <w:spacing w:before="60" w:after="60" w:line="240" w:lineRule="auto"/>
              <w:rPr>
                <w:rStyle w:val="ExampletextCharChar"/>
                <w:b/>
                <w:i w:val="0"/>
                <w:color w:val="auto"/>
                <w:bdr w:val="none" w:sz="0" w:space="0" w:color="auto" w:frame="1"/>
              </w:rPr>
            </w:pPr>
            <w:r w:rsidRPr="00232CFA">
              <w:rPr>
                <w:rStyle w:val="ExampletextCharChar"/>
                <w:b/>
                <w:i w:val="0"/>
                <w:color w:val="auto"/>
                <w:bdr w:val="none" w:sz="0" w:space="0" w:color="auto" w:frame="1"/>
              </w:rPr>
              <w:t>Programs</w:t>
            </w:r>
          </w:p>
          <w:p w:rsidR="00621117" w:rsidRPr="00E83CEE" w:rsidRDefault="00BA7A7F" w:rsidP="00621117">
            <w:pPr>
              <w:keepLines w:val="0"/>
              <w:numPr>
                <w:ilvl w:val="0"/>
                <w:numId w:val="12"/>
              </w:numPr>
              <w:spacing w:before="60" w:after="60" w:line="240" w:lineRule="auto"/>
              <w:ind w:left="720"/>
              <w:rPr>
                <w:rStyle w:val="ExampletextCharChar"/>
                <w:b/>
                <w:i w:val="0"/>
                <w:color w:val="auto"/>
                <w:bdr w:val="none" w:sz="0" w:space="0" w:color="auto" w:frame="1"/>
              </w:rPr>
            </w:pPr>
            <w:r w:rsidRPr="00232CFA">
              <w:rPr>
                <w:rStyle w:val="ExampletextCharChar"/>
                <w:i w:val="0"/>
                <w:color w:val="auto"/>
                <w:bdr w:val="none" w:sz="0" w:space="0" w:color="auto" w:frame="1"/>
              </w:rPr>
              <w:t xml:space="preserve">Program 1.1 – Sports </w:t>
            </w:r>
            <w:r w:rsidRPr="00232CFA">
              <w:rPr>
                <w:rStyle w:val="ExampletextCharChar"/>
                <w:rFonts w:cs="Arial"/>
                <w:i w:val="0"/>
                <w:color w:val="auto"/>
                <w:bdr w:val="none" w:sz="0" w:space="0" w:color="auto" w:frame="1"/>
              </w:rPr>
              <w:t>Integrity</w:t>
            </w:r>
          </w:p>
        </w:tc>
      </w:tr>
      <w:tr w:rsidR="00253274" w:rsidTr="007E2536">
        <w:trPr>
          <w:trHeight w:val="113"/>
        </w:trPr>
        <w:tc>
          <w:tcPr>
            <w:tcW w:w="7592" w:type="dxa"/>
            <w:tcBorders>
              <w:top w:val="single" w:sz="4" w:space="0" w:color="auto"/>
              <w:left w:val="single" w:sz="4" w:space="0" w:color="auto"/>
              <w:bottom w:val="single" w:sz="4" w:space="0" w:color="auto"/>
              <w:right w:val="single" w:sz="4" w:space="0" w:color="auto"/>
            </w:tcBorders>
          </w:tcPr>
          <w:p w:rsidR="00621117" w:rsidRPr="00E83CEE" w:rsidRDefault="00BA7A7F" w:rsidP="00621117">
            <w:pPr>
              <w:spacing w:before="60" w:after="60" w:line="240" w:lineRule="auto"/>
              <w:rPr>
                <w:rStyle w:val="ExampletextCharChar"/>
                <w:b/>
                <w:i w:val="0"/>
                <w:color w:val="auto"/>
                <w:bdr w:val="none" w:sz="0" w:space="0" w:color="auto" w:frame="1"/>
              </w:rPr>
            </w:pPr>
            <w:r w:rsidRPr="00E83CEE">
              <w:rPr>
                <w:rStyle w:val="ExampletextCharChar"/>
                <w:b/>
                <w:i w:val="0"/>
                <w:color w:val="auto"/>
                <w:bdr w:val="none" w:sz="0" w:space="0" w:color="auto" w:frame="1"/>
              </w:rPr>
              <w:t>Contribution to Outcome 1 made by linked programs</w:t>
            </w:r>
          </w:p>
          <w:p w:rsidR="00621117" w:rsidRPr="00E83CEE" w:rsidRDefault="00BA7A7F" w:rsidP="00621117">
            <w:pPr>
              <w:spacing w:before="60" w:after="60" w:line="240" w:lineRule="auto"/>
              <w:rPr>
                <w:rStyle w:val="ExampletextCharChar"/>
                <w:b/>
                <w:i w:val="0"/>
                <w:color w:val="auto"/>
                <w:bdr w:val="none" w:sz="0" w:space="0" w:color="auto" w:frame="1"/>
              </w:rPr>
            </w:pPr>
            <w:r w:rsidRPr="00232CFA">
              <w:rPr>
                <w:rStyle w:val="ExampletextCharChar"/>
                <w:i w:val="0"/>
                <w:color w:val="auto"/>
                <w:bdr w:val="none" w:sz="0" w:space="0" w:color="auto" w:frame="1"/>
              </w:rPr>
              <w:t>Through the National Measurement Institute, the department provides analytical services and research to support Sport Integrity Australia’s anti-doping program.</w:t>
            </w:r>
          </w:p>
        </w:tc>
      </w:tr>
    </w:tbl>
    <w:p w:rsidR="0062184C" w:rsidRDefault="0062184C" w:rsidP="0062184C">
      <w:pPr>
        <w:keepLines w:val="0"/>
        <w:spacing w:after="200" w:line="276" w:lineRule="auto"/>
        <w:jc w:val="left"/>
        <w:rPr>
          <w:rFonts w:ascii="Arial" w:hAnsi="Arial"/>
          <w:b/>
          <w:smallCaps/>
          <w:color w:val="000000"/>
          <w:sz w:val="26"/>
        </w:rPr>
        <w:sectPr w:rsidR="0062184C" w:rsidSect="00677D12">
          <w:headerReference w:type="even" r:id="rId139"/>
          <w:headerReference w:type="default" r:id="rId140"/>
          <w:footerReference w:type="even" r:id="rId141"/>
          <w:footerReference w:type="default" r:id="rId142"/>
          <w:headerReference w:type="first" r:id="rId143"/>
          <w:footerReference w:type="first" r:id="rId144"/>
          <w:type w:val="continuous"/>
          <w:pgSz w:w="11906" w:h="16838"/>
          <w:pgMar w:top="2466" w:right="2098" w:bottom="2466" w:left="2098" w:header="1899" w:footer="1899" w:gutter="0"/>
          <w:pgBorders>
            <w:top w:val="nil"/>
            <w:left w:val="nil"/>
            <w:bottom w:val="nil"/>
            <w:right w:val="nil"/>
          </w:pgBorders>
          <w:cols w:space="720"/>
          <w:docGrid w:linePitch="360"/>
        </w:sectPr>
      </w:pPr>
    </w:p>
    <w:p w:rsidR="00FE33C8" w:rsidRDefault="00FE33C8" w:rsidP="0062184C">
      <w:pPr>
        <w:keepLines w:val="0"/>
        <w:spacing w:after="200" w:line="276" w:lineRule="auto"/>
        <w:jc w:val="left"/>
        <w:rPr>
          <w:rFonts w:ascii="Arial" w:hAnsi="Arial"/>
          <w:b/>
          <w:smallCaps/>
          <w:color w:val="000000"/>
          <w:sz w:val="26"/>
        </w:rPr>
        <w:sectPr w:rsidR="00FE33C8" w:rsidSect="0062184C">
          <w:headerReference w:type="even" r:id="rId145"/>
          <w:headerReference w:type="default" r:id="rId146"/>
          <w:footerReference w:type="even" r:id="rId147"/>
          <w:footerReference w:type="default" r:id="rId148"/>
          <w:headerReference w:type="first" r:id="rId149"/>
          <w:footerReference w:type="first" r:id="rId150"/>
          <w:type w:val="continuous"/>
          <w:pgSz w:w="11906" w:h="16838"/>
          <w:pgMar w:top="2466" w:right="2098" w:bottom="2466" w:left="2098" w:header="1899" w:footer="1899" w:gutter="0"/>
          <w:pgBorders>
            <w:top w:val="nil"/>
            <w:left w:val="nil"/>
            <w:bottom w:val="nil"/>
            <w:right w:val="nil"/>
          </w:pgBorders>
          <w:cols w:space="720"/>
          <w:docGrid w:linePitch="360"/>
        </w:sectPr>
      </w:pPr>
    </w:p>
    <w:p w:rsidR="0062184C" w:rsidRPr="007E2536" w:rsidRDefault="00BA7A7F" w:rsidP="0062184C">
      <w:pPr>
        <w:keepLines w:val="0"/>
        <w:spacing w:after="200" w:line="276" w:lineRule="auto"/>
        <w:jc w:val="left"/>
        <w:rPr>
          <w:rFonts w:ascii="Arial" w:hAnsi="Arial"/>
          <w:b/>
          <w:smallCaps/>
          <w:color w:val="000000"/>
          <w:sz w:val="26"/>
        </w:rPr>
      </w:pPr>
      <w:r>
        <w:t xml:space="preserve"> </w:t>
      </w:r>
    </w:p>
    <w:p w:rsidR="00253274" w:rsidRDefault="00253274"/>
    <w:p w:rsidR="00191970" w:rsidRDefault="00BA7A7F" w:rsidP="00191970">
      <w:pPr>
        <w:pStyle w:val="Heading5"/>
        <w:spacing w:before="0" w:after="120" w:line="240" w:lineRule="auto"/>
        <w:rPr>
          <w:rFonts w:ascii="Arial" w:hAnsi="Arial" w:cs="Arial"/>
          <w:b/>
          <w:color w:val="000000"/>
        </w:rPr>
      </w:pPr>
      <w:bookmarkStart w:id="147" w:name="RG_MARKER_12324"/>
      <w:r>
        <w:rPr>
          <w:rFonts w:ascii="Arial" w:hAnsi="Arial" w:cs="Arial"/>
          <w:b/>
          <w:color w:val="000000"/>
        </w:rPr>
        <w:t>Budgeted expenses for Outcome 1</w:t>
      </w:r>
      <w:bookmarkEnd w:id="147"/>
    </w:p>
    <w:p w:rsidR="00DD34B4" w:rsidRDefault="00BA7A7F" w:rsidP="000717F1">
      <w:pPr>
        <w:rPr>
          <w:bdr w:val="none" w:sz="0" w:space="0" w:color="auto" w:frame="1"/>
        </w:rPr>
      </w:pPr>
      <w:r>
        <w:rPr>
          <w:bdr w:val="none" w:sz="0" w:space="0" w:color="auto" w:frame="1"/>
        </w:rPr>
        <w:t>This table shows how much the entity intends to spend (on an accrual basis) on achieving the outcome, broken down by program, as well as by administered and departmental funding sources.</w:t>
      </w:r>
    </w:p>
    <w:p w:rsidR="00DD34B4" w:rsidRDefault="00BA7A7F" w:rsidP="000717F1">
      <w:pPr>
        <w:pStyle w:val="TableHeading"/>
        <w:keepLines/>
        <w:spacing w:before="0"/>
        <w:rPr>
          <w:rFonts w:cs="Arial"/>
        </w:rPr>
      </w:pPr>
      <w:r>
        <w:rPr>
          <w:rFonts w:cs="Arial"/>
        </w:rPr>
        <w:t>Table 2.1.1: Budgeted expenses for Outcome 1</w:t>
      </w:r>
    </w:p>
    <w:tbl>
      <w:tblPr>
        <w:tblStyle w:val="CDMRange1"/>
        <w:tblW w:w="7785" w:type="dxa"/>
        <w:tblLayout w:type="fixed"/>
        <w:tblLook w:val="0600" w:firstRow="0" w:lastRow="0" w:firstColumn="0" w:lastColumn="0" w:noHBand="1" w:noVBand="1"/>
      </w:tblPr>
      <w:tblGrid>
        <w:gridCol w:w="2910"/>
        <w:gridCol w:w="975"/>
        <w:gridCol w:w="975"/>
        <w:gridCol w:w="975"/>
        <w:gridCol w:w="975"/>
        <w:gridCol w:w="975"/>
      </w:tblGrid>
      <w:tr w:rsidR="00253274">
        <w:trPr>
          <w:trHeight w:hRule="exact" w:val="225"/>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85" w:type="dxa"/>
            <w:gridSpan w:val="6"/>
            <w:tcBorders>
              <w:top w:val="single" w:sz="4" w:space="0" w:color="000000"/>
              <w:left w:val="nil"/>
              <w:bottom w:val="single" w:sz="4" w:space="0" w:color="000000"/>
              <w:right w:val="nil"/>
              <w:tl2br w:val="nil"/>
              <w:tr2bl w:val="nil"/>
            </w:tcBorders>
            <w:shd w:val="clear" w:color="FFFFFF" w:fill="D9D9D9"/>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Program 1.1: Investing in science, technology and commercialisation</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438,056</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399,496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359,740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320,030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318,423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438,056</w:t>
            </w:r>
          </w:p>
        </w:tc>
        <w:tc>
          <w:tcPr>
            <w:tcW w:w="97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399,496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359,740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320,030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318,423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197,396</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188,140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154,963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143,980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136,939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40,397</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50,628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51,656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50,766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52,533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1,383</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91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16,489</w:t>
            </w:r>
          </w:p>
        </w:tc>
        <w:tc>
          <w:tcPr>
            <w:tcW w:w="975"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15,937</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11,775</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11,542</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11,542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255,665</w:t>
            </w:r>
          </w:p>
        </w:tc>
        <w:tc>
          <w:tcPr>
            <w:tcW w:w="97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255,390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218,418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206,288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201,014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693,721</w:t>
            </w:r>
          </w:p>
        </w:tc>
        <w:tc>
          <w:tcPr>
            <w:tcW w:w="97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654,886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578,158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526,318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519,437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85" w:type="dxa"/>
            <w:gridSpan w:val="6"/>
            <w:tcBorders>
              <w:top w:val="single" w:sz="4" w:space="0" w:color="000000"/>
              <w:left w:val="nil"/>
              <w:bottom w:val="single" w:sz="4" w:space="0" w:color="000000"/>
              <w:right w:val="nil"/>
              <w:tl2br w:val="nil"/>
              <w:tr2bl w:val="nil"/>
            </w:tcBorders>
            <w:shd w:val="clear" w:color="FFFFFF" w:fill="D9D9D9"/>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Program 1.2: Growing innovative and competitive businesses, industries and regions</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834,700</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1,005,237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809,258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232,873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171,885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834,700</w:t>
            </w:r>
          </w:p>
        </w:tc>
        <w:tc>
          <w:tcPr>
            <w:tcW w:w="97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1,005,237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809,258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232,873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171,885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235,502</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268,259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233,636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223,648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220,670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47,407</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16,231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11,119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3,288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6,759</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5,512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19,970</w:t>
            </w:r>
          </w:p>
        </w:tc>
        <w:tc>
          <w:tcPr>
            <w:tcW w:w="975"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19,302</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14,260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13,978</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13,978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309,638</w:t>
            </w:r>
          </w:p>
        </w:tc>
        <w:tc>
          <w:tcPr>
            <w:tcW w:w="97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309,304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264,527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249,837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243,448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1,144,338</w:t>
            </w:r>
          </w:p>
        </w:tc>
        <w:tc>
          <w:tcPr>
            <w:tcW w:w="97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1,314,541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1,073,785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482,710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415,333</w:t>
            </w:r>
          </w:p>
        </w:tc>
      </w:tr>
    </w:tbl>
    <w:p w:rsidR="00DD34B4" w:rsidRPr="00F742E8" w:rsidRDefault="00BA7A7F" w:rsidP="00DD34B4">
      <w:pPr>
        <w:keepLines w:val="0"/>
        <w:spacing w:after="200" w:line="276" w:lineRule="auto"/>
        <w:jc w:val="left"/>
        <w:rPr>
          <w:rFonts w:ascii="Arial" w:hAnsi="Arial"/>
          <w:b/>
          <w:smallCaps/>
          <w:sz w:val="26"/>
        </w:rPr>
      </w:pPr>
      <w:r>
        <w:rPr>
          <w:bdr w:val="none" w:sz="0" w:space="0" w:color="auto" w:frame="1"/>
        </w:rPr>
        <w:br w:type="page"/>
      </w:r>
    </w:p>
    <w:p w:rsidR="00DD34B4" w:rsidRDefault="00BA7A7F" w:rsidP="000717F1">
      <w:pPr>
        <w:pStyle w:val="TableHeading"/>
        <w:keepLines/>
        <w:pageBreakBefore/>
        <w:spacing w:before="0"/>
        <w:rPr>
          <w:bdr w:val="none" w:sz="0" w:space="0" w:color="auto" w:frame="1"/>
        </w:rPr>
      </w:pPr>
      <w:r>
        <w:rPr>
          <w:bdr w:val="none" w:sz="0" w:space="0" w:color="auto" w:frame="1"/>
        </w:rPr>
        <w:t>Table 2.1.1: Budgeted expenses for Outcome 1 (continued)</w:t>
      </w:r>
    </w:p>
    <w:tbl>
      <w:tblPr>
        <w:tblStyle w:val="CDMRange2"/>
        <w:tblW w:w="7785" w:type="dxa"/>
        <w:tblLayout w:type="fixed"/>
        <w:tblLook w:val="0600" w:firstRow="0" w:lastRow="0" w:firstColumn="0" w:lastColumn="0" w:noHBand="1" w:noVBand="1"/>
      </w:tblPr>
      <w:tblGrid>
        <w:gridCol w:w="2910"/>
        <w:gridCol w:w="975"/>
        <w:gridCol w:w="975"/>
        <w:gridCol w:w="975"/>
        <w:gridCol w:w="975"/>
        <w:gridCol w:w="975"/>
      </w:tblGrid>
      <w:tr w:rsidR="00253274">
        <w:trPr>
          <w:trHeight w:hRule="exact" w:val="225"/>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85" w:type="dxa"/>
            <w:gridSpan w:val="6"/>
            <w:tcBorders>
              <w:top w:val="single" w:sz="4" w:space="0" w:color="000000"/>
              <w:left w:val="nil"/>
              <w:bottom w:val="single" w:sz="4" w:space="0" w:color="000000"/>
              <w:right w:val="nil"/>
              <w:tl2br w:val="nil"/>
              <w:tr2bl w:val="nil"/>
            </w:tcBorders>
            <w:shd w:val="clear" w:color="FFFFFF" w:fill="D9D9D9"/>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Program 1.3: Supporting a strong resources sector</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63,925</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128,101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84,710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52,744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38,334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15,433</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18,049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18,798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17,344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17,836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3,767</w:t>
            </w:r>
          </w:p>
        </w:tc>
        <w:tc>
          <w:tcPr>
            <w:tcW w:w="975"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2,763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2,754</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83,185</w:t>
            </w:r>
          </w:p>
        </w:tc>
        <w:tc>
          <w:tcPr>
            <w:tcW w:w="97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149,213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106,331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72,902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59,007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69,107</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69,476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59,957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56,505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54,974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288</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4,785</w:t>
            </w:r>
          </w:p>
        </w:tc>
        <w:tc>
          <w:tcPr>
            <w:tcW w:w="975"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4,624</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3,416</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3,349</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3,349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74,180</w:t>
            </w:r>
          </w:p>
        </w:tc>
        <w:tc>
          <w:tcPr>
            <w:tcW w:w="97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74,100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63,373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59,854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58,323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157,365</w:t>
            </w:r>
          </w:p>
        </w:tc>
        <w:tc>
          <w:tcPr>
            <w:tcW w:w="97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223,313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169,704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132,756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117,330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85" w:type="dxa"/>
            <w:gridSpan w:val="6"/>
            <w:tcBorders>
              <w:top w:val="single" w:sz="4" w:space="0" w:color="000000"/>
              <w:left w:val="nil"/>
              <w:bottom w:val="single" w:sz="4" w:space="0" w:color="000000"/>
              <w:right w:val="nil"/>
              <w:tl2br w:val="nil"/>
              <w:tr2bl w:val="nil"/>
            </w:tcBorders>
            <w:shd w:val="clear" w:color="FFFFFF" w:fill="D9D9D9"/>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2,617,012</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2,873,554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2,593,034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1,829,035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1,768,026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Less payments to corporate entities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(1,280,331)</w:t>
            </w:r>
          </w:p>
        </w:tc>
        <w:tc>
          <w:tcPr>
            <w:tcW w:w="975" w:type="dxa"/>
            <w:tcBorders>
              <w:top w:val="nil"/>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(1,340,720)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(1,339,326)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(1,223,388)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(1,239,384)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15,433</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18,049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18,798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17,344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17,836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34,632</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41,430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39,834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39,017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39,387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Less payments to corporate entities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(34,572)</w:t>
            </w:r>
          </w:p>
        </w:tc>
        <w:tc>
          <w:tcPr>
            <w:tcW w:w="975" w:type="dxa"/>
            <w:tcBorders>
              <w:top w:val="nil"/>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(41,370)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(39,774)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(38,957)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(39,327)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3,767</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1,314,903</w:t>
            </w:r>
          </w:p>
        </w:tc>
        <w:tc>
          <w:tcPr>
            <w:tcW w:w="975"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1,382,090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1,379,100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1,262,345</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1,278,711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2,670,844</w:t>
            </w:r>
          </w:p>
        </w:tc>
        <w:tc>
          <w:tcPr>
            <w:tcW w:w="97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2,936,036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2,654,429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1,888,150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1,828,026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502,005</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525,875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448,556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424,133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412,583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88,092</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66,859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62,775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57,465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55,821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8,142</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5,512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41,244</w:t>
            </w:r>
          </w:p>
        </w:tc>
        <w:tc>
          <w:tcPr>
            <w:tcW w:w="975"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39,863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29,451</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28,869</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28,869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639,483</w:t>
            </w:r>
          </w:p>
        </w:tc>
        <w:tc>
          <w:tcPr>
            <w:tcW w:w="97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638,794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546,318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515,979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502,785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3,310,327</w:t>
            </w:r>
          </w:p>
        </w:tc>
        <w:tc>
          <w:tcPr>
            <w:tcW w:w="97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3,574,830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3,200,747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2,404,129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2,330,811</w:t>
            </w:r>
          </w:p>
        </w:tc>
      </w:tr>
    </w:tbl>
    <w:p w:rsidR="000C45CE" w:rsidRDefault="00BA7A7F" w:rsidP="00F742E8">
      <w:pPr>
        <w:keepLines w:val="0"/>
        <w:spacing w:after="200" w:line="276" w:lineRule="auto"/>
        <w:jc w:val="left"/>
        <w:rPr>
          <w:rStyle w:val="Hyperlink"/>
        </w:rPr>
      </w:pPr>
      <w:r>
        <w:rPr>
          <w:rStyle w:val="Hyperlink"/>
        </w:rPr>
        <w:br w:type="page"/>
      </w:r>
    </w:p>
    <w:p w:rsidR="00F81566" w:rsidRDefault="00BA7A7F" w:rsidP="00F81566">
      <w:pPr>
        <w:pStyle w:val="TableHeading"/>
        <w:keepLines/>
        <w:pageBreakBefore/>
        <w:spacing w:before="0"/>
        <w:rPr>
          <w:bdr w:val="none" w:sz="0" w:space="0" w:color="auto" w:frame="1"/>
        </w:rPr>
      </w:pPr>
      <w:r>
        <w:rPr>
          <w:bdr w:val="none" w:sz="0" w:space="0" w:color="auto" w:frame="1"/>
        </w:rPr>
        <w:t>Table 2.1.1: Budgeted expenses for Outcome 1 (continued)</w:t>
      </w:r>
    </w:p>
    <w:tbl>
      <w:tblPr>
        <w:tblStyle w:val="CDMRange1"/>
        <w:tblW w:w="7785" w:type="dxa"/>
        <w:tblLayout w:type="fixed"/>
        <w:tblLook w:val="0600" w:firstRow="0" w:lastRow="0" w:firstColumn="0" w:lastColumn="0" w:noHBand="1" w:noVBand="1"/>
      </w:tblPr>
      <w:tblGrid>
        <w:gridCol w:w="2910"/>
        <w:gridCol w:w="975"/>
        <w:gridCol w:w="975"/>
        <w:gridCol w:w="975"/>
        <w:gridCol w:w="975"/>
        <w:gridCol w:w="975"/>
      </w:tblGrid>
      <w:tr w:rsidR="00253274">
        <w:trPr>
          <w:trHeight w:hRule="exact" w:val="225"/>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 between years</w:t>
            </w:r>
            <w:r>
              <w:rPr>
                <w:rFonts w:ascii="Arial" w:eastAsia="Arial" w:hAnsi="Arial" w:cs="Arial"/>
                <w:color w:val="000000"/>
                <w:sz w:val="16"/>
              </w:rPr>
              <w:t xml:space="preserve"> (d)</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Program 1.2</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Supply Chain Resilience Initiative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5,400</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Program 1.3</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Offshore Electricity Registrar</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w:t>
            </w:r>
          </w:p>
        </w:tc>
        <w:tc>
          <w:tcPr>
            <w:tcW w:w="975"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 administered funds</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5,311</w:t>
            </w:r>
          </w:p>
        </w:tc>
        <w:tc>
          <w:tcPr>
            <w:tcW w:w="97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(5,400)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single" w:sz="4" w:space="0" w:color="000000"/>
              <w:right w:val="nil"/>
              <w:tl2br w:val="nil"/>
              <w:tr2bl w:val="nil"/>
            </w:tcBorders>
            <w:shd w:val="clear" w:color="FFFFFF" w:fill="D9D9D9"/>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2,626</w:t>
            </w:r>
          </w:p>
        </w:tc>
        <w:tc>
          <w:tcPr>
            <w:tcW w:w="97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2,782</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bl>
    <w:p w:rsidR="00DD34B4" w:rsidRPr="004440FA" w:rsidRDefault="00BA7A7F" w:rsidP="000362C8">
      <w:pPr>
        <w:pStyle w:val="ChartandTableFootnoteAlpha"/>
        <w:keepNext w:val="0"/>
        <w:keepLines w:val="0"/>
        <w:numPr>
          <w:ilvl w:val="0"/>
          <w:numId w:val="14"/>
        </w:numPr>
        <w:tabs>
          <w:tab w:val="left" w:pos="720"/>
        </w:tabs>
        <w:spacing w:line="240" w:lineRule="auto"/>
      </w:pPr>
      <w:r w:rsidRPr="004440FA">
        <w:t>Estimated expenses incurred in relation to receipts retained under section 74 of the PGPA Act.</w:t>
      </w:r>
    </w:p>
    <w:p w:rsidR="00DD34B4" w:rsidRPr="004440FA" w:rsidRDefault="00BA7A7F" w:rsidP="000362C8">
      <w:pPr>
        <w:pStyle w:val="ChartandTableFootnoteAlpha"/>
        <w:keepNext w:val="0"/>
        <w:keepLines w:val="0"/>
        <w:numPr>
          <w:ilvl w:val="0"/>
          <w:numId w:val="14"/>
        </w:numPr>
        <w:tabs>
          <w:tab w:val="left" w:pos="720"/>
        </w:tabs>
        <w:spacing w:line="240" w:lineRule="auto"/>
      </w:pPr>
      <w:r w:rsidRPr="004440FA">
        <w:t xml:space="preserve">Expenses not </w:t>
      </w:r>
      <w:r>
        <w:t>requiring appropriation in the B</w:t>
      </w:r>
      <w:r w:rsidRPr="004440FA">
        <w:t>udget year are made up of depreciation / amortisation expenses, audit fees, and approved operating losses.</w:t>
      </w:r>
    </w:p>
    <w:p w:rsidR="00861E76" w:rsidRPr="004440FA" w:rsidRDefault="00BA7A7F" w:rsidP="00861E76">
      <w:pPr>
        <w:pStyle w:val="ChartandTableFootnoteAlpha"/>
        <w:keepNext w:val="0"/>
        <w:keepLines w:val="0"/>
        <w:numPr>
          <w:ilvl w:val="0"/>
          <w:numId w:val="14"/>
        </w:numPr>
        <w:tabs>
          <w:tab w:val="left" w:pos="720"/>
        </w:tabs>
        <w:spacing w:line="240" w:lineRule="auto"/>
        <w:ind w:left="357" w:hanging="357"/>
      </w:pPr>
      <w:r w:rsidRPr="004440FA">
        <w:t>Expenses not requiring appropriation relate</w:t>
      </w:r>
      <w:r>
        <w:t xml:space="preserve"> to </w:t>
      </w:r>
      <w:r w:rsidRPr="004440FA">
        <w:t>expenses for restoration provisions associ</w:t>
      </w:r>
      <w:r>
        <w:t>ated with Ranger Rehabilitation and</w:t>
      </w:r>
      <w:r w:rsidRPr="004440FA">
        <w:t xml:space="preserve"> depreciation and amortisation expenses for the National Offshore Petroleum Titles Administrator.</w:t>
      </w:r>
    </w:p>
    <w:p w:rsidR="00DD34B4" w:rsidRDefault="00BA7A7F" w:rsidP="000362C8">
      <w:pPr>
        <w:pStyle w:val="ChartandTableFootnoteAlpha"/>
        <w:keepNext w:val="0"/>
        <w:keepLines w:val="0"/>
        <w:numPr>
          <w:ilvl w:val="0"/>
          <w:numId w:val="14"/>
        </w:numPr>
        <w:tabs>
          <w:tab w:val="left" w:pos="720"/>
        </w:tabs>
        <w:spacing w:line="240" w:lineRule="auto"/>
      </w:pPr>
      <w:r w:rsidRPr="004440FA">
        <w:t>Figures displayed as a negative (-) represent a decrease in funds and a positive (+) represent an increase in funds.</w:t>
      </w:r>
    </w:p>
    <w:p w:rsidR="000541FA" w:rsidRPr="000541FA" w:rsidRDefault="00BA7A7F" w:rsidP="0065336D">
      <w:pPr>
        <w:spacing w:line="220" w:lineRule="atLeast"/>
        <w:rPr>
          <w:rFonts w:ascii="Arial" w:hAnsi="Arial" w:cs="Arial"/>
          <w:sz w:val="16"/>
          <w:szCs w:val="16"/>
        </w:rPr>
      </w:pPr>
      <w:r>
        <w:rPr>
          <w:rFonts w:ascii="Arial" w:hAnsi="Arial" w:cs="Arial"/>
          <w:sz w:val="16"/>
          <w:szCs w:val="16"/>
        </w:rPr>
        <w:t xml:space="preserve">Note: </w:t>
      </w:r>
      <w:r w:rsidRPr="000541FA">
        <w:rPr>
          <w:rFonts w:ascii="Arial" w:hAnsi="Arial" w:cs="Arial"/>
          <w:sz w:val="16"/>
          <w:szCs w:val="16"/>
        </w:rPr>
        <w:t>Departmental appropriation splits and totals are indicative estimates and may change in the course of the budget year as government priorities change.</w:t>
      </w:r>
    </w:p>
    <w:p w:rsidR="008D04B7" w:rsidRDefault="00BA7A7F" w:rsidP="002C19B1">
      <w:pPr>
        <w:pStyle w:val="TableHeading"/>
        <w:keepLines/>
        <w:pageBreakBefore/>
      </w:pPr>
      <w:bookmarkStart w:id="148" w:name="RG_MARKER_11748"/>
      <w:bookmarkStart w:id="149" w:name="RG_MARKER_12072"/>
      <w:r w:rsidRPr="002E3447">
        <w:t>Table 2</w:t>
      </w:r>
      <w:bookmarkEnd w:id="148"/>
      <w:bookmarkEnd w:id="149"/>
      <w:r>
        <w:t>.1</w:t>
      </w:r>
      <w:r w:rsidRPr="002E3447">
        <w:t>.</w:t>
      </w:r>
      <w:r>
        <w:t>2</w:t>
      </w:r>
      <w:r w:rsidRPr="002E3447">
        <w:t xml:space="preserve">: </w:t>
      </w:r>
      <w:r>
        <w:t>Program</w:t>
      </w:r>
      <w:r w:rsidRPr="002E3447">
        <w:t xml:space="preserve"> </w:t>
      </w:r>
      <w:r>
        <w:t xml:space="preserve">components of </w:t>
      </w:r>
      <w:r w:rsidRPr="002E3447">
        <w:t>Outcome 1</w:t>
      </w:r>
    </w:p>
    <w:tbl>
      <w:tblPr>
        <w:tblStyle w:val="CDMRange1"/>
        <w:tblW w:w="7695" w:type="dxa"/>
        <w:tblLayout w:type="fixed"/>
        <w:tblLook w:val="0600" w:firstRow="0" w:lastRow="0" w:firstColumn="0" w:lastColumn="0" w:noHBand="1" w:noVBand="1"/>
      </w:tblPr>
      <w:tblGrid>
        <w:gridCol w:w="2595"/>
        <w:gridCol w:w="1020"/>
        <w:gridCol w:w="1020"/>
        <w:gridCol w:w="1020"/>
        <w:gridCol w:w="1020"/>
        <w:gridCol w:w="1020"/>
      </w:tblGrid>
      <w:tr w:rsidR="00253274">
        <w:trPr>
          <w:trHeight w:val="225"/>
        </w:trPr>
        <w:tc>
          <w:tcPr>
            <w:tcW w:w="259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000000"/>
              <w:left w:val="nil"/>
              <w:bottom w:val="nil"/>
              <w:right w:val="nil"/>
              <w:tl2br w:val="nil"/>
              <w:tr2bl w:val="nil"/>
            </w:tcBorders>
            <w:shd w:val="clear" w:color="FFFFFF" w:fill="D9D9D9"/>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D9D9D9"/>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D9D9D9"/>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D9D9D9"/>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695" w:type="dxa"/>
            <w:gridSpan w:val="6"/>
            <w:tcBorders>
              <w:top w:val="single" w:sz="4" w:space="0" w:color="000000"/>
              <w:left w:val="nil"/>
              <w:bottom w:val="single" w:sz="4" w:space="0" w:color="000000"/>
              <w:right w:val="nil"/>
              <w:tl2br w:val="nil"/>
              <w:tr2bl w:val="nil"/>
            </w:tcBorders>
            <w:shd w:val="clear" w:color="FFFFFF" w:fill="D9D9D9"/>
            <w:tcMar>
              <w:left w:w="101" w:type="dxa"/>
              <w:right w:w="101" w:type="dxa"/>
            </w:tcMar>
            <w:vAlign w:val="center"/>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Program 1.1: Investing in science, technology and commercialisation</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95" w:type="dxa"/>
            <w:tcBorders>
              <w:top w:val="single" w:sz="4" w:space="0" w:color="000000"/>
              <w:left w:val="nil"/>
              <w:bottom w:val="nil"/>
              <w:right w:val="nil"/>
              <w:tl2br w:val="nil"/>
              <w:tr2bl w:val="nil"/>
            </w:tcBorders>
            <w:shd w:val="clear" w:color="auto" w:fill="auto"/>
            <w:tcMar>
              <w:left w:w="236" w:type="dxa"/>
              <w:right w:w="101"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9D9D9"/>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Access to World-leading Astronomy Infrastructure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13,250</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13,407</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13,497</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18,612</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13,643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Antarctic Science Collaboration Initiative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595"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Australian Quantum Ecosystem (a)</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Boosting Female Founders Initiative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17,472</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13,268</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12,202</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Building a World-class Onshore MRNA Ecosystem</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Business Research and Innovation Initiative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16,022</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5,875</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6,030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484</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7,038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Cooperative Research Centres Program</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189,395</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199,374</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193,117</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197,070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193,540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595" w:type="dxa"/>
            <w:tcBorders>
              <w:top w:val="nil"/>
              <w:left w:val="nil"/>
              <w:bottom w:val="nil"/>
              <w:right w:val="nil"/>
              <w:tl2br w:val="nil"/>
              <w:tr2bl w:val="nil"/>
            </w:tcBorders>
            <w:shd w:val="clear" w:color="auto" w:fill="auto"/>
            <w:noWrap/>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Digital Productivity</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595"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Global Science and Technology Diplomacy Fund</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19,599</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15,391</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14,400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10,840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10,840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595" w:type="dxa"/>
            <w:tcBorders>
              <w:top w:val="nil"/>
              <w:left w:val="nil"/>
              <w:bottom w:val="nil"/>
              <w:right w:val="nil"/>
              <w:tl2br w:val="nil"/>
              <w:tr2bl w:val="nil"/>
            </w:tcBorders>
            <w:shd w:val="clear" w:color="auto" w:fill="auto"/>
            <w:noWrap/>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Innovation Investment Fund Committee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147</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163</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595"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Inspiring All Australians in STEM</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12,518</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20,963</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24,683</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23,922</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20,509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595" w:type="dxa"/>
            <w:tcBorders>
              <w:top w:val="nil"/>
              <w:left w:val="nil"/>
              <w:bottom w:val="nil"/>
              <w:right w:val="nil"/>
              <w:tl2br w:val="nil"/>
              <w:tr2bl w:val="nil"/>
            </w:tcBorders>
            <w:shd w:val="clear" w:color="auto" w:fill="auto"/>
            <w:noWrap/>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National Carp Control Plan</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1,839</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1,838</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595" w:type="dxa"/>
            <w:tcBorders>
              <w:top w:val="nil"/>
              <w:left w:val="nil"/>
              <w:bottom w:val="nil"/>
              <w:right w:val="nil"/>
              <w:tl2br w:val="nil"/>
              <w:tr2bl w:val="nil"/>
            </w:tcBorders>
            <w:shd w:val="clear" w:color="auto" w:fill="auto"/>
            <w:noWrap/>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National Quantum Strategy</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7,012</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7,012</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7,012</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7,012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595"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National Research Centre for Disaster Resilience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8,000</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595"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Research and Development Tax Incentive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5,700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595"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Square Kilometre Array Radio Telescope Project</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146,115</w:t>
            </w:r>
          </w:p>
        </w:tc>
        <w:tc>
          <w:tcPr>
            <w:tcW w:w="1020" w:type="dxa"/>
            <w:tcBorders>
              <w:top w:val="nil"/>
              <w:left w:val="nil"/>
              <w:bottom w:val="single" w:sz="4" w:space="0" w:color="000000"/>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100,521</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68,444</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34,827</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44,470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236" w:type="dxa"/>
              <w:right w:w="101"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438,056</w:t>
            </w:r>
          </w:p>
        </w:tc>
        <w:tc>
          <w:tcPr>
            <w:tcW w:w="1020" w:type="dxa"/>
            <w:tcBorders>
              <w:top w:val="single" w:sz="4" w:space="0" w:color="000000"/>
              <w:left w:val="nil"/>
              <w:bottom w:val="single" w:sz="4" w:space="0" w:color="000000"/>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399,496</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359,740</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320,030</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318,423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95" w:type="dxa"/>
            <w:tcBorders>
              <w:top w:val="nil"/>
              <w:left w:val="nil"/>
              <w:bottom w:val="single" w:sz="4" w:space="0" w:color="000000"/>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438,056</w:t>
            </w:r>
          </w:p>
        </w:tc>
        <w:tc>
          <w:tcPr>
            <w:tcW w:w="1020" w:type="dxa"/>
            <w:tcBorders>
              <w:top w:val="single" w:sz="4" w:space="0" w:color="000000"/>
              <w:left w:val="nil"/>
              <w:bottom w:val="single" w:sz="4" w:space="0" w:color="000000"/>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399,496</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359,740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320,030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318,423</w:t>
            </w:r>
          </w:p>
        </w:tc>
      </w:tr>
    </w:tbl>
    <w:p w:rsidR="00B77AFE" w:rsidRPr="00901A32" w:rsidRDefault="00BA7A7F" w:rsidP="00901A32">
      <w:pPr>
        <w:pStyle w:val="TableGraphic"/>
        <w:keepLines/>
        <w:spacing w:after="240"/>
      </w:pPr>
      <w:r>
        <w:br w:type="page"/>
      </w:r>
    </w:p>
    <w:p w:rsidR="006063DC" w:rsidRDefault="00BA7A7F" w:rsidP="006063DC">
      <w:pPr>
        <w:pStyle w:val="TableHeading"/>
        <w:keepLines/>
      </w:pPr>
      <w:r>
        <w:t>Table 2.1.2: Program components of Outcome 1 (continued)</w:t>
      </w:r>
    </w:p>
    <w:tbl>
      <w:tblPr>
        <w:tblStyle w:val="CDMRange2"/>
        <w:tblW w:w="7695" w:type="dxa"/>
        <w:tblLayout w:type="fixed"/>
        <w:tblLook w:val="0600" w:firstRow="0" w:lastRow="0" w:firstColumn="0" w:lastColumn="0" w:noHBand="1" w:noVBand="1"/>
      </w:tblPr>
      <w:tblGrid>
        <w:gridCol w:w="2595"/>
        <w:gridCol w:w="1020"/>
        <w:gridCol w:w="1020"/>
        <w:gridCol w:w="1020"/>
        <w:gridCol w:w="1020"/>
        <w:gridCol w:w="1020"/>
      </w:tblGrid>
      <w:tr w:rsidR="00253274">
        <w:trPr>
          <w:trHeight w:val="225"/>
        </w:trPr>
        <w:tc>
          <w:tcPr>
            <w:tcW w:w="259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000000"/>
              <w:left w:val="nil"/>
              <w:bottom w:val="nil"/>
              <w:right w:val="nil"/>
              <w:tl2br w:val="nil"/>
              <w:tr2bl w:val="nil"/>
            </w:tcBorders>
            <w:shd w:val="clear" w:color="FFFFFF" w:fill="D9D9D9"/>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D9D9D9"/>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D9D9D9"/>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D9D9D9"/>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695" w:type="dxa"/>
            <w:gridSpan w:val="6"/>
            <w:tcBorders>
              <w:top w:val="single" w:sz="4" w:space="0" w:color="000000"/>
              <w:left w:val="nil"/>
              <w:bottom w:val="single" w:sz="4" w:space="0" w:color="000000"/>
              <w:right w:val="nil"/>
              <w:tl2br w:val="nil"/>
              <w:tr2bl w:val="nil"/>
            </w:tcBorders>
            <w:shd w:val="clear" w:color="FFFFFF" w:fill="D9D9D9"/>
            <w:tcMar>
              <w:left w:w="40" w:type="dxa"/>
              <w:right w:w="40" w:type="dxa"/>
            </w:tcMar>
            <w:vAlign w:val="center"/>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Program 1.2: Growing innovative and competitive businesses, industries and regions</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single" w:sz="4" w:space="0" w:color="000000"/>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9D9D9"/>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595" w:type="dxa"/>
            <w:tcBorders>
              <w:top w:val="nil"/>
              <w:left w:val="nil"/>
              <w:bottom w:val="nil"/>
              <w:right w:val="nil"/>
              <w:tl2br w:val="nil"/>
              <w:tr2bl w:val="nil"/>
            </w:tcBorders>
            <w:shd w:val="clear" w:color="FFFFFF" w:fill="FFFFFF"/>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ACE EV Group Advanced Manufacturing Facility and Vehicle to the Grid Trial</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Additional Support for Manufacturing and Supply Chains</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76,800</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143,993</w:t>
            </w:r>
          </w:p>
        </w:tc>
        <w:tc>
          <w:tcPr>
            <w:tcW w:w="1020"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157,598</w:t>
            </w:r>
          </w:p>
        </w:tc>
        <w:tc>
          <w:tcPr>
            <w:tcW w:w="1020"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12,098</w:t>
            </w:r>
          </w:p>
        </w:tc>
        <w:tc>
          <w:tcPr>
            <w:tcW w:w="1020"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Advanced Manufacturing Growth Fund</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1,920</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Artificial Intelligence Action Plan</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22,176</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40,568</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42,338</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22,304</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8,104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Artificial Intelligence Capability Fund</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Asialink Business</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2,997</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3,099</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2595" w:type="dxa"/>
            <w:tcBorders>
              <w:top w:val="nil"/>
              <w:left w:val="nil"/>
              <w:bottom w:val="nil"/>
              <w:right w:val="nil"/>
              <w:tl2br w:val="nil"/>
              <w:tr2bl w:val="nil"/>
            </w:tcBorders>
            <w:shd w:val="clear" w:color="FFFFFF" w:fill="FFFFFF"/>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Australian Business Number and Business Names Registration System - expansion</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Australian Made Export Campaign</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COVID-19 Response Package - PPE</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204</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Delivering Cyber Security Skills for a Digital Economy</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24,307</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23,000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21,000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Diesel Exhaust Fluid Security</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29,953</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FFFFFF" w:fill="FFFFFF"/>
            <w:noWrap/>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Digital Skills Finder Platform</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1,250</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Empowering Businesses to Go Digital</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410</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Encouraging Innovation in Advanced Manufacturing</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2,466</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FFFFFF" w:fill="FFFFFF"/>
            <w:noWrap/>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Entrepreneurs' Programme</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131,994</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145,645</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127,143</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127,994</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135,634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Geocoded National Address File (a)</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6,451</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6,580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6,711</w:t>
            </w:r>
          </w:p>
        </w:tc>
        <w:tc>
          <w:tcPr>
            <w:tcW w:w="102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Growing Australia's Space Industry</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8,500</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44,500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63,000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59,000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International Space Investment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8,109</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8,891</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Manufacturing Modernisation Fund</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47,800</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13,350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Modern Manufacturing Initiative</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420,901</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520,000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340,000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Mossman Mill Transition Program</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3,524</w:t>
            </w:r>
          </w:p>
        </w:tc>
        <w:tc>
          <w:tcPr>
            <w:tcW w:w="1020" w:type="dxa"/>
            <w:tcBorders>
              <w:top w:val="nil"/>
              <w:left w:val="nil"/>
              <w:bottom w:val="nil"/>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single" w:sz="4" w:space="0" w:color="000000"/>
              <w:right w:val="nil"/>
              <w:tl2br w:val="nil"/>
              <w:tr2bl w:val="nil"/>
            </w:tcBorders>
            <w:shd w:val="clear" w:color="FFFFFF" w:fill="FFFFFF"/>
            <w:noWrap/>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National Innovation Games</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808</w:t>
            </w:r>
          </w:p>
        </w:tc>
        <w:tc>
          <w:tcPr>
            <w:tcW w:w="1020" w:type="dxa"/>
            <w:tcBorders>
              <w:top w:val="nil"/>
              <w:left w:val="nil"/>
              <w:bottom w:val="single" w:sz="4" w:space="0" w:color="000000"/>
              <w:right w:val="nil"/>
              <w:tl2br w:val="nil"/>
              <w:tr2bl w:val="nil"/>
            </w:tcBorders>
            <w:shd w:val="clear" w:color="FFFFFF" w:fill="D9D9D9"/>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bl>
    <w:p w:rsidR="004116DB" w:rsidRDefault="00BA7A7F" w:rsidP="00901A32">
      <w:r>
        <w:br w:type="page"/>
      </w:r>
    </w:p>
    <w:p w:rsidR="004116DB" w:rsidRDefault="00BA7A7F" w:rsidP="004116DB">
      <w:pPr>
        <w:pStyle w:val="TableHeading"/>
        <w:keepLines/>
      </w:pPr>
      <w:r>
        <w:t>Table 2.1.2: Program components of Outcome 1 (continued)</w:t>
      </w:r>
    </w:p>
    <w:tbl>
      <w:tblPr>
        <w:tblStyle w:val="CDMRange1"/>
        <w:tblW w:w="7695" w:type="dxa"/>
        <w:tblLayout w:type="fixed"/>
        <w:tblLook w:val="0600" w:firstRow="0" w:lastRow="0" w:firstColumn="0" w:lastColumn="0" w:noHBand="1" w:noVBand="1"/>
      </w:tblPr>
      <w:tblGrid>
        <w:gridCol w:w="2595"/>
        <w:gridCol w:w="1020"/>
        <w:gridCol w:w="1020"/>
        <w:gridCol w:w="1020"/>
        <w:gridCol w:w="1020"/>
        <w:gridCol w:w="1020"/>
      </w:tblGrid>
      <w:tr w:rsidR="00253274">
        <w:trPr>
          <w:trHeight w:val="225"/>
        </w:trPr>
        <w:tc>
          <w:tcPr>
            <w:tcW w:w="259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000000"/>
              <w:left w:val="nil"/>
              <w:bottom w:val="nil"/>
              <w:right w:val="nil"/>
              <w:tl2br w:val="nil"/>
              <w:tr2bl w:val="nil"/>
            </w:tcBorders>
            <w:shd w:val="clear" w:color="FFFFFF" w:fill="D9D9D9"/>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D9D9D9"/>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D9D9D9"/>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695" w:type="dxa"/>
            <w:gridSpan w:val="6"/>
            <w:tcBorders>
              <w:top w:val="single" w:sz="4" w:space="0" w:color="000000"/>
              <w:left w:val="nil"/>
              <w:bottom w:val="single" w:sz="4" w:space="0" w:color="000000"/>
              <w:right w:val="nil"/>
              <w:tl2br w:val="nil"/>
              <w:tr2bl w:val="nil"/>
            </w:tcBorders>
            <w:shd w:val="clear" w:color="FFFFFF" w:fill="D9D9D9"/>
            <w:tcMar>
              <w:left w:w="101" w:type="dxa"/>
              <w:right w:w="101" w:type="dxa"/>
            </w:tcMar>
            <w:vAlign w:val="center"/>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Program 1.2: Growing innovative and competitive businesses, industries and regions</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595"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Protecting Australia's National Interest in Critical and Emerging Technologies Standards</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632</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632</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632</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Securing Urea Supply for Transport and Agriculture (a)</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FFFFFF" w:fill="D9D9D9"/>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SME Export Hubs</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1,687</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357</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Space Infrastructure Fund</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4,300</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noWrap/>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Standards and Conformance Program</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Supply Chain Resilience Initiative</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17,400</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39,600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Support for an Australian Fashion Certification Trade Mark</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285</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Support for Industry Service Organisations program</w:t>
            </w:r>
          </w:p>
        </w:tc>
        <w:tc>
          <w:tcPr>
            <w:tcW w:w="1020" w:type="dxa"/>
            <w:tcBorders>
              <w:top w:val="nil"/>
              <w:left w:val="nil"/>
              <w:bottom w:val="nil"/>
              <w:right w:val="nil"/>
              <w:tl2br w:val="nil"/>
              <w:tr2bl w:val="nil"/>
            </w:tcBorders>
            <w:shd w:val="clear" w:color="FFFFFF" w:fill="FFFFFF"/>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5,289</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5,255</w:t>
            </w:r>
          </w:p>
        </w:tc>
        <w:tc>
          <w:tcPr>
            <w:tcW w:w="1020" w:type="dxa"/>
            <w:tcBorders>
              <w:top w:val="nil"/>
              <w:left w:val="nil"/>
              <w:bottom w:val="nil"/>
              <w:right w:val="nil"/>
              <w:tl2br w:val="nil"/>
              <w:tr2bl w:val="nil"/>
            </w:tcBorders>
            <w:shd w:val="clear" w:color="FFFFFF" w:fill="FFFFFF"/>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4,386</w:t>
            </w:r>
          </w:p>
        </w:tc>
        <w:tc>
          <w:tcPr>
            <w:tcW w:w="1020" w:type="dxa"/>
            <w:tcBorders>
              <w:top w:val="nil"/>
              <w:left w:val="nil"/>
              <w:bottom w:val="nil"/>
              <w:right w:val="nil"/>
              <w:tl2br w:val="nil"/>
              <w:tr2bl w:val="nil"/>
            </w:tcBorders>
            <w:shd w:val="clear" w:color="FFFFFF" w:fill="FFFFFF"/>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4,495</w:t>
            </w:r>
          </w:p>
        </w:tc>
        <w:tc>
          <w:tcPr>
            <w:tcW w:w="1020" w:type="dxa"/>
            <w:tcBorders>
              <w:top w:val="nil"/>
              <w:left w:val="nil"/>
              <w:bottom w:val="nil"/>
              <w:right w:val="nil"/>
              <w:tl2br w:val="nil"/>
              <w:tr2bl w:val="nil"/>
            </w:tcBorders>
            <w:shd w:val="clear" w:color="FFFFFF" w:fill="FFFFFF"/>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4,617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Support the National Space Mission for Earth Observation (a)</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FFFFFF" w:fill="D9D9D9"/>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Thermochemical Conversion Technology Trial Facility (a)</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5,013</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617</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595" w:type="dxa"/>
            <w:tcBorders>
              <w:top w:val="nil"/>
              <w:left w:val="nil"/>
              <w:bottom w:val="nil"/>
              <w:right w:val="nil"/>
              <w:tl2br w:val="nil"/>
              <w:tr2bl w:val="nil"/>
            </w:tcBorders>
            <w:shd w:val="clear" w:color="FFFFFF" w:fill="FFFFFF"/>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Using Blockchain Technology to Reduce Business Compliance Costs</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5,806</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236" w:type="dxa"/>
              <w:right w:w="101"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834,700</w:t>
            </w:r>
          </w:p>
        </w:tc>
        <w:tc>
          <w:tcPr>
            <w:tcW w:w="1020" w:type="dxa"/>
            <w:tcBorders>
              <w:top w:val="single" w:sz="4" w:space="0" w:color="000000"/>
              <w:left w:val="nil"/>
              <w:bottom w:val="single" w:sz="4" w:space="0" w:color="000000"/>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1,005,237</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809,258</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232,873</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171,885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single" w:sz="4" w:space="0" w:color="000000"/>
              <w:right w:val="nil"/>
              <w:tl2br w:val="nil"/>
              <w:tr2bl w:val="nil"/>
            </w:tcBorders>
            <w:shd w:val="clear" w:color="auto" w:fill="auto"/>
            <w:tcMar>
              <w:left w:w="101" w:type="dxa"/>
              <w:right w:w="101"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834,700</w:t>
            </w:r>
          </w:p>
        </w:tc>
        <w:tc>
          <w:tcPr>
            <w:tcW w:w="1020" w:type="dxa"/>
            <w:tcBorders>
              <w:top w:val="single" w:sz="4" w:space="0" w:color="000000"/>
              <w:left w:val="nil"/>
              <w:bottom w:val="single" w:sz="4" w:space="0" w:color="000000"/>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1,005,237</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809,258</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232,873</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171,885</w:t>
            </w:r>
          </w:p>
        </w:tc>
      </w:tr>
    </w:tbl>
    <w:p w:rsidR="00A14984" w:rsidRDefault="00BA7A7F">
      <w:pPr>
        <w:keepLines w:val="0"/>
        <w:spacing w:after="200" w:line="276" w:lineRule="auto"/>
        <w:jc w:val="left"/>
      </w:pPr>
      <w:r>
        <w:br w:type="page"/>
      </w:r>
    </w:p>
    <w:p w:rsidR="00A14984" w:rsidRDefault="00BA7A7F" w:rsidP="00A14984">
      <w:pPr>
        <w:pStyle w:val="TableHeading"/>
        <w:keepLines/>
      </w:pPr>
      <w:r>
        <w:t>Table 2.1.2: Program components of Outcome 1 (continued)</w:t>
      </w:r>
    </w:p>
    <w:tbl>
      <w:tblPr>
        <w:tblStyle w:val="CDMRange2"/>
        <w:tblW w:w="7680" w:type="dxa"/>
        <w:tblLayout w:type="fixed"/>
        <w:tblLook w:val="0600" w:firstRow="0" w:lastRow="0" w:firstColumn="0" w:lastColumn="0" w:noHBand="1" w:noVBand="1"/>
      </w:tblPr>
      <w:tblGrid>
        <w:gridCol w:w="2580"/>
        <w:gridCol w:w="1020"/>
        <w:gridCol w:w="1020"/>
        <w:gridCol w:w="1020"/>
        <w:gridCol w:w="1020"/>
        <w:gridCol w:w="1020"/>
      </w:tblGrid>
      <w:tr w:rsidR="00253274">
        <w:trPr>
          <w:trHeight w:val="225"/>
        </w:trPr>
        <w:tc>
          <w:tcPr>
            <w:tcW w:w="2580"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000000"/>
              <w:left w:val="nil"/>
              <w:bottom w:val="nil"/>
              <w:right w:val="nil"/>
              <w:tl2br w:val="nil"/>
              <w:tr2bl w:val="nil"/>
            </w:tcBorders>
            <w:shd w:val="clear" w:color="FFFFFF" w:fill="D9D9D9"/>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vMerge/>
            <w:tcBorders>
              <w:top w:val="nil"/>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D9D9D9"/>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vMerge/>
            <w:tcBorders>
              <w:top w:val="nil"/>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D9D9D9"/>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D9D9D9"/>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680" w:type="dxa"/>
            <w:gridSpan w:val="6"/>
            <w:tcBorders>
              <w:top w:val="single" w:sz="4" w:space="0" w:color="000000"/>
              <w:left w:val="nil"/>
              <w:bottom w:val="single" w:sz="4" w:space="0" w:color="000000"/>
              <w:right w:val="nil"/>
              <w:tl2br w:val="nil"/>
              <w:tr2bl w:val="nil"/>
            </w:tcBorders>
            <w:shd w:val="clear" w:color="FFFFFF" w:fill="D9D9D9"/>
            <w:tcMar>
              <w:left w:w="40" w:type="dxa"/>
              <w:right w:w="40" w:type="dxa"/>
            </w:tcMar>
            <w:vAlign w:val="center"/>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Program 1.3: Supporting a strong resources sector</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single" w:sz="4" w:space="0" w:color="000000"/>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9D9D9"/>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Advancing Research and Development for Critical Minerals </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1,250</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Beetaloo Basin Drilling Program</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20,000</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Critical Minerals Accelerator Initiative</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37,500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37,500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Critical Minerals - Support for Supply Chains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Global Mining Challenge Program</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Long Term Handling of the Northern Endeavour (a)</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Maralinga Maintenance</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251</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253</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Maralinga Site Remediation (a)</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National Critical Minerals Research and Development Centre</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Offshore Electricity Registrar</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516</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Onshore Gas Social and Economic Research Fund</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4,609</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2,913</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2,913</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Petroleum Royalties Administration</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Positioning the Northern Land Council to deliver in the Beetaloo</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1,058</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543</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Resources and METS Industry Market Access Program</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Radioactive Waste Management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19,181</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25,337</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31,764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4,262</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Rum Jungle Mine Site - Environmental Rehabilitation (a)</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Shaping Australia to Capture the Global Hydrogen Opportunity</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South Asian LNG Partnership</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Strategic Basin Plans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11,770</w:t>
            </w:r>
          </w:p>
        </w:tc>
        <w:tc>
          <w:tcPr>
            <w:tcW w:w="102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Support for Ukraine (a)</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9"/>
        </w:trPr>
        <w:tc>
          <w:tcPr>
            <w:tcW w:w="2580" w:type="dxa"/>
            <w:tcBorders>
              <w:top w:val="nil"/>
              <w:left w:val="nil"/>
              <w:bottom w:val="single" w:sz="4" w:space="0" w:color="000000"/>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63,925</w:t>
            </w:r>
          </w:p>
        </w:tc>
        <w:tc>
          <w:tcPr>
            <w:tcW w:w="102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128,101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84,710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52,744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38,334</w:t>
            </w:r>
          </w:p>
        </w:tc>
      </w:tr>
    </w:tbl>
    <w:p w:rsidR="00A14984" w:rsidRDefault="00BA7A7F">
      <w:pPr>
        <w:keepLines w:val="0"/>
        <w:spacing w:after="200" w:line="276" w:lineRule="auto"/>
        <w:jc w:val="left"/>
      </w:pPr>
      <w:r>
        <w:br w:type="page"/>
      </w:r>
    </w:p>
    <w:p w:rsidR="00366556" w:rsidRDefault="00BA7A7F" w:rsidP="00366556">
      <w:pPr>
        <w:pStyle w:val="TableHeading"/>
        <w:keepLines/>
      </w:pPr>
      <w:r>
        <w:t>Table 2.1.2: Program components of Outcome 1 (continued)</w:t>
      </w:r>
    </w:p>
    <w:tbl>
      <w:tblPr>
        <w:tblStyle w:val="CDMRange1"/>
        <w:tblW w:w="7680" w:type="dxa"/>
        <w:tblLayout w:type="fixed"/>
        <w:tblLook w:val="0600" w:firstRow="0" w:lastRow="0" w:firstColumn="0" w:lastColumn="0" w:noHBand="1" w:noVBand="1"/>
      </w:tblPr>
      <w:tblGrid>
        <w:gridCol w:w="2580"/>
        <w:gridCol w:w="1020"/>
        <w:gridCol w:w="1020"/>
        <w:gridCol w:w="1020"/>
        <w:gridCol w:w="1020"/>
        <w:gridCol w:w="1020"/>
      </w:tblGrid>
      <w:tr w:rsidR="00253274">
        <w:trPr>
          <w:trHeight w:val="225"/>
        </w:trPr>
        <w:tc>
          <w:tcPr>
            <w:tcW w:w="2580"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000000"/>
              <w:left w:val="nil"/>
              <w:bottom w:val="nil"/>
              <w:right w:val="nil"/>
              <w:tl2br w:val="nil"/>
              <w:tr2bl w:val="nil"/>
            </w:tcBorders>
            <w:shd w:val="clear" w:color="FFFFFF" w:fill="D9D9D9"/>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vMerge/>
            <w:tcBorders>
              <w:top w:val="nil"/>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D9D9D9"/>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vMerge/>
            <w:tcBorders>
              <w:top w:val="nil"/>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D9D9D9"/>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vMerge/>
            <w:tcBorders>
              <w:top w:val="nil"/>
              <w:left w:val="nil"/>
              <w:bottom w:val="single" w:sz="4" w:space="0" w:color="000000"/>
              <w:right w:val="nil"/>
              <w:tl2br w:val="nil"/>
              <w:tr2bl w:val="nil"/>
            </w:tcBorders>
            <w:shd w:val="clear" w:color="auto" w:fill="auto"/>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D9D9D9"/>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680" w:type="dxa"/>
            <w:gridSpan w:val="6"/>
            <w:tcBorders>
              <w:top w:val="single" w:sz="4" w:space="0" w:color="000000"/>
              <w:left w:val="nil"/>
              <w:bottom w:val="single" w:sz="4" w:space="0" w:color="000000"/>
              <w:right w:val="nil"/>
              <w:tl2br w:val="nil"/>
              <w:tr2bl w:val="nil"/>
            </w:tcBorders>
            <w:shd w:val="clear" w:color="FFFFFF" w:fill="D9D9D9"/>
            <w:tcMar>
              <w:left w:w="101" w:type="dxa"/>
              <w:right w:w="101" w:type="dxa"/>
            </w:tcMar>
            <w:vAlign w:val="center"/>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Program 1.3: Supporting a strong resources sector</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80" w:type="dxa"/>
            <w:tcBorders>
              <w:top w:val="single" w:sz="4" w:space="0" w:color="000000"/>
              <w:left w:val="nil"/>
              <w:bottom w:val="nil"/>
              <w:right w:val="nil"/>
              <w:tl2br w:val="nil"/>
              <w:tr2bl w:val="nil"/>
            </w:tcBorders>
            <w:shd w:val="clear" w:color="auto" w:fill="auto"/>
            <w:tcMar>
              <w:left w:w="236" w:type="dxa"/>
              <w:right w:w="101"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Special appropriation:</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9D9D9"/>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80"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Offshore Minerals Act 1994</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20" w:type="dxa"/>
            <w:tcBorders>
              <w:top w:val="nil"/>
              <w:left w:val="nil"/>
              <w:bottom w:val="nil"/>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80" w:type="dxa"/>
            <w:tcBorders>
              <w:top w:val="nil"/>
              <w:left w:val="nil"/>
              <w:bottom w:val="nil"/>
              <w:right w:val="nil"/>
              <w:tl2br w:val="nil"/>
              <w:tr2bl w:val="nil"/>
            </w:tcBorders>
            <w:shd w:val="clear" w:color="auto" w:fill="auto"/>
            <w:tcMar>
              <w:left w:w="236" w:type="dxa"/>
              <w:right w:w="101"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appropriation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2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80" w:type="dxa"/>
            <w:tcBorders>
              <w:top w:val="nil"/>
              <w:left w:val="nil"/>
              <w:bottom w:val="nil"/>
              <w:right w:val="nil"/>
              <w:tl2br w:val="nil"/>
              <w:tr2bl w:val="nil"/>
            </w:tcBorders>
            <w:shd w:val="clear" w:color="auto" w:fill="auto"/>
            <w:tcMar>
              <w:left w:w="236" w:type="dxa"/>
              <w:right w:w="101"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Special account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9D9D9"/>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80"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Titles Administrator</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15,433</w:t>
            </w:r>
          </w:p>
        </w:tc>
        <w:tc>
          <w:tcPr>
            <w:tcW w:w="1020" w:type="dxa"/>
            <w:tcBorders>
              <w:top w:val="nil"/>
              <w:left w:val="nil"/>
              <w:bottom w:val="single" w:sz="4" w:space="0" w:color="000000"/>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18,049</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18,798</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17,344</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17,836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80" w:type="dxa"/>
            <w:tcBorders>
              <w:top w:val="nil"/>
              <w:left w:val="nil"/>
              <w:bottom w:val="nil"/>
              <w:right w:val="nil"/>
              <w:tl2br w:val="nil"/>
              <w:tr2bl w:val="nil"/>
            </w:tcBorders>
            <w:shd w:val="clear" w:color="auto" w:fill="auto"/>
            <w:tcMar>
              <w:left w:w="236" w:type="dxa"/>
              <w:right w:w="101"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account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15,433</w:t>
            </w:r>
          </w:p>
        </w:tc>
        <w:tc>
          <w:tcPr>
            <w:tcW w:w="102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18,049</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18,798</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17,344</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17,836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80" w:type="dxa"/>
            <w:tcBorders>
              <w:top w:val="nil"/>
              <w:left w:val="nil"/>
              <w:bottom w:val="nil"/>
              <w:right w:val="nil"/>
              <w:tl2br w:val="nil"/>
              <w:tr2bl w:val="nil"/>
            </w:tcBorders>
            <w:shd w:val="clear" w:color="auto" w:fill="auto"/>
            <w:tcMar>
              <w:left w:w="236" w:type="dxa"/>
              <w:right w:w="101"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Expenses not requiring appropriation:</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D9D9D9"/>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80"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Titles Administrator (b)</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2,333</w:t>
            </w:r>
          </w:p>
        </w:tc>
        <w:tc>
          <w:tcPr>
            <w:tcW w:w="102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1,865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1,930</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1,749</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1,974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80"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Ranger Rehabilitation (c)</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1,434</w:t>
            </w:r>
          </w:p>
        </w:tc>
        <w:tc>
          <w:tcPr>
            <w:tcW w:w="1020" w:type="dxa"/>
            <w:tcBorders>
              <w:top w:val="nil"/>
              <w:left w:val="nil"/>
              <w:bottom w:val="single" w:sz="4" w:space="0" w:color="000000"/>
              <w:right w:val="nil"/>
              <w:tl2br w:val="nil"/>
              <w:tr2bl w:val="nil"/>
            </w:tcBorders>
            <w:shd w:val="clear" w:color="FFFFFF" w:fill="D9D9D9"/>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1,138</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833</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1,005</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80" w:type="dxa"/>
            <w:tcBorders>
              <w:top w:val="nil"/>
              <w:left w:val="nil"/>
              <w:bottom w:val="nil"/>
              <w:right w:val="nil"/>
              <w:tl2br w:val="nil"/>
              <w:tr2bl w:val="nil"/>
            </w:tcBorders>
            <w:shd w:val="clear" w:color="auto" w:fill="auto"/>
            <w:tcMar>
              <w:left w:w="236" w:type="dxa"/>
              <w:right w:w="101"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not requiring appropriation in the Budget year</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3,767</w:t>
            </w:r>
          </w:p>
        </w:tc>
        <w:tc>
          <w:tcPr>
            <w:tcW w:w="102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3,003</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2,763</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2,754</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80" w:type="dxa"/>
            <w:tcBorders>
              <w:top w:val="nil"/>
              <w:left w:val="nil"/>
              <w:bottom w:val="single" w:sz="4" w:space="0" w:color="000000"/>
              <w:right w:val="nil"/>
              <w:tl2br w:val="nil"/>
              <w:tr2bl w:val="nil"/>
            </w:tcBorders>
            <w:shd w:val="clear" w:color="auto" w:fill="auto"/>
            <w:tcMar>
              <w:left w:w="101" w:type="dxa"/>
              <w:right w:w="101"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83,185</w:t>
            </w:r>
          </w:p>
        </w:tc>
        <w:tc>
          <w:tcPr>
            <w:tcW w:w="102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149,213</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106,331</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72,902</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59,007</w:t>
            </w:r>
          </w:p>
        </w:tc>
      </w:tr>
    </w:tbl>
    <w:p w:rsidR="00EA5D30" w:rsidRPr="004420AA" w:rsidRDefault="00BA7A7F" w:rsidP="00041B99">
      <w:pPr>
        <w:pStyle w:val="ChartandTableFootnoteAlpha"/>
        <w:keepNext w:val="0"/>
        <w:keepLines w:val="0"/>
        <w:numPr>
          <w:ilvl w:val="0"/>
          <w:numId w:val="15"/>
        </w:numPr>
        <w:spacing w:line="240" w:lineRule="auto"/>
        <w:ind w:left="357" w:hanging="357"/>
      </w:pPr>
      <w:r w:rsidRPr="004420AA">
        <w:t>The financial impact is not for publication (nfp) due to commercial-in-confidence considerations.</w:t>
      </w:r>
    </w:p>
    <w:p w:rsidR="00B82679" w:rsidRPr="004420AA" w:rsidRDefault="00BA7A7F" w:rsidP="00041B99">
      <w:pPr>
        <w:pStyle w:val="ChartandTableFootnoteAlpha"/>
        <w:keepNext w:val="0"/>
        <w:keepLines w:val="0"/>
        <w:numPr>
          <w:ilvl w:val="0"/>
          <w:numId w:val="15"/>
        </w:numPr>
        <w:spacing w:line="240" w:lineRule="auto"/>
        <w:ind w:left="357" w:hanging="357"/>
      </w:pPr>
      <w:r w:rsidRPr="004420AA">
        <w:t>Expenses not requiring appropriation relate to depreciation and amortisation expenses for the National Offshore Petroleum Titles Administrator.</w:t>
      </w:r>
    </w:p>
    <w:p w:rsidR="00542B1A" w:rsidRPr="004420AA" w:rsidRDefault="00BA7A7F" w:rsidP="00542B1A">
      <w:pPr>
        <w:pStyle w:val="ChartandTableFootnoteAlpha"/>
        <w:keepNext w:val="0"/>
        <w:keepLines w:val="0"/>
        <w:numPr>
          <w:ilvl w:val="0"/>
          <w:numId w:val="15"/>
        </w:numPr>
        <w:spacing w:line="240" w:lineRule="auto"/>
        <w:ind w:left="357" w:hanging="357"/>
      </w:pPr>
      <w:r w:rsidRPr="004420AA">
        <w:t xml:space="preserve">Expenses not requiring appropriation relate to expenses for restoration provisions for Ranger Rehabilitation. </w:t>
      </w:r>
    </w:p>
    <w:p w:rsidR="00EC7C07" w:rsidRDefault="00EC7C07" w:rsidP="0056664C">
      <w:pPr>
        <w:jc w:val="left"/>
        <w:rPr>
          <w:vanish/>
        </w:rPr>
      </w:pPr>
    </w:p>
    <w:p w:rsidR="00611D6D" w:rsidRPr="00173F70" w:rsidRDefault="00BA7A7F" w:rsidP="00FA1EB9">
      <w:pPr>
        <w:pStyle w:val="TableHeading"/>
        <w:keepLines/>
        <w:pageBreakBefore/>
        <w:spacing w:before="0"/>
        <w:rPr>
          <w:color w:val="000000"/>
        </w:rPr>
      </w:pPr>
      <w:bookmarkStart w:id="150" w:name="RG_MARKER_11737"/>
      <w:bookmarkStart w:id="151" w:name="RG_MARKER_12254"/>
      <w:r w:rsidRPr="00173F70">
        <w:rPr>
          <w:color w:val="000000"/>
        </w:rPr>
        <w:t>Table 2.1.3: Performance Criteria for Outcome 1</w:t>
      </w:r>
      <w:bookmarkEnd w:id="150"/>
      <w:bookmarkEnd w:id="151"/>
    </w:p>
    <w:p w:rsidR="00495997" w:rsidRDefault="00BA7A7F" w:rsidP="00E619C5">
      <w:pPr>
        <w:rPr>
          <w:color w:val="000000"/>
        </w:rPr>
      </w:pPr>
      <w:r w:rsidRPr="00173F70">
        <w:rPr>
          <w:color w:val="000000"/>
        </w:rPr>
        <w:t>Table 2.1.3 below details the performance criteria for each program associated with Outcome 1. It also summarises how each program is delivered and where</w:t>
      </w:r>
      <w:r>
        <w:rPr>
          <w:color w:val="000000"/>
        </w:rPr>
        <w:br/>
      </w:r>
      <w:r w:rsidRPr="00173F70">
        <w:rPr>
          <w:color w:val="000000"/>
        </w:rPr>
        <w:t>2022­23 Budget measures have created new programs or materially changed existing programs.</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53274" w:rsidTr="00F501E4">
        <w:trPr>
          <w:trHeight w:val="569"/>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F501E4" w:rsidRDefault="00BA7A7F">
            <w:pPr>
              <w:pStyle w:val="TableColumnHeadingLeft"/>
            </w:pPr>
            <w:r>
              <w:rPr>
                <w:rFonts w:cs="Arial"/>
                <w:color w:val="000000"/>
                <w:lang w:val="en-US" w:eastAsia="x-none"/>
              </w:rPr>
              <w:t xml:space="preserve">Outcome 1 – </w:t>
            </w:r>
            <w:r>
              <w:rPr>
                <w:rFonts w:cs="Arial"/>
                <w:color w:val="000000"/>
                <w:bdr w:val="none" w:sz="0" w:space="0" w:color="auto" w:frame="1"/>
              </w:rPr>
              <w:t>Support economic growth, productivity and job creation for all Australians by investing in science, technology and commercialisation, growing innovative and competitive businesses, industries and regions, and supporting resources</w:t>
            </w:r>
          </w:p>
        </w:tc>
      </w:tr>
      <w:tr w:rsidR="00253274" w:rsidTr="00F501E4">
        <w:trPr>
          <w:trHeight w:val="522"/>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F501E4" w:rsidRDefault="00BA7A7F">
            <w:pPr>
              <w:pStyle w:val="TableTextLeft"/>
              <w:rPr>
                <w:rFonts w:eastAsia="Calibri"/>
                <w:b/>
                <w:sz w:val="15"/>
                <w:szCs w:val="15"/>
              </w:rPr>
            </w:pPr>
            <w:r>
              <w:rPr>
                <w:rFonts w:eastAsia="Calibri"/>
                <w:b/>
              </w:rPr>
              <w:t>Program 1.1 – Investing in science, technology and commercialisation</w:t>
            </w:r>
            <w:r>
              <w:rPr>
                <w:rFonts w:eastAsia="Calibri"/>
                <w:b/>
                <w:sz w:val="15"/>
                <w:szCs w:val="15"/>
              </w:rPr>
              <w:t xml:space="preserve"> </w:t>
            </w:r>
          </w:p>
          <w:p w:rsidR="00F501E4" w:rsidRDefault="00BA7A7F" w:rsidP="007B76AB">
            <w:pPr>
              <w:tabs>
                <w:tab w:val="left" w:pos="709"/>
              </w:tabs>
              <w:spacing w:before="60" w:after="60" w:line="240" w:lineRule="auto"/>
              <w:rPr>
                <w:rFonts w:ascii="Arial" w:hAnsi="Arial" w:cs="Arial"/>
                <w:sz w:val="16"/>
                <w:szCs w:val="16"/>
              </w:rPr>
            </w:pPr>
            <w:r>
              <w:rPr>
                <w:rFonts w:ascii="Arial" w:hAnsi="Arial" w:cs="Arial"/>
                <w:sz w:val="16"/>
                <w:szCs w:val="16"/>
              </w:rPr>
              <w:t xml:space="preserve">This program aims to facilitate the development and uptake of new ideas and technology and translate them into commercial outcomes and enhanced productivity. </w:t>
            </w:r>
          </w:p>
          <w:p w:rsidR="00F501E4" w:rsidRDefault="00BA7A7F" w:rsidP="007B76AB">
            <w:pPr>
              <w:tabs>
                <w:tab w:val="left" w:pos="709"/>
              </w:tabs>
              <w:spacing w:before="60" w:after="60" w:line="240" w:lineRule="auto"/>
              <w:rPr>
                <w:rFonts w:ascii="Arial" w:hAnsi="Arial" w:cs="Arial"/>
                <w:sz w:val="16"/>
                <w:szCs w:val="16"/>
              </w:rPr>
            </w:pPr>
            <w:r>
              <w:rPr>
                <w:rFonts w:ascii="Arial" w:hAnsi="Arial" w:cs="Arial"/>
                <w:sz w:val="16"/>
                <w:szCs w:val="16"/>
              </w:rPr>
              <w:t xml:space="preserve">The department will measure and report on its progress towards the following intended results of the activity: </w:t>
            </w:r>
          </w:p>
          <w:p w:rsidR="00F501E4" w:rsidRDefault="00BA7A7F" w:rsidP="007B76AB">
            <w:pPr>
              <w:pStyle w:val="ListParagraph"/>
              <w:numPr>
                <w:ilvl w:val="0"/>
                <w:numId w:val="16"/>
              </w:numPr>
              <w:tabs>
                <w:tab w:val="left" w:pos="709"/>
              </w:tabs>
              <w:spacing w:before="60" w:after="60" w:line="240" w:lineRule="auto"/>
              <w:jc w:val="left"/>
              <w:rPr>
                <w:rFonts w:eastAsia="Times New Roman" w:cs="Arial"/>
                <w:sz w:val="16"/>
                <w:szCs w:val="16"/>
                <w:lang w:val="en-AU"/>
              </w:rPr>
            </w:pPr>
            <w:r>
              <w:rPr>
                <w:rFonts w:ascii="Arial" w:eastAsia="Times New Roman" w:hAnsi="Arial" w:cs="Arial"/>
                <w:sz w:val="16"/>
                <w:szCs w:val="16"/>
                <w:lang w:val="en-AU"/>
              </w:rPr>
              <w:t>Supporting and capitalising on national science expertise to drive innovation, enhance productivity and generate globally competitive solutions across the economy to improve Australia’s response to COVID</w:t>
            </w:r>
            <w:r>
              <w:rPr>
                <w:rFonts w:ascii="Arial" w:eastAsia="Times New Roman" w:hAnsi="Arial" w:cs="Arial"/>
                <w:sz w:val="16"/>
                <w:szCs w:val="16"/>
                <w:lang w:val="en-AU"/>
              </w:rPr>
              <w:noBreakHyphen/>
              <w:t xml:space="preserve">19 as well as addressing national and international challenges, such as in space, cyber, health, energy, climate change, resources, agriculture, disaster management and Artificial Intelligence (AI). </w:t>
            </w:r>
          </w:p>
          <w:p w:rsidR="00F501E4" w:rsidRDefault="00BA7A7F" w:rsidP="007B76AB">
            <w:pPr>
              <w:pStyle w:val="ListParagraph"/>
              <w:numPr>
                <w:ilvl w:val="0"/>
                <w:numId w:val="16"/>
              </w:numPr>
              <w:tabs>
                <w:tab w:val="left" w:pos="709"/>
              </w:tabs>
              <w:spacing w:before="60" w:after="60" w:line="240" w:lineRule="auto"/>
              <w:jc w:val="left"/>
              <w:rPr>
                <w:rFonts w:eastAsia="Times New Roman" w:cs="Arial"/>
                <w:sz w:val="16"/>
                <w:szCs w:val="16"/>
                <w:lang w:val="en-AU"/>
              </w:rPr>
            </w:pPr>
            <w:r>
              <w:rPr>
                <w:rFonts w:ascii="Arial" w:eastAsia="Times New Roman" w:hAnsi="Arial" w:cs="Arial"/>
                <w:sz w:val="16"/>
                <w:szCs w:val="16"/>
                <w:lang w:val="en-AU"/>
              </w:rPr>
              <w:t xml:space="preserve">Promoting the growth of a highly skilled workforce through greater understanding, awareness and participation in science, technology, engineering and mathematics (STEM), particularly for women, Aboriginal and Torres Strait Islander Peoples and other underrepresented groups. </w:t>
            </w:r>
          </w:p>
          <w:p w:rsidR="00F501E4" w:rsidRDefault="00BA7A7F" w:rsidP="007B76AB">
            <w:pPr>
              <w:pStyle w:val="ListParagraph"/>
              <w:numPr>
                <w:ilvl w:val="0"/>
                <w:numId w:val="16"/>
              </w:numPr>
              <w:tabs>
                <w:tab w:val="left" w:pos="709"/>
              </w:tabs>
              <w:spacing w:before="60" w:after="60" w:line="240" w:lineRule="auto"/>
              <w:jc w:val="left"/>
              <w:rPr>
                <w:rFonts w:eastAsia="Times New Roman" w:cs="Arial"/>
                <w:sz w:val="16"/>
                <w:szCs w:val="16"/>
                <w:lang w:val="en-AU"/>
              </w:rPr>
            </w:pPr>
            <w:r>
              <w:rPr>
                <w:rFonts w:ascii="Arial" w:eastAsia="Times New Roman" w:hAnsi="Arial" w:cs="Arial"/>
                <w:sz w:val="16"/>
                <w:szCs w:val="16"/>
                <w:lang w:val="en-AU"/>
              </w:rPr>
              <w:t xml:space="preserve">Supporting basic research, business research and development, commercialisation and translation of research, and access to early stage finance, and encouraging collaboration between industry and the research sector, including through Australia’s world class science agencies, and infrastructure. </w:t>
            </w:r>
          </w:p>
          <w:p w:rsidR="00017734" w:rsidRDefault="00BA7A7F" w:rsidP="00131DE5">
            <w:pPr>
              <w:pStyle w:val="ListParagraph"/>
              <w:numPr>
                <w:ilvl w:val="0"/>
                <w:numId w:val="16"/>
              </w:numPr>
              <w:tabs>
                <w:tab w:val="left" w:pos="709"/>
              </w:tabs>
              <w:spacing w:before="60" w:after="60" w:line="240" w:lineRule="auto"/>
              <w:ind w:left="714" w:hanging="357"/>
              <w:jc w:val="left"/>
              <w:rPr>
                <w:rFonts w:eastAsia="Times New Roman" w:cs="Arial"/>
                <w:sz w:val="16"/>
                <w:szCs w:val="16"/>
                <w:lang w:val="en-AU"/>
              </w:rPr>
            </w:pPr>
            <w:r>
              <w:rPr>
                <w:rFonts w:ascii="Arial" w:eastAsia="Times New Roman" w:hAnsi="Arial" w:cs="Arial"/>
                <w:sz w:val="16"/>
                <w:szCs w:val="16"/>
                <w:lang w:val="en-AU"/>
              </w:rPr>
              <w:t>Enabling Australia’s participation in world</w:t>
            </w:r>
            <w:r>
              <w:rPr>
                <w:rFonts w:ascii="Arial" w:eastAsia="Times New Roman" w:hAnsi="Arial" w:cs="Arial"/>
                <w:sz w:val="16"/>
                <w:szCs w:val="16"/>
                <w:lang w:val="en-AU"/>
              </w:rPr>
              <w:noBreakHyphen/>
              <w:t>leading science, supporting access to domestic and international science facilities and deepening international science engagement to drive Australia’s national interests.</w:t>
            </w:r>
          </w:p>
          <w:p w:rsidR="000C643A" w:rsidRPr="00792ABA" w:rsidRDefault="00BA7A7F" w:rsidP="000C643A">
            <w:pPr>
              <w:tabs>
                <w:tab w:val="left" w:pos="709"/>
              </w:tabs>
              <w:spacing w:before="60" w:after="60" w:line="240" w:lineRule="auto"/>
              <w:rPr>
                <w:rFonts w:ascii="Arial" w:hAnsi="Arial" w:cs="Arial"/>
                <w:sz w:val="16"/>
                <w:szCs w:val="16"/>
              </w:rPr>
            </w:pPr>
            <w:r w:rsidRPr="000C643A">
              <w:rPr>
                <w:rFonts w:ascii="Arial" w:hAnsi="Arial" w:cs="Arial"/>
                <w:sz w:val="16"/>
                <w:szCs w:val="16"/>
              </w:rPr>
              <w:t>Some of the measures listed below do not have a target, where it is not practicable to provide one.</w:t>
            </w:r>
          </w:p>
        </w:tc>
      </w:tr>
      <w:tr w:rsidR="00253274" w:rsidTr="007B76AB">
        <w:trPr>
          <w:trHeight w:val="259"/>
        </w:trPr>
        <w:tc>
          <w:tcPr>
            <w:tcW w:w="1560" w:type="dxa"/>
            <w:tcBorders>
              <w:top w:val="single" w:sz="4" w:space="0" w:color="auto"/>
              <w:left w:val="single" w:sz="4" w:space="0" w:color="auto"/>
              <w:bottom w:val="double" w:sz="4" w:space="0" w:color="auto"/>
              <w:right w:val="single" w:sz="4" w:space="0" w:color="auto"/>
            </w:tcBorders>
            <w:hideMark/>
          </w:tcPr>
          <w:p w:rsidR="00F501E4" w:rsidRDefault="00BA7A7F" w:rsidP="007B76AB">
            <w:pPr>
              <w:tabs>
                <w:tab w:val="left" w:pos="709"/>
              </w:tabs>
              <w:spacing w:before="60" w:after="60" w:line="240" w:lineRule="auto"/>
              <w:rPr>
                <w:rFonts w:ascii="Arial" w:hAnsi="Arial" w:cs="Arial"/>
                <w:b/>
                <w:sz w:val="16"/>
                <w:szCs w:val="16"/>
              </w:rPr>
            </w:pPr>
            <w:r>
              <w:rPr>
                <w:rFonts w:ascii="Arial" w:hAnsi="Arial" w:cs="Arial"/>
                <w:b/>
                <w:sz w:val="16"/>
                <w:szCs w:val="16"/>
              </w:rPr>
              <w:t>Key Activities (a)</w:t>
            </w:r>
          </w:p>
        </w:tc>
        <w:tc>
          <w:tcPr>
            <w:tcW w:w="6236" w:type="dxa"/>
            <w:gridSpan w:val="2"/>
            <w:tcBorders>
              <w:top w:val="single" w:sz="4" w:space="0" w:color="auto"/>
              <w:left w:val="single" w:sz="4" w:space="0" w:color="auto"/>
              <w:bottom w:val="double" w:sz="4" w:space="0" w:color="auto"/>
              <w:right w:val="single" w:sz="4" w:space="0" w:color="auto"/>
            </w:tcBorders>
            <w:hideMark/>
          </w:tcPr>
          <w:p w:rsidR="00F501E4" w:rsidRDefault="00BA7A7F" w:rsidP="007B76AB">
            <w:pPr>
              <w:tabs>
                <w:tab w:val="left" w:pos="709"/>
              </w:tabs>
              <w:spacing w:before="60" w:after="60" w:line="240" w:lineRule="auto"/>
              <w:rPr>
                <w:rFonts w:ascii="Arial" w:hAnsi="Arial" w:cs="Arial"/>
                <w:sz w:val="16"/>
                <w:szCs w:val="16"/>
              </w:rPr>
            </w:pPr>
            <w:r>
              <w:rPr>
                <w:rFonts w:ascii="Arial" w:hAnsi="Arial" w:cs="Arial"/>
                <w:sz w:val="16"/>
                <w:szCs w:val="16"/>
              </w:rPr>
              <w:t>Activity 1.1: Investing in science, technology and commercialisation</w:t>
            </w:r>
          </w:p>
        </w:tc>
      </w:tr>
      <w:tr w:rsidR="00253274" w:rsidTr="007B76AB">
        <w:trPr>
          <w:trHeight w:val="257"/>
        </w:trPr>
        <w:tc>
          <w:tcPr>
            <w:tcW w:w="1560" w:type="dxa"/>
            <w:tcBorders>
              <w:top w:val="double" w:sz="4" w:space="0" w:color="auto"/>
              <w:left w:val="single" w:sz="4" w:space="0" w:color="auto"/>
              <w:bottom w:val="single" w:sz="4" w:space="0" w:color="auto"/>
              <w:right w:val="single" w:sz="4" w:space="0" w:color="auto"/>
            </w:tcBorders>
          </w:tcPr>
          <w:p w:rsidR="00F501E4" w:rsidRDefault="00BA7A7F" w:rsidP="007B76AB">
            <w:pPr>
              <w:pStyle w:val="TableTextBase"/>
              <w:rPr>
                <w:rFonts w:eastAsia="Calibri"/>
                <w:b/>
                <w:sz w:val="16"/>
                <w:szCs w:val="16"/>
              </w:rPr>
            </w:pPr>
            <w:r>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F501E4" w:rsidRDefault="00BA7A7F" w:rsidP="007B76AB">
            <w:pPr>
              <w:pStyle w:val="TableTextBase"/>
              <w:rPr>
                <w:rFonts w:eastAsia="Calibri"/>
                <w:b/>
                <w:sz w:val="16"/>
                <w:szCs w:val="16"/>
              </w:rPr>
            </w:pPr>
            <w:r>
              <w:rPr>
                <w:rFonts w:eastAsia="Calibri"/>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F501E4" w:rsidRDefault="00BA7A7F" w:rsidP="007B76AB">
            <w:pPr>
              <w:pStyle w:val="TableTextBase"/>
              <w:rPr>
                <w:rFonts w:eastAsia="Calibri"/>
                <w:b/>
                <w:sz w:val="16"/>
                <w:szCs w:val="16"/>
              </w:rPr>
            </w:pPr>
            <w:r>
              <w:rPr>
                <w:rFonts w:eastAsia="Calibri"/>
                <w:b/>
                <w:sz w:val="16"/>
                <w:szCs w:val="16"/>
              </w:rPr>
              <w:t>Expected Performance Results</w:t>
            </w:r>
          </w:p>
        </w:tc>
      </w:tr>
      <w:tr w:rsidR="00253274" w:rsidTr="00BA6D0A">
        <w:trPr>
          <w:trHeight w:val="642"/>
        </w:trPr>
        <w:tc>
          <w:tcPr>
            <w:tcW w:w="1560" w:type="dxa"/>
            <w:vMerge w:val="restart"/>
            <w:tcBorders>
              <w:top w:val="single" w:sz="4" w:space="0" w:color="auto"/>
              <w:left w:val="single" w:sz="4" w:space="0" w:color="auto"/>
              <w:bottom w:val="dotted" w:sz="4" w:space="0" w:color="auto"/>
              <w:right w:val="single" w:sz="4" w:space="0" w:color="auto"/>
            </w:tcBorders>
          </w:tcPr>
          <w:p w:rsidR="00F501E4" w:rsidRDefault="00BA7A7F">
            <w:pPr>
              <w:pStyle w:val="TableTextBase"/>
              <w:rPr>
                <w:rFonts w:eastAsia="Calibri"/>
                <w:sz w:val="16"/>
                <w:szCs w:val="16"/>
              </w:rPr>
            </w:pPr>
            <w:r>
              <w:rPr>
                <w:rFonts w:eastAsia="Calibri"/>
                <w:sz w:val="16"/>
                <w:szCs w:val="16"/>
              </w:rPr>
              <w:t xml:space="preserve">Current year </w:t>
            </w:r>
          </w:p>
          <w:p w:rsidR="00F501E4" w:rsidRDefault="00BA7A7F">
            <w:pPr>
              <w:pStyle w:val="TableTextBase"/>
              <w:rPr>
                <w:rFonts w:eastAsia="Calibri"/>
                <w:sz w:val="16"/>
                <w:szCs w:val="16"/>
              </w:rPr>
            </w:pPr>
            <w:r>
              <w:rPr>
                <w:rFonts w:eastAsia="Calibri"/>
                <w:sz w:val="16"/>
                <w:szCs w:val="16"/>
              </w:rPr>
              <w:t>2021–22</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R&amp;D expenditure registered by entities with the department in order to claim the R&amp;D Tax Incentive through their annual tax returns.</w:t>
            </w:r>
          </w:p>
        </w:tc>
        <w:tc>
          <w:tcPr>
            <w:tcW w:w="3118" w:type="dxa"/>
            <w:tcBorders>
              <w:top w:val="single" w:sz="4" w:space="0" w:color="auto"/>
              <w:left w:val="single" w:sz="4" w:space="0" w:color="auto"/>
              <w:bottom w:val="single" w:sz="4" w:space="0" w:color="auto"/>
              <w:right w:val="single" w:sz="4" w:space="0" w:color="auto"/>
            </w:tcBorders>
          </w:tcPr>
          <w:p w:rsidR="00F501E4" w:rsidRDefault="00BA7A7F" w:rsidP="00131DE5">
            <w:pPr>
              <w:pStyle w:val="TableTextBase"/>
              <w:spacing w:after="0"/>
              <w:rPr>
                <w:rFonts w:eastAsia="Calibri"/>
                <w:sz w:val="16"/>
                <w:szCs w:val="16"/>
              </w:rPr>
            </w:pPr>
            <w:r>
              <w:rPr>
                <w:rFonts w:eastAsia="Calibri"/>
                <w:sz w:val="16"/>
                <w:szCs w:val="16"/>
              </w:rPr>
              <w:t xml:space="preserve">Note: </w:t>
            </w:r>
            <w:r w:rsidR="005B1624">
              <w:rPr>
                <w:rFonts w:eastAsia="Calibri"/>
                <w:sz w:val="16"/>
                <w:szCs w:val="16"/>
              </w:rPr>
              <w:t>R&amp;D is reported against the financial year in which it is registered. This is the year following the year in which the companies undertake the R&amp;D activity.</w:t>
            </w:r>
          </w:p>
          <w:p w:rsidR="00F501E4" w:rsidRDefault="00F501E4" w:rsidP="00131DE5">
            <w:pPr>
              <w:pStyle w:val="TableTextBase"/>
              <w:spacing w:after="0"/>
              <w:rPr>
                <w:rFonts w:eastAsia="Calibri"/>
                <w:sz w:val="16"/>
                <w:szCs w:val="16"/>
              </w:rPr>
            </w:pPr>
          </w:p>
          <w:p w:rsidR="00F501E4" w:rsidRDefault="00BA7A7F" w:rsidP="00131DE5">
            <w:pPr>
              <w:pStyle w:val="TableTextBase"/>
              <w:spacing w:after="0"/>
              <w:rPr>
                <w:rFonts w:eastAsia="Calibri" w:cs="Times New Roman"/>
                <w:sz w:val="16"/>
                <w:szCs w:val="16"/>
                <w:lang w:val="en-AU"/>
              </w:rPr>
            </w:pPr>
            <w:r>
              <w:rPr>
                <w:rFonts w:eastAsia="Calibri"/>
                <w:sz w:val="16"/>
                <w:szCs w:val="16"/>
              </w:rPr>
              <w:t xml:space="preserve">Results: On track </w:t>
            </w:r>
          </w:p>
        </w:tc>
      </w:tr>
      <w:tr w:rsidR="00253274" w:rsidTr="00BA6D0A">
        <w:trPr>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Number of business-research collaborations facilitated by departmental programs.</w:t>
            </w:r>
          </w:p>
        </w:tc>
        <w:tc>
          <w:tcPr>
            <w:tcW w:w="3118" w:type="dxa"/>
            <w:tcBorders>
              <w:top w:val="single" w:sz="4" w:space="0" w:color="auto"/>
              <w:left w:val="single" w:sz="4" w:space="0" w:color="auto"/>
              <w:bottom w:val="single" w:sz="4" w:space="0" w:color="auto"/>
              <w:right w:val="single" w:sz="4" w:space="0" w:color="auto"/>
            </w:tcBorders>
          </w:tcPr>
          <w:p w:rsidR="00F501E4" w:rsidRDefault="00BA7A7F" w:rsidP="00131DE5">
            <w:pPr>
              <w:pStyle w:val="TableTextBase"/>
              <w:spacing w:after="0"/>
              <w:rPr>
                <w:rFonts w:eastAsia="Calibri"/>
                <w:sz w:val="16"/>
                <w:szCs w:val="16"/>
                <w:lang w:val="en-AU"/>
              </w:rPr>
            </w:pPr>
            <w:r>
              <w:rPr>
                <w:rFonts w:eastAsia="Calibri"/>
                <w:sz w:val="16"/>
                <w:szCs w:val="16"/>
              </w:rPr>
              <w:t>Year-on-year increase.</w:t>
            </w:r>
          </w:p>
          <w:p w:rsidR="00F501E4" w:rsidRDefault="00F501E4" w:rsidP="00131DE5">
            <w:pPr>
              <w:pStyle w:val="TableTextBase"/>
              <w:spacing w:after="0"/>
              <w:rPr>
                <w:rFonts w:eastAsia="Calibri"/>
                <w:sz w:val="16"/>
                <w:szCs w:val="16"/>
              </w:rPr>
            </w:pPr>
          </w:p>
          <w:p w:rsidR="00F501E4" w:rsidRDefault="00BA7A7F" w:rsidP="00131DE5">
            <w:pPr>
              <w:pStyle w:val="TableTextBase"/>
              <w:spacing w:after="0"/>
              <w:rPr>
                <w:rFonts w:eastAsia="Calibri" w:cs="Times New Roman"/>
                <w:sz w:val="16"/>
                <w:szCs w:val="16"/>
              </w:rPr>
            </w:pPr>
            <w:r>
              <w:rPr>
                <w:rFonts w:eastAsia="Calibri"/>
                <w:sz w:val="16"/>
                <w:szCs w:val="16"/>
              </w:rPr>
              <w:t>Results:</w:t>
            </w:r>
            <w:r>
              <w:rPr>
                <w:rFonts w:eastAsia="Calibri"/>
                <w:i/>
                <w:color w:val="31849B"/>
                <w:sz w:val="16"/>
                <w:szCs w:val="16"/>
              </w:rPr>
              <w:t xml:space="preserve"> </w:t>
            </w:r>
            <w:r>
              <w:rPr>
                <w:rFonts w:eastAsia="Calibri"/>
                <w:sz w:val="16"/>
                <w:szCs w:val="16"/>
              </w:rPr>
              <w:t>On track</w:t>
            </w:r>
          </w:p>
        </w:tc>
      </w:tr>
      <w:tr w:rsidR="00253274" w:rsidTr="00BA6D0A">
        <w:trPr>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Proportion of Australians who consider STEM skills important when considering employment</w:t>
            </w:r>
          </w:p>
        </w:tc>
        <w:tc>
          <w:tcPr>
            <w:tcW w:w="3118" w:type="dxa"/>
            <w:tcBorders>
              <w:top w:val="single" w:sz="4" w:space="0" w:color="auto"/>
              <w:left w:val="single" w:sz="4" w:space="0" w:color="auto"/>
              <w:bottom w:val="single" w:sz="4" w:space="0" w:color="auto"/>
              <w:right w:val="single" w:sz="4" w:space="0" w:color="auto"/>
            </w:tcBorders>
          </w:tcPr>
          <w:p w:rsidR="00F501E4" w:rsidRDefault="00BA7A7F" w:rsidP="00131DE5">
            <w:pPr>
              <w:pStyle w:val="TableTextBase"/>
              <w:spacing w:after="0"/>
              <w:rPr>
                <w:rFonts w:eastAsia="Calibri"/>
                <w:sz w:val="16"/>
                <w:szCs w:val="16"/>
                <w:lang w:val="en-AU"/>
              </w:rPr>
            </w:pPr>
            <w:r>
              <w:rPr>
                <w:rFonts w:eastAsia="Calibri"/>
                <w:sz w:val="16"/>
                <w:szCs w:val="16"/>
              </w:rPr>
              <w:t>≥</w:t>
            </w:r>
            <w:r w:rsidR="007B76AB">
              <w:rPr>
                <w:rFonts w:eastAsia="Calibri"/>
                <w:sz w:val="16"/>
                <w:szCs w:val="16"/>
              </w:rPr>
              <w:t xml:space="preserve"> </w:t>
            </w:r>
            <w:r>
              <w:rPr>
                <w:rFonts w:eastAsia="Calibri"/>
                <w:sz w:val="16"/>
                <w:szCs w:val="16"/>
              </w:rPr>
              <w:t>87%</w:t>
            </w:r>
          </w:p>
          <w:p w:rsidR="00F501E4" w:rsidRDefault="00F501E4" w:rsidP="00131DE5">
            <w:pPr>
              <w:pStyle w:val="TableTextBase"/>
              <w:spacing w:after="0"/>
              <w:rPr>
                <w:rFonts w:eastAsia="Calibri"/>
                <w:sz w:val="16"/>
                <w:szCs w:val="16"/>
              </w:rPr>
            </w:pPr>
          </w:p>
          <w:p w:rsidR="00F501E4" w:rsidRDefault="00BA7A7F" w:rsidP="00131DE5">
            <w:pPr>
              <w:pStyle w:val="TableTextBase"/>
              <w:spacing w:after="0"/>
              <w:rPr>
                <w:rFonts w:eastAsia="Calibri" w:cs="Times New Roman"/>
                <w:sz w:val="16"/>
                <w:szCs w:val="16"/>
              </w:rPr>
            </w:pPr>
            <w:r>
              <w:rPr>
                <w:rFonts w:eastAsia="Calibri"/>
                <w:sz w:val="16"/>
                <w:szCs w:val="16"/>
              </w:rPr>
              <w:t>Results:</w:t>
            </w:r>
            <w:r>
              <w:rPr>
                <w:rFonts w:eastAsia="Calibri"/>
                <w:i/>
                <w:color w:val="31849B"/>
                <w:sz w:val="16"/>
                <w:szCs w:val="16"/>
              </w:rPr>
              <w:t xml:space="preserve"> </w:t>
            </w:r>
            <w:r>
              <w:rPr>
                <w:rFonts w:eastAsia="Calibri"/>
                <w:sz w:val="16"/>
                <w:szCs w:val="16"/>
              </w:rPr>
              <w:t>On track</w:t>
            </w:r>
          </w:p>
        </w:tc>
      </w:tr>
      <w:tr w:rsidR="00253274" w:rsidTr="00BA6D0A">
        <w:trPr>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Australia’s national system of measurement is trusted nationally and internationally.</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lang w:val="en-AU"/>
              </w:rPr>
            </w:pPr>
            <w:r>
              <w:rPr>
                <w:rFonts w:eastAsia="Calibri"/>
                <w:sz w:val="16"/>
                <w:szCs w:val="16"/>
              </w:rPr>
              <w:t>Results:</w:t>
            </w:r>
            <w:r>
              <w:rPr>
                <w:rFonts w:eastAsia="Calibri"/>
                <w:i/>
                <w:color w:val="31849B"/>
                <w:sz w:val="16"/>
                <w:szCs w:val="16"/>
              </w:rPr>
              <w:t xml:space="preserve"> </w:t>
            </w:r>
            <w:r>
              <w:rPr>
                <w:rFonts w:eastAsia="Calibri"/>
                <w:sz w:val="16"/>
                <w:szCs w:val="16"/>
              </w:rPr>
              <w:t>On track</w:t>
            </w:r>
          </w:p>
        </w:tc>
      </w:tr>
      <w:tr w:rsidR="00253274" w:rsidTr="00F501E4">
        <w:trPr>
          <w:trHeight w:val="100"/>
        </w:trPr>
        <w:tc>
          <w:tcPr>
            <w:tcW w:w="1560" w:type="dxa"/>
            <w:tcBorders>
              <w:top w:val="single" w:sz="4" w:space="0" w:color="auto"/>
              <w:left w:val="single" w:sz="4" w:space="0" w:color="auto"/>
              <w:bottom w:val="dotted" w:sz="4" w:space="0" w:color="auto"/>
              <w:right w:val="single" w:sz="4" w:space="0" w:color="auto"/>
            </w:tcBorders>
          </w:tcPr>
          <w:p w:rsidR="00F501E4" w:rsidRDefault="00BA7A7F">
            <w:pPr>
              <w:pStyle w:val="TableTextBase"/>
              <w:jc w:val="both"/>
              <w:rPr>
                <w:rFonts w:eastAsia="Calibri"/>
                <w:b/>
                <w:sz w:val="16"/>
                <w:szCs w:val="16"/>
              </w:rPr>
            </w:pPr>
            <w:r>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BA7A7F">
            <w:pPr>
              <w:pStyle w:val="TableTextBase"/>
              <w:jc w:val="both"/>
              <w:rPr>
                <w:rFonts w:eastAsia="Calibri"/>
                <w:b/>
                <w:sz w:val="16"/>
                <w:szCs w:val="16"/>
              </w:rPr>
            </w:pPr>
            <w:r>
              <w:rPr>
                <w:rFonts w:eastAsia="Calibri"/>
                <w:b/>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BA7A7F">
            <w:pPr>
              <w:pStyle w:val="TableTextBase"/>
              <w:jc w:val="both"/>
              <w:rPr>
                <w:rFonts w:eastAsia="Calibri"/>
                <w:b/>
                <w:sz w:val="16"/>
                <w:szCs w:val="16"/>
              </w:rPr>
            </w:pPr>
            <w:r>
              <w:rPr>
                <w:rFonts w:eastAsia="Calibri"/>
                <w:b/>
                <w:sz w:val="16"/>
                <w:szCs w:val="16"/>
              </w:rPr>
              <w:t>Planned Performance Results</w:t>
            </w:r>
          </w:p>
        </w:tc>
      </w:tr>
      <w:tr w:rsidR="00253274" w:rsidTr="00BA6D0A">
        <w:trPr>
          <w:trHeight w:val="100"/>
        </w:trPr>
        <w:tc>
          <w:tcPr>
            <w:tcW w:w="1560" w:type="dxa"/>
            <w:vMerge w:val="restart"/>
            <w:tcBorders>
              <w:top w:val="single" w:sz="4" w:space="0" w:color="auto"/>
              <w:left w:val="single" w:sz="4" w:space="0" w:color="auto"/>
              <w:bottom w:val="dotted" w:sz="4" w:space="0" w:color="auto"/>
              <w:right w:val="single" w:sz="4" w:space="0" w:color="auto"/>
            </w:tcBorders>
            <w:hideMark/>
          </w:tcPr>
          <w:p w:rsidR="00F501E4" w:rsidRDefault="00BA7A7F">
            <w:pPr>
              <w:pStyle w:val="TableTextBase"/>
              <w:rPr>
                <w:rFonts w:eastAsia="Calibri"/>
                <w:sz w:val="16"/>
                <w:szCs w:val="16"/>
              </w:rPr>
            </w:pPr>
            <w:r>
              <w:rPr>
                <w:rFonts w:eastAsia="Calibri"/>
                <w:sz w:val="16"/>
                <w:szCs w:val="16"/>
              </w:rPr>
              <w:t>Budget Year 2022–23</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color w:val="0070C0"/>
                <w:sz w:val="16"/>
                <w:szCs w:val="16"/>
              </w:rPr>
            </w:pPr>
            <w:r>
              <w:rPr>
                <w:rFonts w:eastAsia="Calibri"/>
                <w:sz w:val="16"/>
                <w:szCs w:val="16"/>
              </w:rPr>
              <w:t>Number of business-research collaborations facilitated by portfolio programs</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color w:val="0070C0"/>
                <w:sz w:val="16"/>
                <w:szCs w:val="16"/>
              </w:rPr>
            </w:pPr>
            <w:r>
              <w:rPr>
                <w:rFonts w:eastAsia="Calibri"/>
                <w:sz w:val="16"/>
                <w:szCs w:val="16"/>
              </w:rPr>
              <w:t>Year-on-year increase</w:t>
            </w:r>
          </w:p>
        </w:tc>
      </w:tr>
      <w:tr w:rsidR="00253274" w:rsidTr="00BA6D0A">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 xml:space="preserve">Application for registration of research and development activities through the Research and Development Tax Incentive (R&amp;DTI) are processed within: </w:t>
            </w:r>
          </w:p>
          <w:p w:rsidR="00F501E4" w:rsidRDefault="00BA7A7F" w:rsidP="00374AC7">
            <w:pPr>
              <w:pStyle w:val="TableTextBase"/>
              <w:numPr>
                <w:ilvl w:val="0"/>
                <w:numId w:val="17"/>
              </w:numPr>
              <w:spacing w:after="0"/>
              <w:rPr>
                <w:rFonts w:eastAsia="Calibri"/>
                <w:sz w:val="16"/>
                <w:szCs w:val="16"/>
              </w:rPr>
            </w:pPr>
            <w:r>
              <w:rPr>
                <w:rFonts w:eastAsia="Calibri"/>
                <w:sz w:val="16"/>
                <w:szCs w:val="16"/>
              </w:rPr>
              <w:t xml:space="preserve">40 business days for first time registrants </w:t>
            </w:r>
          </w:p>
          <w:p w:rsidR="00F501E4" w:rsidRDefault="00BA7A7F" w:rsidP="00374AC7">
            <w:pPr>
              <w:pStyle w:val="TableTextBase"/>
              <w:numPr>
                <w:ilvl w:val="0"/>
                <w:numId w:val="17"/>
              </w:numPr>
              <w:spacing w:after="0"/>
              <w:rPr>
                <w:rFonts w:eastAsia="Calibri" w:cs="Times New Roman"/>
                <w:sz w:val="16"/>
                <w:szCs w:val="16"/>
              </w:rPr>
            </w:pPr>
            <w:r>
              <w:rPr>
                <w:rFonts w:eastAsia="Calibri"/>
                <w:sz w:val="16"/>
                <w:szCs w:val="16"/>
              </w:rPr>
              <w:t xml:space="preserve">20 business days for registrants that have applied within 6 months after the end of the income period </w:t>
            </w:r>
          </w:p>
          <w:p w:rsidR="00F501E4" w:rsidRDefault="00BA7A7F" w:rsidP="00374AC7">
            <w:pPr>
              <w:pStyle w:val="TableTextBase"/>
              <w:numPr>
                <w:ilvl w:val="0"/>
                <w:numId w:val="17"/>
              </w:numPr>
              <w:spacing w:after="0"/>
              <w:rPr>
                <w:rFonts w:eastAsia="Calibri"/>
                <w:sz w:val="16"/>
                <w:szCs w:val="16"/>
              </w:rPr>
            </w:pPr>
            <w:r>
              <w:rPr>
                <w:rFonts w:eastAsia="Calibri"/>
                <w:sz w:val="16"/>
                <w:szCs w:val="16"/>
              </w:rPr>
              <w:t>80 business days for registrations submitted from 6 to 10 months after the end of the income period</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95% companies processed within the allotted timeframes</w:t>
            </w:r>
          </w:p>
        </w:tc>
      </w:tr>
      <w:tr w:rsidR="00253274" w:rsidTr="00BA6D0A">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rsidR="00F501E4" w:rsidRDefault="00BA7A7F" w:rsidP="00131DE5">
            <w:pPr>
              <w:pStyle w:val="TableTextBase"/>
              <w:spacing w:after="0"/>
              <w:rPr>
                <w:rFonts w:eastAsia="Calibri"/>
                <w:sz w:val="16"/>
                <w:szCs w:val="16"/>
              </w:rPr>
            </w:pPr>
            <w:r>
              <w:rPr>
                <w:rFonts w:eastAsia="Calibri"/>
                <w:sz w:val="16"/>
                <w:szCs w:val="16"/>
              </w:rPr>
              <w:t>Proportion of Australians who consider STEM skills important when considering employment</w:t>
            </w:r>
          </w:p>
          <w:p w:rsidR="00F501E4" w:rsidRDefault="00F501E4" w:rsidP="00131DE5">
            <w:pPr>
              <w:pStyle w:val="TableTextBase"/>
              <w:spacing w:after="0"/>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Young Australians: ≥</w:t>
            </w:r>
            <w:r w:rsidR="007B76AB">
              <w:rPr>
                <w:rFonts w:eastAsia="Calibri"/>
                <w:sz w:val="16"/>
                <w:szCs w:val="16"/>
              </w:rPr>
              <w:t xml:space="preserve"> </w:t>
            </w:r>
            <w:r>
              <w:rPr>
                <w:rFonts w:eastAsia="Calibri"/>
                <w:sz w:val="16"/>
                <w:szCs w:val="16"/>
              </w:rPr>
              <w:t xml:space="preserve">87% </w:t>
            </w:r>
          </w:p>
          <w:p w:rsidR="00F501E4" w:rsidRDefault="00BA7A7F" w:rsidP="00131DE5">
            <w:pPr>
              <w:pStyle w:val="TableTextBase"/>
              <w:spacing w:after="0"/>
              <w:rPr>
                <w:rFonts w:eastAsia="Calibri"/>
                <w:sz w:val="16"/>
                <w:szCs w:val="16"/>
              </w:rPr>
            </w:pPr>
            <w:r>
              <w:rPr>
                <w:rFonts w:eastAsia="Calibri"/>
                <w:sz w:val="16"/>
                <w:szCs w:val="16"/>
              </w:rPr>
              <w:t>Parents: ≥</w:t>
            </w:r>
            <w:r w:rsidR="007B76AB">
              <w:rPr>
                <w:rFonts w:eastAsia="Calibri"/>
                <w:sz w:val="16"/>
                <w:szCs w:val="16"/>
              </w:rPr>
              <w:t xml:space="preserve"> </w:t>
            </w:r>
            <w:r>
              <w:rPr>
                <w:rFonts w:eastAsia="Calibri"/>
                <w:sz w:val="16"/>
                <w:szCs w:val="16"/>
              </w:rPr>
              <w:t>88%</w:t>
            </w:r>
          </w:p>
          <w:p w:rsidR="00F501E4" w:rsidRDefault="00BA7A7F" w:rsidP="00131DE5">
            <w:pPr>
              <w:pStyle w:val="TableTextBase"/>
              <w:spacing w:after="0"/>
              <w:rPr>
                <w:rFonts w:eastAsia="Calibri"/>
                <w:sz w:val="16"/>
                <w:szCs w:val="16"/>
              </w:rPr>
            </w:pPr>
            <w:r>
              <w:rPr>
                <w:rFonts w:eastAsia="Calibri"/>
                <w:sz w:val="16"/>
                <w:szCs w:val="16"/>
              </w:rPr>
              <w:t>Teachers and Career Advisors: ≥</w:t>
            </w:r>
            <w:r w:rsidR="007B76AB">
              <w:rPr>
                <w:rFonts w:eastAsia="Calibri"/>
                <w:sz w:val="16"/>
                <w:szCs w:val="16"/>
              </w:rPr>
              <w:t xml:space="preserve"> </w:t>
            </w:r>
            <w:r>
              <w:rPr>
                <w:rFonts w:eastAsia="Calibri"/>
                <w:sz w:val="16"/>
                <w:szCs w:val="16"/>
              </w:rPr>
              <w:t>89%</w:t>
            </w:r>
          </w:p>
        </w:tc>
      </w:tr>
      <w:tr w:rsidR="00253274" w:rsidTr="00BA6D0A">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Raising awareness of the importance of STEM through the delivery of portfolio initiatives</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Target not practicable</w:t>
            </w:r>
            <w:r w:rsidR="00291996">
              <w:rPr>
                <w:rFonts w:eastAsia="Calibri"/>
                <w:sz w:val="16"/>
                <w:szCs w:val="16"/>
              </w:rPr>
              <w:t>, qualitative assessment</w:t>
            </w:r>
          </w:p>
        </w:tc>
      </w:tr>
      <w:tr w:rsidR="00253274" w:rsidTr="00BA6D0A">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Australia’s national system of measurement is trusted nationally and internationally</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Target not practicable</w:t>
            </w:r>
            <w:r w:rsidR="00291996">
              <w:rPr>
                <w:rFonts w:eastAsia="Calibri"/>
                <w:sz w:val="16"/>
                <w:szCs w:val="16"/>
              </w:rPr>
              <w:t>, qualitative assessment</w:t>
            </w:r>
          </w:p>
        </w:tc>
      </w:tr>
      <w:tr w:rsidR="00253274" w:rsidTr="00F501E4">
        <w:trPr>
          <w:trHeight w:val="491"/>
        </w:trPr>
        <w:tc>
          <w:tcPr>
            <w:tcW w:w="1560" w:type="dxa"/>
            <w:tcBorders>
              <w:top w:val="single" w:sz="4" w:space="0" w:color="auto"/>
              <w:left w:val="single" w:sz="4" w:space="0" w:color="auto"/>
              <w:bottom w:val="dotted" w:sz="4" w:space="0" w:color="auto"/>
              <w:right w:val="single" w:sz="4" w:space="0" w:color="auto"/>
            </w:tcBorders>
            <w:hideMark/>
          </w:tcPr>
          <w:p w:rsidR="00F501E4" w:rsidRDefault="00BA7A7F">
            <w:pPr>
              <w:pStyle w:val="TableTextBase"/>
              <w:rPr>
                <w:rFonts w:eastAsia="Calibri"/>
                <w:sz w:val="16"/>
                <w:szCs w:val="16"/>
              </w:rPr>
            </w:pPr>
            <w:r>
              <w:rPr>
                <w:rFonts w:eastAsia="Calibri"/>
                <w:sz w:val="16"/>
                <w:szCs w:val="16"/>
              </w:rPr>
              <w:t xml:space="preserve">Forward Estimates </w:t>
            </w:r>
          </w:p>
          <w:p w:rsidR="00F501E4" w:rsidRDefault="00BA7A7F">
            <w:pPr>
              <w:pStyle w:val="TableTextBase"/>
              <w:rPr>
                <w:rFonts w:eastAsia="Calibri"/>
                <w:b/>
                <w:sz w:val="16"/>
                <w:szCs w:val="16"/>
              </w:rPr>
            </w:pPr>
            <w:r>
              <w:rPr>
                <w:rFonts w:eastAsia="Calibri"/>
                <w:sz w:val="16"/>
                <w:szCs w:val="16"/>
              </w:rPr>
              <w:t>2023–26</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BA7A7F" w:rsidP="00131DE5">
            <w:pPr>
              <w:pStyle w:val="TableTextBase"/>
              <w:spacing w:after="0"/>
              <w:rPr>
                <w:rFonts w:eastAsia="Calibri"/>
                <w:color w:val="0070C0"/>
                <w:sz w:val="16"/>
                <w:szCs w:val="16"/>
              </w:rPr>
            </w:pPr>
            <w:r>
              <w:rPr>
                <w:rFonts w:eastAsia="Calibri"/>
                <w:sz w:val="16"/>
                <w:szCs w:val="16"/>
              </w:rPr>
              <w:t>As per 2022–23</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BA7A7F" w:rsidP="00131DE5">
            <w:pPr>
              <w:pStyle w:val="TableTextBase"/>
              <w:spacing w:after="0"/>
              <w:rPr>
                <w:rFonts w:eastAsia="Calibri"/>
                <w:b/>
                <w:color w:val="0070C0"/>
                <w:sz w:val="16"/>
                <w:szCs w:val="16"/>
              </w:rPr>
            </w:pPr>
            <w:r>
              <w:rPr>
                <w:rFonts w:eastAsia="Calibri"/>
                <w:sz w:val="16"/>
                <w:szCs w:val="16"/>
              </w:rPr>
              <w:t>As per 2022–23</w:t>
            </w:r>
          </w:p>
        </w:tc>
      </w:tr>
      <w:tr w:rsidR="00253274" w:rsidTr="00F501E4">
        <w:trPr>
          <w:trHeight w:val="291"/>
        </w:trPr>
        <w:tc>
          <w:tcPr>
            <w:tcW w:w="7796" w:type="dxa"/>
            <w:gridSpan w:val="3"/>
            <w:tcBorders>
              <w:top w:val="single" w:sz="4" w:space="0" w:color="auto"/>
              <w:left w:val="single" w:sz="4" w:space="0" w:color="auto"/>
              <w:bottom w:val="single" w:sz="4" w:space="0" w:color="auto"/>
              <w:right w:val="single" w:sz="4" w:space="0" w:color="auto"/>
            </w:tcBorders>
          </w:tcPr>
          <w:p w:rsidR="00F501E4" w:rsidRPr="00F501E4" w:rsidRDefault="00BA7A7F">
            <w:pPr>
              <w:pStyle w:val="TableTextBase"/>
              <w:rPr>
                <w:rFonts w:ascii="Book Antiqua" w:eastAsia="Calibri" w:hAnsi="Book Antiqua" w:cs="Times New Roman"/>
                <w:bCs/>
                <w:iCs/>
                <w:spacing w:val="-6"/>
                <w:sz w:val="16"/>
                <w:szCs w:val="16"/>
                <w:lang w:val="en-AU" w:eastAsia="en-AU"/>
              </w:rPr>
            </w:pPr>
            <w:r>
              <w:rPr>
                <w:rFonts w:eastAsia="Calibri"/>
                <w:sz w:val="16"/>
                <w:szCs w:val="16"/>
              </w:rPr>
              <w:t xml:space="preserve">Material changes to Program 1.1 resulting from 2022–23 Budget </w:t>
            </w:r>
            <w:r w:rsidRPr="00855D42">
              <w:rPr>
                <w:rFonts w:eastAsia="Calibri"/>
                <w:sz w:val="16"/>
                <w:szCs w:val="16"/>
              </w:rPr>
              <w:t>Measures:</w:t>
            </w:r>
            <w:r w:rsidRPr="00855D42">
              <w:rPr>
                <w:rStyle w:val="BodyTextChar"/>
                <w:rFonts w:ascii="Arial" w:eastAsia="Calibri" w:hAnsi="Arial" w:cs="Arial"/>
                <w:bCs/>
                <w:iCs/>
                <w:spacing w:val="-6"/>
                <w:sz w:val="16"/>
                <w:szCs w:val="16"/>
              </w:rPr>
              <w:t xml:space="preserve"> Nil</w:t>
            </w:r>
          </w:p>
        </w:tc>
      </w:tr>
      <w:tr w:rsidR="00253274" w:rsidTr="00F501E4">
        <w:trPr>
          <w:trHeight w:val="522"/>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F501E4" w:rsidRDefault="00BA7A7F">
            <w:pPr>
              <w:pStyle w:val="TableTextLeft"/>
              <w:rPr>
                <w:rFonts w:eastAsia="Times New Roman" w:cs="Times New Roman"/>
                <w:sz w:val="20"/>
                <w:szCs w:val="20"/>
                <w:lang w:val="en-AU"/>
              </w:rPr>
            </w:pPr>
            <w:r>
              <w:rPr>
                <w:rFonts w:eastAsia="Calibri"/>
                <w:b/>
                <w:color w:val="000000"/>
              </w:rPr>
              <w:t>Program 1.2 – Growing innovative and competitive businesses, industries and regions</w:t>
            </w:r>
            <w:r>
              <w:rPr>
                <w:rFonts w:eastAsia="Calibri"/>
                <w:sz w:val="20"/>
              </w:rPr>
              <w:t xml:space="preserve"> </w:t>
            </w:r>
          </w:p>
          <w:p w:rsidR="00F501E4" w:rsidRDefault="00BA7A7F" w:rsidP="007B76AB">
            <w:pPr>
              <w:tabs>
                <w:tab w:val="left" w:pos="709"/>
              </w:tabs>
              <w:spacing w:before="60" w:after="0" w:line="240" w:lineRule="auto"/>
              <w:rPr>
                <w:rFonts w:ascii="Arial" w:hAnsi="Arial" w:cs="Arial"/>
                <w:bCs/>
                <w:sz w:val="16"/>
                <w:szCs w:val="16"/>
              </w:rPr>
            </w:pPr>
            <w:r>
              <w:rPr>
                <w:rFonts w:ascii="Arial" w:hAnsi="Arial" w:cs="Arial"/>
                <w:bCs/>
                <w:sz w:val="16"/>
                <w:szCs w:val="16"/>
              </w:rPr>
              <w:t xml:space="preserve">This program aims to support the growth of innovative and competitive businesses, industries and regions, and build a diversified, flexible, resilient and dynamic economic base that can identify and adapt to new markets and emerging opportunities. </w:t>
            </w:r>
          </w:p>
          <w:p w:rsidR="00F501E4" w:rsidRDefault="00BA7A7F" w:rsidP="007B76AB">
            <w:pPr>
              <w:tabs>
                <w:tab w:val="left" w:pos="709"/>
              </w:tabs>
              <w:spacing w:before="60" w:after="0" w:line="240" w:lineRule="auto"/>
              <w:rPr>
                <w:rFonts w:ascii="Arial" w:hAnsi="Arial" w:cs="Arial"/>
                <w:bCs/>
                <w:sz w:val="16"/>
                <w:szCs w:val="16"/>
              </w:rPr>
            </w:pPr>
            <w:r>
              <w:rPr>
                <w:rFonts w:ascii="Arial" w:hAnsi="Arial" w:cs="Arial"/>
                <w:bCs/>
                <w:sz w:val="16"/>
                <w:szCs w:val="16"/>
              </w:rPr>
              <w:t>The department will measure and report on its progress towards the following intended results of the activity:</w:t>
            </w:r>
          </w:p>
          <w:p w:rsidR="00F501E4" w:rsidRDefault="00BA7A7F" w:rsidP="007B76AB">
            <w:pPr>
              <w:pStyle w:val="ListParagraph"/>
              <w:numPr>
                <w:ilvl w:val="0"/>
                <w:numId w:val="16"/>
              </w:numPr>
              <w:tabs>
                <w:tab w:val="left" w:pos="709"/>
              </w:tabs>
              <w:spacing w:before="60" w:after="100" w:afterAutospacing="1" w:line="240" w:lineRule="auto"/>
              <w:jc w:val="left"/>
              <w:rPr>
                <w:rFonts w:eastAsia="Times New Roman" w:cs="Arial"/>
                <w:sz w:val="16"/>
                <w:szCs w:val="16"/>
                <w:lang w:val="en-AU"/>
              </w:rPr>
            </w:pPr>
            <w:r>
              <w:rPr>
                <w:rFonts w:ascii="Arial" w:eastAsia="Times New Roman" w:hAnsi="Arial" w:cs="Arial"/>
                <w:sz w:val="16"/>
                <w:szCs w:val="16"/>
                <w:lang w:val="en-AU"/>
              </w:rPr>
              <w:t>Empowering Australian businesses to strengthen, grow, innovate, digitise and commercialise, supported by a competitive business environment.</w:t>
            </w:r>
          </w:p>
          <w:p w:rsidR="00F501E4" w:rsidRDefault="00BA7A7F" w:rsidP="007B76AB">
            <w:pPr>
              <w:pStyle w:val="ListParagraph"/>
              <w:numPr>
                <w:ilvl w:val="0"/>
                <w:numId w:val="16"/>
              </w:numPr>
              <w:tabs>
                <w:tab w:val="left" w:pos="709"/>
              </w:tabs>
              <w:spacing w:before="60" w:after="100" w:afterAutospacing="1" w:line="240" w:lineRule="auto"/>
              <w:jc w:val="left"/>
              <w:rPr>
                <w:rFonts w:eastAsia="Times New Roman" w:cs="Arial"/>
                <w:sz w:val="16"/>
                <w:szCs w:val="16"/>
                <w:lang w:val="en-AU"/>
              </w:rPr>
            </w:pPr>
            <w:r>
              <w:rPr>
                <w:rFonts w:ascii="Arial" w:eastAsia="Times New Roman" w:hAnsi="Arial" w:cs="Arial"/>
                <w:sz w:val="16"/>
                <w:szCs w:val="16"/>
                <w:lang w:val="en-AU"/>
              </w:rPr>
              <w:t>Developing a modern, competitive and advanced manufacturing sector, investing in areas of competitive strength to create jobs, support economic growth and improve economic resilience.</w:t>
            </w:r>
          </w:p>
          <w:p w:rsidR="00F501E4" w:rsidRDefault="00BA7A7F" w:rsidP="007B76AB">
            <w:pPr>
              <w:pStyle w:val="ListParagraph"/>
              <w:numPr>
                <w:ilvl w:val="0"/>
                <w:numId w:val="16"/>
              </w:numPr>
              <w:tabs>
                <w:tab w:val="left" w:pos="709"/>
              </w:tabs>
              <w:spacing w:before="60" w:after="100" w:afterAutospacing="1" w:line="240" w:lineRule="auto"/>
              <w:jc w:val="left"/>
              <w:rPr>
                <w:rFonts w:eastAsia="Times New Roman" w:cs="Arial"/>
                <w:sz w:val="16"/>
                <w:szCs w:val="16"/>
                <w:lang w:val="en-AU"/>
              </w:rPr>
            </w:pPr>
            <w:r>
              <w:rPr>
                <w:rFonts w:ascii="Arial" w:eastAsia="Times New Roman" w:hAnsi="Arial" w:cs="Arial"/>
                <w:sz w:val="16"/>
                <w:szCs w:val="16"/>
                <w:lang w:val="en-AU"/>
              </w:rPr>
              <w:t>Driving export growth and strengthen and diversify supply chains and markets, attract private sector investment and capture new and emerging opportunities.</w:t>
            </w:r>
          </w:p>
          <w:p w:rsidR="00F501E4" w:rsidRDefault="00BA7A7F" w:rsidP="007B76AB">
            <w:pPr>
              <w:pStyle w:val="ListParagraph"/>
              <w:numPr>
                <w:ilvl w:val="0"/>
                <w:numId w:val="16"/>
              </w:numPr>
              <w:tabs>
                <w:tab w:val="left" w:pos="709"/>
              </w:tabs>
              <w:spacing w:before="60" w:after="100" w:afterAutospacing="1" w:line="240" w:lineRule="auto"/>
              <w:jc w:val="left"/>
              <w:rPr>
                <w:rFonts w:eastAsia="Times New Roman" w:cs="Arial"/>
                <w:sz w:val="16"/>
                <w:szCs w:val="16"/>
                <w:lang w:val="en-AU"/>
              </w:rPr>
            </w:pPr>
            <w:r>
              <w:rPr>
                <w:rFonts w:ascii="Arial" w:eastAsia="Times New Roman" w:hAnsi="Arial" w:cs="Arial"/>
                <w:sz w:val="16"/>
                <w:szCs w:val="16"/>
                <w:lang w:val="en-AU"/>
              </w:rPr>
              <w:t>Encouraging the adoption of digital technologies by Australian businesses to underpin productivity gains, growth, and resilience.</w:t>
            </w:r>
          </w:p>
          <w:p w:rsidR="003370ED" w:rsidRDefault="00BA7A7F" w:rsidP="003370ED">
            <w:pPr>
              <w:pStyle w:val="ListParagraph"/>
              <w:numPr>
                <w:ilvl w:val="0"/>
                <w:numId w:val="16"/>
              </w:numPr>
              <w:tabs>
                <w:tab w:val="left" w:pos="709"/>
              </w:tabs>
              <w:spacing w:before="60" w:after="0" w:line="240" w:lineRule="auto"/>
              <w:ind w:left="714" w:hanging="357"/>
              <w:jc w:val="left"/>
              <w:rPr>
                <w:rFonts w:eastAsia="Times New Roman" w:cs="Arial"/>
                <w:sz w:val="16"/>
                <w:szCs w:val="16"/>
                <w:lang w:val="en-AU"/>
              </w:rPr>
            </w:pPr>
            <w:r>
              <w:rPr>
                <w:rFonts w:ascii="Arial" w:eastAsia="Times New Roman" w:hAnsi="Arial" w:cs="Arial"/>
                <w:sz w:val="16"/>
                <w:szCs w:val="16"/>
                <w:lang w:val="en-AU"/>
              </w:rPr>
              <w:t>Supporting Australia becoming a leading digital nation by 2030 including by enabling the development of emerging technologies and initiatives such as the National Block Chain R</w:t>
            </w:r>
            <w:r w:rsidR="00F155FC">
              <w:rPr>
                <w:rFonts w:ascii="Arial" w:eastAsia="Times New Roman" w:hAnsi="Arial" w:cs="Arial"/>
                <w:sz w:val="16"/>
                <w:szCs w:val="16"/>
                <w:lang w:val="en-AU"/>
              </w:rPr>
              <w:t xml:space="preserve">oadmap, the AI Ethics Framework, and </w:t>
            </w:r>
            <w:r>
              <w:rPr>
                <w:rFonts w:ascii="Arial" w:eastAsia="Times New Roman" w:hAnsi="Arial" w:cs="Arial"/>
                <w:sz w:val="16"/>
                <w:szCs w:val="16"/>
                <w:lang w:val="en-AU"/>
              </w:rPr>
              <w:t xml:space="preserve">the </w:t>
            </w:r>
            <w:r w:rsidR="00F155FC">
              <w:rPr>
                <w:rFonts w:ascii="Arial" w:eastAsia="Times New Roman" w:hAnsi="Arial" w:cs="Arial"/>
                <w:sz w:val="16"/>
                <w:szCs w:val="16"/>
                <w:lang w:val="en-AU"/>
              </w:rPr>
              <w:t>National Quantum Strategy.</w:t>
            </w:r>
          </w:p>
          <w:p w:rsidR="00017734" w:rsidRPr="00131DE5" w:rsidRDefault="00BA7A7F" w:rsidP="00131DE5">
            <w:pPr>
              <w:pStyle w:val="ListParagraph"/>
              <w:numPr>
                <w:ilvl w:val="0"/>
                <w:numId w:val="16"/>
              </w:numPr>
              <w:tabs>
                <w:tab w:val="left" w:pos="709"/>
              </w:tabs>
              <w:spacing w:before="60" w:after="60" w:line="240" w:lineRule="auto"/>
              <w:ind w:left="714" w:hanging="357"/>
              <w:jc w:val="left"/>
              <w:rPr>
                <w:rFonts w:eastAsia="Times New Roman" w:cs="Arial"/>
                <w:sz w:val="16"/>
                <w:szCs w:val="16"/>
                <w:lang w:val="en-AU"/>
              </w:rPr>
            </w:pPr>
            <w:r w:rsidRPr="003370ED">
              <w:rPr>
                <w:rFonts w:ascii="Arial" w:eastAsia="Times New Roman" w:hAnsi="Arial" w:cs="Arial"/>
                <w:sz w:val="16"/>
                <w:szCs w:val="16"/>
                <w:lang w:val="en-AU"/>
              </w:rPr>
              <w:t>Supporting the growth and transformation of the Australian space industry as outlined in the Advancing Space: Australian Civil Space Strategy 2019</w:t>
            </w:r>
            <w:r w:rsidRPr="003370ED">
              <w:rPr>
                <w:rFonts w:ascii="Arial" w:eastAsia="Times New Roman" w:hAnsi="Arial" w:cs="Arial"/>
                <w:sz w:val="16"/>
                <w:szCs w:val="16"/>
                <w:lang w:val="en-AU"/>
              </w:rPr>
              <w:noBreakHyphen/>
              <w:t>2028.</w:t>
            </w:r>
          </w:p>
        </w:tc>
      </w:tr>
      <w:tr w:rsidR="00253274" w:rsidTr="007B76AB">
        <w:trPr>
          <w:trHeight w:val="274"/>
        </w:trPr>
        <w:tc>
          <w:tcPr>
            <w:tcW w:w="1560" w:type="dxa"/>
            <w:tcBorders>
              <w:top w:val="single" w:sz="4" w:space="0" w:color="auto"/>
              <w:left w:val="single" w:sz="4" w:space="0" w:color="auto"/>
              <w:bottom w:val="double" w:sz="4" w:space="0" w:color="auto"/>
              <w:right w:val="single" w:sz="4" w:space="0" w:color="auto"/>
            </w:tcBorders>
            <w:hideMark/>
          </w:tcPr>
          <w:p w:rsidR="00F501E4" w:rsidRDefault="00BA7A7F" w:rsidP="007B76AB">
            <w:pPr>
              <w:tabs>
                <w:tab w:val="left" w:pos="709"/>
              </w:tabs>
              <w:spacing w:before="60" w:after="60" w:line="240" w:lineRule="auto"/>
              <w:rPr>
                <w:rFonts w:ascii="Arial" w:hAnsi="Arial" w:cs="Arial"/>
                <w:b/>
                <w:sz w:val="16"/>
                <w:szCs w:val="16"/>
              </w:rPr>
            </w:pPr>
            <w:r>
              <w:rPr>
                <w:rFonts w:ascii="Arial" w:hAnsi="Arial" w:cs="Arial"/>
                <w:b/>
                <w:sz w:val="16"/>
                <w:szCs w:val="16"/>
              </w:rPr>
              <w:t>Key Activities (a)</w:t>
            </w:r>
          </w:p>
        </w:tc>
        <w:tc>
          <w:tcPr>
            <w:tcW w:w="6236" w:type="dxa"/>
            <w:gridSpan w:val="2"/>
            <w:tcBorders>
              <w:top w:val="single" w:sz="4" w:space="0" w:color="auto"/>
              <w:left w:val="single" w:sz="4" w:space="0" w:color="auto"/>
              <w:bottom w:val="double" w:sz="4" w:space="0" w:color="auto"/>
              <w:right w:val="single" w:sz="4" w:space="0" w:color="auto"/>
            </w:tcBorders>
            <w:hideMark/>
          </w:tcPr>
          <w:p w:rsidR="00F501E4" w:rsidRDefault="00BA7A7F" w:rsidP="007B76AB">
            <w:pPr>
              <w:tabs>
                <w:tab w:val="left" w:pos="709"/>
              </w:tabs>
              <w:spacing w:before="60" w:after="60" w:line="240" w:lineRule="auto"/>
              <w:rPr>
                <w:rFonts w:ascii="Arial" w:hAnsi="Arial" w:cs="Arial"/>
                <w:sz w:val="16"/>
                <w:szCs w:val="16"/>
              </w:rPr>
            </w:pPr>
            <w:r>
              <w:rPr>
                <w:rFonts w:ascii="Arial" w:hAnsi="Arial" w:cs="Arial"/>
                <w:sz w:val="16"/>
                <w:szCs w:val="16"/>
              </w:rPr>
              <w:t>Activity 1.2: Growing innovative and competitive businesses, industries and regions</w:t>
            </w:r>
          </w:p>
        </w:tc>
      </w:tr>
      <w:tr w:rsidR="00253274" w:rsidTr="00F501E4">
        <w:trPr>
          <w:trHeight w:val="258"/>
        </w:trPr>
        <w:tc>
          <w:tcPr>
            <w:tcW w:w="1560" w:type="dxa"/>
            <w:tcBorders>
              <w:top w:val="double" w:sz="4" w:space="0" w:color="auto"/>
              <w:left w:val="single" w:sz="4" w:space="0" w:color="auto"/>
              <w:bottom w:val="single" w:sz="4" w:space="0" w:color="auto"/>
              <w:right w:val="single" w:sz="4" w:space="0" w:color="auto"/>
            </w:tcBorders>
          </w:tcPr>
          <w:p w:rsidR="00F501E4" w:rsidRDefault="00BA7A7F">
            <w:pPr>
              <w:pStyle w:val="TableTextBase"/>
              <w:rPr>
                <w:rFonts w:eastAsia="Calibri"/>
                <w:b/>
                <w:sz w:val="16"/>
                <w:szCs w:val="16"/>
              </w:rPr>
            </w:pPr>
            <w:r>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F501E4" w:rsidRDefault="00BA7A7F">
            <w:pPr>
              <w:pStyle w:val="TableTextBase"/>
              <w:rPr>
                <w:rFonts w:eastAsia="Calibri"/>
                <w:b/>
                <w:sz w:val="16"/>
                <w:szCs w:val="16"/>
              </w:rPr>
            </w:pPr>
            <w:r>
              <w:rPr>
                <w:rFonts w:eastAsia="Calibri"/>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F501E4" w:rsidRDefault="00BA7A7F">
            <w:pPr>
              <w:pStyle w:val="TableTextBase"/>
              <w:rPr>
                <w:rFonts w:eastAsia="Calibri"/>
                <w:b/>
                <w:sz w:val="16"/>
                <w:szCs w:val="16"/>
              </w:rPr>
            </w:pPr>
            <w:r>
              <w:rPr>
                <w:rFonts w:eastAsia="Calibri"/>
                <w:b/>
                <w:sz w:val="16"/>
                <w:szCs w:val="16"/>
              </w:rPr>
              <w:t>Expected Performance Results</w:t>
            </w:r>
          </w:p>
        </w:tc>
      </w:tr>
      <w:tr w:rsidR="00253274" w:rsidTr="00F501E4">
        <w:trPr>
          <w:trHeight w:val="642"/>
        </w:trPr>
        <w:tc>
          <w:tcPr>
            <w:tcW w:w="1560" w:type="dxa"/>
            <w:vMerge w:val="restart"/>
            <w:tcBorders>
              <w:top w:val="single" w:sz="4" w:space="0" w:color="auto"/>
              <w:left w:val="single" w:sz="4" w:space="0" w:color="auto"/>
              <w:bottom w:val="dotted" w:sz="4" w:space="0" w:color="auto"/>
              <w:right w:val="single" w:sz="4" w:space="0" w:color="auto"/>
            </w:tcBorders>
          </w:tcPr>
          <w:p w:rsidR="00F501E4" w:rsidRDefault="00BA7A7F">
            <w:pPr>
              <w:pStyle w:val="TableTextBase"/>
              <w:rPr>
                <w:rFonts w:eastAsia="Calibri"/>
                <w:sz w:val="16"/>
                <w:szCs w:val="16"/>
              </w:rPr>
            </w:pPr>
            <w:r>
              <w:rPr>
                <w:rFonts w:eastAsia="Calibri"/>
                <w:sz w:val="16"/>
                <w:szCs w:val="16"/>
              </w:rPr>
              <w:t xml:space="preserve">Current year </w:t>
            </w:r>
          </w:p>
          <w:p w:rsidR="00F501E4" w:rsidRDefault="00BA7A7F">
            <w:pPr>
              <w:pStyle w:val="TableTextBase"/>
              <w:rPr>
                <w:rFonts w:eastAsia="Calibri"/>
                <w:sz w:val="16"/>
                <w:szCs w:val="16"/>
              </w:rPr>
            </w:pPr>
            <w:r>
              <w:rPr>
                <w:rFonts w:eastAsia="Calibri"/>
                <w:sz w:val="16"/>
                <w:szCs w:val="16"/>
              </w:rPr>
              <w:t>2021–22</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Investment leveraged through portfolio manufacturing initiatives.</w:t>
            </w:r>
          </w:p>
        </w:tc>
        <w:tc>
          <w:tcPr>
            <w:tcW w:w="3118" w:type="dxa"/>
            <w:tcBorders>
              <w:top w:val="single" w:sz="4" w:space="0" w:color="auto"/>
              <w:left w:val="single" w:sz="4" w:space="0" w:color="auto"/>
              <w:bottom w:val="dotted" w:sz="4" w:space="0" w:color="auto"/>
              <w:right w:val="single" w:sz="4" w:space="0" w:color="auto"/>
            </w:tcBorders>
          </w:tcPr>
          <w:p w:rsidR="00F501E4" w:rsidRDefault="00BA7A7F" w:rsidP="00131DE5">
            <w:pPr>
              <w:pStyle w:val="TableTextBase"/>
              <w:spacing w:after="0"/>
              <w:rPr>
                <w:rFonts w:eastAsia="Calibri"/>
                <w:sz w:val="16"/>
                <w:szCs w:val="16"/>
              </w:rPr>
            </w:pPr>
            <w:r>
              <w:rPr>
                <w:rFonts w:eastAsia="Calibri"/>
                <w:sz w:val="16"/>
                <w:szCs w:val="16"/>
              </w:rPr>
              <w:t>Year-on-year increase</w:t>
            </w:r>
          </w:p>
          <w:p w:rsidR="00F501E4" w:rsidRDefault="00F501E4" w:rsidP="00131DE5">
            <w:pPr>
              <w:pStyle w:val="TableTextBase"/>
              <w:spacing w:after="0"/>
              <w:rPr>
                <w:rFonts w:eastAsia="Calibri"/>
                <w:sz w:val="16"/>
                <w:szCs w:val="16"/>
              </w:rPr>
            </w:pPr>
          </w:p>
          <w:p w:rsidR="00F501E4" w:rsidRDefault="00BA7A7F" w:rsidP="00131DE5">
            <w:pPr>
              <w:pStyle w:val="TableTextBase"/>
              <w:spacing w:after="0"/>
              <w:rPr>
                <w:rFonts w:eastAsia="Calibri" w:cs="Times New Roman"/>
                <w:i/>
                <w:color w:val="0070C0"/>
                <w:sz w:val="16"/>
                <w:szCs w:val="16"/>
              </w:rPr>
            </w:pPr>
            <w:r>
              <w:rPr>
                <w:rFonts w:eastAsia="Calibri"/>
                <w:sz w:val="16"/>
                <w:szCs w:val="16"/>
              </w:rPr>
              <w:t>Results:</w:t>
            </w:r>
            <w:r>
              <w:rPr>
                <w:rFonts w:eastAsia="Calibri"/>
                <w:i/>
                <w:color w:val="31849B"/>
                <w:sz w:val="16"/>
                <w:szCs w:val="16"/>
              </w:rPr>
              <w:t xml:space="preserve"> </w:t>
            </w:r>
            <w:r>
              <w:rPr>
                <w:rFonts w:eastAsia="Calibri"/>
                <w:sz w:val="16"/>
                <w:szCs w:val="16"/>
              </w:rPr>
              <w:t>On track</w:t>
            </w:r>
          </w:p>
        </w:tc>
      </w:tr>
      <w:tr w:rsidR="00253274" w:rsidTr="00BA6D0A">
        <w:trPr>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highlight w:val="yellow"/>
              </w:rPr>
            </w:pPr>
            <w:r>
              <w:rPr>
                <w:rFonts w:eastAsia="Calibri"/>
                <w:sz w:val="16"/>
                <w:szCs w:val="16"/>
              </w:rPr>
              <w:t>Instances of support provided to businesses in priority sectors</w:t>
            </w:r>
          </w:p>
        </w:tc>
        <w:tc>
          <w:tcPr>
            <w:tcW w:w="3118" w:type="dxa"/>
            <w:tcBorders>
              <w:top w:val="single" w:sz="4" w:space="0" w:color="auto"/>
              <w:left w:val="single" w:sz="4" w:space="0" w:color="auto"/>
              <w:bottom w:val="single" w:sz="4" w:space="0" w:color="auto"/>
              <w:right w:val="single" w:sz="4" w:space="0" w:color="auto"/>
            </w:tcBorders>
          </w:tcPr>
          <w:p w:rsidR="00F501E4" w:rsidRDefault="00BA7A7F" w:rsidP="00131DE5">
            <w:pPr>
              <w:pStyle w:val="TableTextBase"/>
              <w:spacing w:after="0"/>
              <w:rPr>
                <w:rFonts w:eastAsia="Calibri"/>
                <w:sz w:val="16"/>
                <w:szCs w:val="16"/>
              </w:rPr>
            </w:pPr>
            <w:r>
              <w:rPr>
                <w:rFonts w:eastAsia="Calibri"/>
                <w:sz w:val="16"/>
                <w:szCs w:val="16"/>
              </w:rPr>
              <w:t>Year-on-year increase</w:t>
            </w:r>
          </w:p>
          <w:p w:rsidR="00F501E4" w:rsidRDefault="00F501E4" w:rsidP="00131DE5">
            <w:pPr>
              <w:pStyle w:val="TableTextBase"/>
              <w:spacing w:after="0"/>
              <w:rPr>
                <w:rFonts w:eastAsia="Calibri"/>
                <w:sz w:val="16"/>
                <w:szCs w:val="16"/>
              </w:rPr>
            </w:pPr>
          </w:p>
          <w:p w:rsidR="00F501E4" w:rsidRDefault="00BA7A7F" w:rsidP="00131DE5">
            <w:pPr>
              <w:pStyle w:val="TableTextBase"/>
              <w:spacing w:after="0"/>
              <w:rPr>
                <w:rFonts w:eastAsia="Calibri"/>
                <w:sz w:val="16"/>
                <w:szCs w:val="16"/>
              </w:rPr>
            </w:pPr>
            <w:r>
              <w:rPr>
                <w:rFonts w:eastAsia="Calibri"/>
                <w:sz w:val="16"/>
                <w:szCs w:val="16"/>
              </w:rPr>
              <w:t>Results: On track</w:t>
            </w:r>
          </w:p>
        </w:tc>
      </w:tr>
      <w:tr w:rsidR="00253274" w:rsidTr="00BA6D0A">
        <w:trPr>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Number of regional areas where businesses have received support.</w:t>
            </w:r>
          </w:p>
        </w:tc>
        <w:tc>
          <w:tcPr>
            <w:tcW w:w="3118" w:type="dxa"/>
            <w:tcBorders>
              <w:top w:val="single" w:sz="4" w:space="0" w:color="auto"/>
              <w:left w:val="single" w:sz="4" w:space="0" w:color="auto"/>
              <w:bottom w:val="single" w:sz="4" w:space="0" w:color="auto"/>
              <w:right w:val="single" w:sz="4" w:space="0" w:color="auto"/>
            </w:tcBorders>
          </w:tcPr>
          <w:p w:rsidR="00F501E4" w:rsidRDefault="00BA7A7F" w:rsidP="00131DE5">
            <w:pPr>
              <w:pStyle w:val="TableTextBase"/>
              <w:spacing w:after="0"/>
              <w:rPr>
                <w:rFonts w:eastAsia="Calibri"/>
                <w:sz w:val="16"/>
                <w:szCs w:val="16"/>
              </w:rPr>
            </w:pPr>
            <w:r>
              <w:rPr>
                <w:rFonts w:eastAsia="Calibri"/>
                <w:sz w:val="16"/>
                <w:szCs w:val="16"/>
              </w:rPr>
              <w:t>Year-on-year maintenance or increase</w:t>
            </w:r>
          </w:p>
          <w:p w:rsidR="00F501E4" w:rsidRDefault="00F501E4" w:rsidP="00131DE5">
            <w:pPr>
              <w:pStyle w:val="TableTextBase"/>
              <w:spacing w:after="0"/>
              <w:rPr>
                <w:rFonts w:eastAsia="Calibri"/>
                <w:sz w:val="16"/>
                <w:szCs w:val="16"/>
              </w:rPr>
            </w:pPr>
          </w:p>
          <w:p w:rsidR="00F501E4" w:rsidRDefault="00BA7A7F" w:rsidP="00131DE5">
            <w:pPr>
              <w:pStyle w:val="TableTextBase"/>
              <w:spacing w:after="0"/>
              <w:rPr>
                <w:rFonts w:eastAsia="Calibri" w:cs="Times New Roman"/>
                <w:i/>
                <w:color w:val="0070C0"/>
                <w:sz w:val="16"/>
                <w:szCs w:val="16"/>
              </w:rPr>
            </w:pPr>
            <w:r>
              <w:rPr>
                <w:rFonts w:eastAsia="Calibri"/>
                <w:sz w:val="16"/>
                <w:szCs w:val="16"/>
              </w:rPr>
              <w:t>Results:</w:t>
            </w:r>
            <w:r>
              <w:rPr>
                <w:rFonts w:eastAsia="Calibri"/>
                <w:i/>
                <w:color w:val="31849B"/>
                <w:sz w:val="16"/>
                <w:szCs w:val="16"/>
              </w:rPr>
              <w:t xml:space="preserve"> </w:t>
            </w:r>
            <w:r>
              <w:rPr>
                <w:rFonts w:eastAsia="Calibri"/>
                <w:sz w:val="16"/>
                <w:szCs w:val="16"/>
              </w:rPr>
              <w:t>On track</w:t>
            </w:r>
          </w:p>
        </w:tc>
      </w:tr>
      <w:tr w:rsidR="00253274" w:rsidTr="00BA6D0A">
        <w:trPr>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The median time to complete a grant application for a merit, eligibility or competitive grant.</w:t>
            </w:r>
          </w:p>
        </w:tc>
        <w:tc>
          <w:tcPr>
            <w:tcW w:w="3118" w:type="dxa"/>
            <w:tcBorders>
              <w:top w:val="single" w:sz="4" w:space="0" w:color="auto"/>
              <w:left w:val="single" w:sz="4" w:space="0" w:color="auto"/>
              <w:bottom w:val="single" w:sz="4" w:space="0" w:color="auto"/>
              <w:right w:val="single" w:sz="4" w:space="0" w:color="auto"/>
            </w:tcBorders>
          </w:tcPr>
          <w:p w:rsidR="00F501E4" w:rsidRDefault="00BA7A7F" w:rsidP="00131DE5">
            <w:pPr>
              <w:pStyle w:val="TableTextBase"/>
              <w:spacing w:after="0"/>
              <w:rPr>
                <w:rFonts w:eastAsia="Calibri"/>
                <w:sz w:val="16"/>
                <w:szCs w:val="16"/>
              </w:rPr>
            </w:pPr>
            <w:r>
              <w:rPr>
                <w:rFonts w:eastAsia="Calibri"/>
                <w:sz w:val="16"/>
                <w:szCs w:val="16"/>
              </w:rPr>
              <w:t>Year-on-year decrease</w:t>
            </w:r>
          </w:p>
          <w:p w:rsidR="00F501E4" w:rsidRDefault="00F501E4" w:rsidP="00131DE5">
            <w:pPr>
              <w:pStyle w:val="TableTextBase"/>
              <w:spacing w:after="0"/>
              <w:rPr>
                <w:rFonts w:eastAsia="Calibri"/>
                <w:sz w:val="16"/>
                <w:szCs w:val="16"/>
              </w:rPr>
            </w:pPr>
          </w:p>
          <w:p w:rsidR="00F501E4" w:rsidRDefault="00BA7A7F" w:rsidP="00131DE5">
            <w:pPr>
              <w:pStyle w:val="TableTextBase"/>
              <w:spacing w:after="0"/>
              <w:rPr>
                <w:rFonts w:eastAsia="Calibri" w:cs="Times New Roman"/>
                <w:i/>
                <w:color w:val="0070C0"/>
                <w:sz w:val="16"/>
                <w:szCs w:val="16"/>
              </w:rPr>
            </w:pPr>
            <w:r>
              <w:rPr>
                <w:rFonts w:eastAsia="Calibri"/>
                <w:sz w:val="16"/>
                <w:szCs w:val="16"/>
              </w:rPr>
              <w:t>Results:</w:t>
            </w:r>
            <w:r>
              <w:rPr>
                <w:rFonts w:eastAsia="Calibri"/>
                <w:i/>
                <w:color w:val="31849B"/>
                <w:sz w:val="16"/>
                <w:szCs w:val="16"/>
              </w:rPr>
              <w:t xml:space="preserve"> </w:t>
            </w:r>
            <w:r>
              <w:rPr>
                <w:rFonts w:eastAsia="Calibri"/>
                <w:sz w:val="16"/>
                <w:szCs w:val="16"/>
              </w:rPr>
              <w:t>On track</w:t>
            </w:r>
          </w:p>
        </w:tc>
      </w:tr>
      <w:tr w:rsidR="00253274" w:rsidTr="00BA6D0A">
        <w:trPr>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Proportion of anti-dumping Preliminary Affirmative Determination (PAD) reports, or status reports explaining that there are insufficient grounds to issue a PAD, made on or before day 60 of an anti-dumping/countervailing investigation.</w:t>
            </w:r>
          </w:p>
        </w:tc>
        <w:tc>
          <w:tcPr>
            <w:tcW w:w="3118" w:type="dxa"/>
            <w:tcBorders>
              <w:top w:val="single" w:sz="4" w:space="0" w:color="auto"/>
              <w:left w:val="single" w:sz="4" w:space="0" w:color="auto"/>
              <w:bottom w:val="single" w:sz="4" w:space="0" w:color="auto"/>
              <w:right w:val="single" w:sz="4" w:space="0" w:color="auto"/>
            </w:tcBorders>
          </w:tcPr>
          <w:p w:rsidR="00F501E4" w:rsidRDefault="00BA7A7F" w:rsidP="00131DE5">
            <w:pPr>
              <w:pStyle w:val="TableTextBase"/>
              <w:spacing w:after="0"/>
              <w:rPr>
                <w:rFonts w:eastAsia="Calibri"/>
                <w:sz w:val="16"/>
                <w:szCs w:val="16"/>
              </w:rPr>
            </w:pPr>
            <w:r>
              <w:rPr>
                <w:rFonts w:eastAsia="Calibri"/>
                <w:sz w:val="16"/>
                <w:szCs w:val="16"/>
              </w:rPr>
              <w:t>100%</w:t>
            </w:r>
          </w:p>
          <w:p w:rsidR="00F501E4" w:rsidRDefault="00F501E4" w:rsidP="00131DE5">
            <w:pPr>
              <w:pStyle w:val="TableTextBase"/>
              <w:spacing w:after="0"/>
              <w:rPr>
                <w:rFonts w:eastAsia="Calibri"/>
                <w:sz w:val="16"/>
                <w:szCs w:val="16"/>
              </w:rPr>
            </w:pPr>
          </w:p>
          <w:p w:rsidR="00F501E4" w:rsidRDefault="00BA7A7F" w:rsidP="00131DE5">
            <w:pPr>
              <w:pStyle w:val="TableTextBase"/>
              <w:spacing w:after="0"/>
              <w:rPr>
                <w:rFonts w:eastAsia="Calibri" w:cs="Times New Roman"/>
                <w:i/>
                <w:color w:val="0070C0"/>
                <w:sz w:val="16"/>
                <w:szCs w:val="16"/>
              </w:rPr>
            </w:pPr>
            <w:r>
              <w:rPr>
                <w:rFonts w:eastAsia="Calibri"/>
                <w:sz w:val="16"/>
                <w:szCs w:val="16"/>
              </w:rPr>
              <w:t>Results:</w:t>
            </w:r>
            <w:r>
              <w:rPr>
                <w:rFonts w:eastAsia="Calibri"/>
                <w:i/>
                <w:color w:val="31849B"/>
                <w:sz w:val="16"/>
                <w:szCs w:val="16"/>
              </w:rPr>
              <w:t xml:space="preserve"> </w:t>
            </w:r>
            <w:r>
              <w:rPr>
                <w:rFonts w:eastAsia="Calibri"/>
                <w:sz w:val="16"/>
                <w:szCs w:val="16"/>
              </w:rPr>
              <w:t>On track</w:t>
            </w:r>
          </w:p>
        </w:tc>
      </w:tr>
      <w:tr w:rsidR="00253274" w:rsidTr="00BA6D0A">
        <w:trPr>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Total number of jobs created by the digitally intensive industries.</w:t>
            </w:r>
          </w:p>
        </w:tc>
        <w:tc>
          <w:tcPr>
            <w:tcW w:w="3118" w:type="dxa"/>
            <w:tcBorders>
              <w:top w:val="single" w:sz="4" w:space="0" w:color="auto"/>
              <w:left w:val="single" w:sz="4" w:space="0" w:color="auto"/>
              <w:bottom w:val="dotted" w:sz="4" w:space="0" w:color="auto"/>
              <w:right w:val="single" w:sz="4" w:space="0" w:color="auto"/>
            </w:tcBorders>
          </w:tcPr>
          <w:p w:rsidR="00F501E4" w:rsidRDefault="00BA7A7F" w:rsidP="00131DE5">
            <w:pPr>
              <w:pStyle w:val="TableTextBase"/>
              <w:spacing w:after="0"/>
              <w:rPr>
                <w:rFonts w:eastAsia="Calibri"/>
                <w:sz w:val="16"/>
                <w:szCs w:val="16"/>
              </w:rPr>
            </w:pPr>
            <w:r>
              <w:rPr>
                <w:rFonts w:eastAsia="Calibri"/>
                <w:sz w:val="16"/>
                <w:szCs w:val="16"/>
              </w:rPr>
              <w:t>Year-on-year increase</w:t>
            </w:r>
          </w:p>
          <w:p w:rsidR="00F501E4" w:rsidRDefault="00F501E4" w:rsidP="00131DE5">
            <w:pPr>
              <w:pStyle w:val="TableTextBase"/>
              <w:spacing w:after="0"/>
              <w:rPr>
                <w:rFonts w:eastAsia="Calibri"/>
                <w:sz w:val="16"/>
                <w:szCs w:val="16"/>
              </w:rPr>
            </w:pPr>
          </w:p>
          <w:p w:rsidR="00F501E4" w:rsidRDefault="00BA7A7F" w:rsidP="00131DE5">
            <w:pPr>
              <w:pStyle w:val="TableTextBase"/>
              <w:spacing w:after="0"/>
              <w:rPr>
                <w:rFonts w:eastAsia="Calibri" w:cs="Times New Roman"/>
                <w:i/>
                <w:color w:val="0070C0"/>
                <w:sz w:val="16"/>
                <w:szCs w:val="16"/>
              </w:rPr>
            </w:pPr>
            <w:r>
              <w:rPr>
                <w:rFonts w:eastAsia="Calibri"/>
                <w:sz w:val="16"/>
                <w:szCs w:val="16"/>
              </w:rPr>
              <w:t>Results:</w:t>
            </w:r>
            <w:r>
              <w:rPr>
                <w:rFonts w:eastAsia="Calibri"/>
                <w:i/>
                <w:color w:val="31849B"/>
                <w:sz w:val="16"/>
                <w:szCs w:val="16"/>
              </w:rPr>
              <w:t xml:space="preserve"> </w:t>
            </w:r>
            <w:r>
              <w:rPr>
                <w:rFonts w:eastAsia="Calibri"/>
                <w:sz w:val="16"/>
                <w:szCs w:val="16"/>
              </w:rPr>
              <w:t>On track</w:t>
            </w:r>
          </w:p>
        </w:tc>
      </w:tr>
      <w:tr w:rsidR="00253274" w:rsidTr="00F501E4">
        <w:trPr>
          <w:trHeight w:val="100"/>
        </w:trPr>
        <w:tc>
          <w:tcPr>
            <w:tcW w:w="1560" w:type="dxa"/>
            <w:tcBorders>
              <w:top w:val="single" w:sz="4" w:space="0" w:color="auto"/>
              <w:left w:val="single" w:sz="4" w:space="0" w:color="auto"/>
              <w:bottom w:val="dotted" w:sz="4" w:space="0" w:color="auto"/>
              <w:right w:val="single" w:sz="4" w:space="0" w:color="auto"/>
            </w:tcBorders>
          </w:tcPr>
          <w:p w:rsidR="00F501E4" w:rsidRDefault="00BA7A7F">
            <w:pPr>
              <w:pStyle w:val="TableTextBase"/>
              <w:rPr>
                <w:rFonts w:eastAsia="Calibri"/>
                <w:b/>
                <w:sz w:val="16"/>
                <w:szCs w:val="16"/>
              </w:rPr>
            </w:pPr>
            <w:r>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BA7A7F">
            <w:pPr>
              <w:pStyle w:val="TableTextBase"/>
              <w:rPr>
                <w:rFonts w:eastAsia="Calibri"/>
                <w:b/>
                <w:sz w:val="16"/>
                <w:szCs w:val="16"/>
              </w:rPr>
            </w:pPr>
            <w:r>
              <w:rPr>
                <w:rFonts w:eastAsia="Calibri"/>
                <w:b/>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BA7A7F">
            <w:pPr>
              <w:pStyle w:val="TableTextBase"/>
              <w:rPr>
                <w:rFonts w:eastAsia="Calibri"/>
                <w:b/>
                <w:sz w:val="16"/>
                <w:szCs w:val="16"/>
              </w:rPr>
            </w:pPr>
            <w:r>
              <w:rPr>
                <w:rFonts w:eastAsia="Calibri"/>
                <w:b/>
                <w:sz w:val="16"/>
                <w:szCs w:val="16"/>
              </w:rPr>
              <w:t>Planned Performance Results</w:t>
            </w:r>
          </w:p>
        </w:tc>
      </w:tr>
      <w:tr w:rsidR="00253274" w:rsidTr="00BA6D0A">
        <w:trPr>
          <w:trHeight w:val="100"/>
        </w:trPr>
        <w:tc>
          <w:tcPr>
            <w:tcW w:w="1560" w:type="dxa"/>
            <w:vMerge w:val="restart"/>
            <w:tcBorders>
              <w:top w:val="single" w:sz="4" w:space="0" w:color="auto"/>
              <w:left w:val="single" w:sz="4" w:space="0" w:color="auto"/>
              <w:bottom w:val="dotted" w:sz="4" w:space="0" w:color="auto"/>
              <w:right w:val="single" w:sz="4" w:space="0" w:color="auto"/>
            </w:tcBorders>
            <w:hideMark/>
          </w:tcPr>
          <w:p w:rsidR="00F501E4" w:rsidRDefault="00BA7A7F">
            <w:pPr>
              <w:pStyle w:val="TableTextBase"/>
              <w:rPr>
                <w:rFonts w:eastAsia="Calibri"/>
                <w:sz w:val="16"/>
                <w:szCs w:val="16"/>
              </w:rPr>
            </w:pPr>
            <w:r>
              <w:rPr>
                <w:rFonts w:eastAsia="Calibri"/>
                <w:sz w:val="16"/>
                <w:szCs w:val="16"/>
              </w:rPr>
              <w:t>Budget Year 2022–23</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color w:val="0070C0"/>
                <w:sz w:val="16"/>
                <w:szCs w:val="16"/>
              </w:rPr>
            </w:pPr>
            <w:r>
              <w:rPr>
                <w:rFonts w:eastAsia="Calibri"/>
                <w:sz w:val="16"/>
                <w:szCs w:val="16"/>
              </w:rPr>
              <w:t>Investment leveraged through portfolio manufacturing initiatives</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i/>
                <w:color w:val="0070C0"/>
                <w:sz w:val="16"/>
                <w:szCs w:val="16"/>
              </w:rPr>
            </w:pPr>
            <w:r>
              <w:rPr>
                <w:rFonts w:eastAsia="Calibri"/>
                <w:sz w:val="16"/>
                <w:szCs w:val="16"/>
              </w:rPr>
              <w:t>Year-on-year increase</w:t>
            </w:r>
          </w:p>
        </w:tc>
      </w:tr>
      <w:tr w:rsidR="00253274" w:rsidTr="00BA6D0A">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Instances of support provided to businesses in priority sectors</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Year-on-year increase</w:t>
            </w:r>
          </w:p>
        </w:tc>
      </w:tr>
      <w:tr w:rsidR="00253274" w:rsidTr="00BA6D0A">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Number of regional areas where businesses have received support</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Year-on-year maintenance or increase</w:t>
            </w:r>
          </w:p>
        </w:tc>
      </w:tr>
      <w:tr w:rsidR="00253274" w:rsidTr="00BA6D0A">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The median time to complete a grant application for a merit, eligibility or competitive grant</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Year-on-year decrease</w:t>
            </w:r>
          </w:p>
        </w:tc>
      </w:tr>
      <w:tr w:rsidR="00253274" w:rsidTr="00BA6D0A">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Proportion of anti-dumping Preliminary Affirmative Determination (PAD) reports, or status reports explaining that there are insufficient grounds to issue a PAD, made on or before day 60 of an anti-dumping / countervailing investigation</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100%</w:t>
            </w:r>
          </w:p>
        </w:tc>
      </w:tr>
      <w:tr w:rsidR="00253274" w:rsidTr="00BA6D0A">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Develop and implement flexible approaches in the regulation of Australia’s space activities</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Year-on-year improvement</w:t>
            </w:r>
          </w:p>
        </w:tc>
      </w:tr>
      <w:tr w:rsidR="00253274" w:rsidTr="00BA6D0A">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Total number of jobs created by the digitally intensive industries</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Year-on-year increase</w:t>
            </w:r>
          </w:p>
        </w:tc>
      </w:tr>
      <w:tr w:rsidR="00253274" w:rsidTr="00BA6D0A">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tabs>
                <w:tab w:val="left" w:pos="2100"/>
              </w:tabs>
              <w:spacing w:after="0"/>
              <w:rPr>
                <w:rFonts w:eastAsia="Calibri"/>
                <w:sz w:val="16"/>
                <w:szCs w:val="16"/>
              </w:rPr>
            </w:pPr>
            <w:r>
              <w:rPr>
                <w:rFonts w:eastAsia="Calibri"/>
                <w:sz w:val="16"/>
                <w:szCs w:val="16"/>
              </w:rPr>
              <w:t>Industry engagement with portfolio initiatives to lift digital capability and adopt technologies</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Year-on-year increase</w:t>
            </w:r>
          </w:p>
        </w:tc>
      </w:tr>
      <w:tr w:rsidR="00253274" w:rsidTr="00BA6D0A">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Proportion of major projects that are compliant with their approved Australian Industry Participation (AIP) plans</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100%</w:t>
            </w:r>
          </w:p>
        </w:tc>
      </w:tr>
      <w:tr w:rsidR="00253274" w:rsidTr="00F501E4">
        <w:trPr>
          <w:trHeight w:val="491"/>
        </w:trPr>
        <w:tc>
          <w:tcPr>
            <w:tcW w:w="1560" w:type="dxa"/>
            <w:tcBorders>
              <w:top w:val="single" w:sz="4" w:space="0" w:color="auto"/>
              <w:left w:val="single" w:sz="4" w:space="0" w:color="auto"/>
              <w:bottom w:val="dotted" w:sz="4" w:space="0" w:color="auto"/>
              <w:right w:val="single" w:sz="4" w:space="0" w:color="auto"/>
            </w:tcBorders>
            <w:hideMark/>
          </w:tcPr>
          <w:p w:rsidR="00F501E4" w:rsidRDefault="00BA7A7F">
            <w:pPr>
              <w:pStyle w:val="TableTextBase"/>
              <w:rPr>
                <w:rFonts w:eastAsia="Calibri"/>
                <w:sz w:val="16"/>
                <w:szCs w:val="16"/>
              </w:rPr>
            </w:pPr>
            <w:r>
              <w:rPr>
                <w:rFonts w:eastAsia="Calibri"/>
                <w:sz w:val="16"/>
                <w:szCs w:val="16"/>
              </w:rPr>
              <w:t xml:space="preserve">Forward Estimates </w:t>
            </w:r>
          </w:p>
          <w:p w:rsidR="00F501E4" w:rsidRDefault="00BA7A7F">
            <w:pPr>
              <w:pStyle w:val="TableTextBase"/>
              <w:rPr>
                <w:rFonts w:eastAsia="Calibri"/>
                <w:b/>
                <w:sz w:val="16"/>
                <w:szCs w:val="16"/>
              </w:rPr>
            </w:pPr>
            <w:r>
              <w:rPr>
                <w:rFonts w:eastAsia="Calibri"/>
                <w:sz w:val="16"/>
                <w:szCs w:val="16"/>
              </w:rPr>
              <w:t>2023–26</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BA7A7F" w:rsidP="00131DE5">
            <w:pPr>
              <w:pStyle w:val="TableTextBase"/>
              <w:spacing w:after="0"/>
              <w:rPr>
                <w:rFonts w:eastAsia="Calibri"/>
                <w:b/>
                <w:color w:val="0070C0"/>
                <w:sz w:val="16"/>
                <w:szCs w:val="16"/>
              </w:rPr>
            </w:pPr>
            <w:r>
              <w:rPr>
                <w:rFonts w:eastAsia="Calibri"/>
                <w:sz w:val="16"/>
                <w:szCs w:val="16"/>
              </w:rPr>
              <w:t>As per 2022–23</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BA7A7F" w:rsidP="00131DE5">
            <w:pPr>
              <w:pStyle w:val="TableTextBase"/>
              <w:spacing w:after="0"/>
              <w:rPr>
                <w:rFonts w:eastAsia="Calibri"/>
                <w:b/>
                <w:color w:val="0070C0"/>
                <w:sz w:val="16"/>
                <w:szCs w:val="16"/>
              </w:rPr>
            </w:pPr>
            <w:r>
              <w:rPr>
                <w:rFonts w:eastAsia="Calibri"/>
                <w:sz w:val="16"/>
                <w:szCs w:val="16"/>
              </w:rPr>
              <w:t>As per 2022–23</w:t>
            </w:r>
          </w:p>
        </w:tc>
      </w:tr>
      <w:tr w:rsidR="00253274" w:rsidTr="00F501E4">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F501E4" w:rsidRDefault="00BA7A7F">
            <w:pPr>
              <w:pStyle w:val="TableTextBase"/>
              <w:rPr>
                <w:rFonts w:eastAsia="Cambria" w:cs="Times New Roman"/>
                <w:bCs/>
                <w:iCs/>
                <w:color w:val="0070C0"/>
                <w:spacing w:val="-6"/>
                <w:sz w:val="16"/>
                <w:szCs w:val="16"/>
                <w:lang w:val="x-none"/>
              </w:rPr>
            </w:pPr>
            <w:r>
              <w:rPr>
                <w:rFonts w:eastAsia="Calibri"/>
                <w:sz w:val="16"/>
                <w:szCs w:val="16"/>
              </w:rPr>
              <w:t xml:space="preserve">Material changes to Program 1.2 resulting from 2022–23 </w:t>
            </w:r>
            <w:r w:rsidRPr="00855D42">
              <w:rPr>
                <w:rFonts w:eastAsia="Calibri"/>
                <w:sz w:val="16"/>
                <w:szCs w:val="16"/>
              </w:rPr>
              <w:t>Budget Measures:</w:t>
            </w:r>
            <w:r w:rsidRPr="00855D42">
              <w:rPr>
                <w:rStyle w:val="BodyTextChar"/>
                <w:rFonts w:ascii="Arial" w:eastAsia="Calibri" w:hAnsi="Arial" w:cs="Arial"/>
                <w:bCs/>
                <w:iCs/>
                <w:color w:val="365F91"/>
                <w:spacing w:val="-6"/>
                <w:sz w:val="16"/>
                <w:szCs w:val="16"/>
              </w:rPr>
              <w:t xml:space="preserve"> </w:t>
            </w:r>
            <w:r w:rsidRPr="00855D42">
              <w:rPr>
                <w:rStyle w:val="BodyTextChar"/>
                <w:rFonts w:ascii="Arial" w:eastAsia="Calibri" w:hAnsi="Arial" w:cs="Arial"/>
                <w:bCs/>
                <w:iCs/>
                <w:spacing w:val="-6"/>
                <w:sz w:val="16"/>
                <w:szCs w:val="16"/>
              </w:rPr>
              <w:t>Nil</w:t>
            </w:r>
          </w:p>
        </w:tc>
      </w:tr>
      <w:tr w:rsidR="00253274" w:rsidTr="00F501E4">
        <w:trPr>
          <w:trHeight w:val="522"/>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F501E4" w:rsidRDefault="00BA7A7F">
            <w:pPr>
              <w:pStyle w:val="TableTextLeft"/>
              <w:rPr>
                <w:rFonts w:eastAsia="Times New Roman"/>
                <w:szCs w:val="20"/>
                <w:lang w:val="en-AU"/>
              </w:rPr>
            </w:pPr>
            <w:r>
              <w:rPr>
                <w:rFonts w:eastAsia="Calibri"/>
                <w:b/>
              </w:rPr>
              <w:t>Program 1.3 – Supporting a strong resources sector</w:t>
            </w:r>
            <w:r>
              <w:rPr>
                <w:rFonts w:eastAsia="Calibri"/>
                <w:b/>
                <w:sz w:val="15"/>
                <w:szCs w:val="15"/>
              </w:rPr>
              <w:t xml:space="preserve"> </w:t>
            </w:r>
          </w:p>
          <w:p w:rsidR="00F501E4" w:rsidRDefault="00BA7A7F" w:rsidP="003370ED">
            <w:pPr>
              <w:tabs>
                <w:tab w:val="left" w:pos="709"/>
              </w:tabs>
              <w:spacing w:before="60" w:after="0" w:line="240" w:lineRule="auto"/>
              <w:rPr>
                <w:rFonts w:ascii="Arial" w:hAnsi="Arial" w:cs="Arial"/>
                <w:sz w:val="16"/>
                <w:szCs w:val="16"/>
              </w:rPr>
            </w:pPr>
            <w:r>
              <w:rPr>
                <w:rFonts w:ascii="Arial" w:hAnsi="Arial" w:cs="Arial"/>
                <w:sz w:val="16"/>
                <w:szCs w:val="16"/>
              </w:rPr>
              <w:t xml:space="preserve">This program aims to support the sustainable development of the resources sector, attract private sector investment and encourage innovative technologies. </w:t>
            </w:r>
          </w:p>
          <w:p w:rsidR="00F501E4" w:rsidRDefault="00BA7A7F" w:rsidP="003370ED">
            <w:pPr>
              <w:tabs>
                <w:tab w:val="left" w:pos="709"/>
              </w:tabs>
              <w:spacing w:before="60" w:after="0" w:line="240" w:lineRule="auto"/>
              <w:rPr>
                <w:rFonts w:ascii="Arial" w:hAnsi="Arial" w:cs="Arial"/>
                <w:sz w:val="16"/>
                <w:szCs w:val="16"/>
              </w:rPr>
            </w:pPr>
            <w:r>
              <w:rPr>
                <w:rFonts w:ascii="Arial" w:hAnsi="Arial" w:cs="Arial"/>
                <w:sz w:val="16"/>
                <w:szCs w:val="16"/>
              </w:rPr>
              <w:t>The department will measure and report on its progress towards the following intended results of the activity:</w:t>
            </w:r>
          </w:p>
          <w:p w:rsidR="00F501E4" w:rsidRDefault="00BA7A7F" w:rsidP="003370ED">
            <w:pPr>
              <w:pStyle w:val="ListParagraph"/>
              <w:numPr>
                <w:ilvl w:val="0"/>
                <w:numId w:val="16"/>
              </w:numPr>
              <w:tabs>
                <w:tab w:val="left" w:pos="709"/>
              </w:tabs>
              <w:spacing w:before="60" w:after="100" w:afterAutospacing="1" w:line="240" w:lineRule="auto"/>
              <w:jc w:val="left"/>
              <w:rPr>
                <w:rFonts w:eastAsia="Times New Roman" w:cs="Arial"/>
                <w:sz w:val="16"/>
                <w:szCs w:val="16"/>
                <w:lang w:val="en-AU"/>
              </w:rPr>
            </w:pPr>
            <w:r>
              <w:rPr>
                <w:rFonts w:ascii="Arial" w:eastAsia="Times New Roman" w:hAnsi="Arial" w:cs="Arial"/>
                <w:sz w:val="16"/>
                <w:szCs w:val="16"/>
                <w:lang w:val="en-AU"/>
              </w:rPr>
              <w:t>Supporting investment and further exploration in the resources sector.</w:t>
            </w:r>
          </w:p>
          <w:p w:rsidR="00F501E4" w:rsidRDefault="00BA7A7F" w:rsidP="003370ED">
            <w:pPr>
              <w:pStyle w:val="ListParagraph"/>
              <w:numPr>
                <w:ilvl w:val="0"/>
                <w:numId w:val="16"/>
              </w:numPr>
              <w:tabs>
                <w:tab w:val="left" w:pos="709"/>
              </w:tabs>
              <w:spacing w:before="60" w:after="100" w:afterAutospacing="1" w:line="240" w:lineRule="auto"/>
              <w:jc w:val="left"/>
              <w:rPr>
                <w:rFonts w:eastAsia="Times New Roman" w:cs="Arial"/>
                <w:sz w:val="16"/>
                <w:szCs w:val="16"/>
                <w:lang w:val="en-AU"/>
              </w:rPr>
            </w:pPr>
            <w:r>
              <w:rPr>
                <w:rFonts w:ascii="Arial" w:eastAsia="Times New Roman" w:hAnsi="Arial" w:cs="Arial"/>
                <w:sz w:val="16"/>
                <w:szCs w:val="16"/>
                <w:lang w:val="en-AU"/>
              </w:rPr>
              <w:t>Growing Australia’s resource sector, in particular growing the critical minerals sector and supporting the development of downstream supply</w:t>
            </w:r>
            <w:r w:rsidRPr="003370ED">
              <w:rPr>
                <w:rFonts w:ascii="Arial" w:eastAsia="Times New Roman" w:hAnsi="Arial" w:cs="Arial"/>
                <w:sz w:val="16"/>
                <w:szCs w:val="16"/>
                <w:lang w:val="en-AU"/>
              </w:rPr>
              <w:noBreakHyphen/>
            </w:r>
            <w:r>
              <w:rPr>
                <w:rFonts w:ascii="Arial" w:eastAsia="Times New Roman" w:hAnsi="Arial" w:cs="Arial"/>
                <w:sz w:val="16"/>
                <w:szCs w:val="16"/>
                <w:lang w:val="en-AU"/>
              </w:rPr>
              <w:t>chain capabilities.</w:t>
            </w:r>
          </w:p>
          <w:p w:rsidR="003370ED" w:rsidRDefault="00BA7A7F" w:rsidP="003370ED">
            <w:pPr>
              <w:pStyle w:val="ListParagraph"/>
              <w:numPr>
                <w:ilvl w:val="0"/>
                <w:numId w:val="16"/>
              </w:numPr>
              <w:tabs>
                <w:tab w:val="left" w:pos="709"/>
              </w:tabs>
              <w:spacing w:before="60" w:after="100" w:afterAutospacing="1" w:line="240" w:lineRule="auto"/>
              <w:jc w:val="left"/>
              <w:rPr>
                <w:rFonts w:eastAsia="Times New Roman" w:cs="Arial"/>
                <w:sz w:val="16"/>
                <w:szCs w:val="16"/>
                <w:lang w:val="en-AU"/>
              </w:rPr>
            </w:pPr>
            <w:r>
              <w:rPr>
                <w:rFonts w:ascii="Arial" w:eastAsia="Times New Roman" w:hAnsi="Arial" w:cs="Arial"/>
                <w:sz w:val="16"/>
                <w:szCs w:val="16"/>
                <w:lang w:val="en-AU"/>
              </w:rPr>
              <w:t>Removing regulatory and administrative barriers that impose unnecessary costs and delays to resources projects.</w:t>
            </w:r>
          </w:p>
          <w:p w:rsidR="00017734" w:rsidRDefault="00BA7A7F" w:rsidP="00131DE5">
            <w:pPr>
              <w:pStyle w:val="ListParagraph"/>
              <w:numPr>
                <w:ilvl w:val="0"/>
                <w:numId w:val="16"/>
              </w:numPr>
              <w:tabs>
                <w:tab w:val="left" w:pos="709"/>
              </w:tabs>
              <w:spacing w:before="60" w:after="60" w:line="240" w:lineRule="auto"/>
              <w:ind w:left="714" w:hanging="357"/>
              <w:jc w:val="left"/>
              <w:rPr>
                <w:rFonts w:eastAsia="Times New Roman" w:cs="Arial"/>
                <w:sz w:val="16"/>
                <w:szCs w:val="16"/>
                <w:lang w:val="en-AU"/>
              </w:rPr>
            </w:pPr>
            <w:r w:rsidRPr="003370ED">
              <w:rPr>
                <w:rFonts w:ascii="Arial" w:eastAsia="Times New Roman" w:hAnsi="Arial" w:cs="Arial"/>
                <w:sz w:val="16"/>
                <w:szCs w:val="16"/>
                <w:lang w:val="en-AU"/>
              </w:rPr>
              <w:t>Supporting the efficient and effective regulation of Australia’s offshore petroleum and greenhouse gas sectors.</w:t>
            </w:r>
          </w:p>
          <w:p w:rsidR="00792ABA" w:rsidRPr="00792ABA" w:rsidRDefault="00BA7A7F" w:rsidP="00792ABA">
            <w:pPr>
              <w:tabs>
                <w:tab w:val="left" w:pos="709"/>
              </w:tabs>
              <w:spacing w:before="60" w:after="60" w:line="240" w:lineRule="auto"/>
              <w:rPr>
                <w:rFonts w:cs="Arial"/>
                <w:sz w:val="16"/>
                <w:szCs w:val="16"/>
              </w:rPr>
            </w:pPr>
            <w:r w:rsidRPr="00792ABA">
              <w:rPr>
                <w:rFonts w:ascii="Arial" w:hAnsi="Arial" w:cs="Arial"/>
                <w:sz w:val="16"/>
                <w:szCs w:val="16"/>
              </w:rPr>
              <w:t>Some of the measures listed below do not have a target, where it is not practicable to provide one.</w:t>
            </w:r>
          </w:p>
        </w:tc>
      </w:tr>
      <w:tr w:rsidR="00253274" w:rsidTr="003370ED">
        <w:trPr>
          <w:trHeight w:val="257"/>
        </w:trPr>
        <w:tc>
          <w:tcPr>
            <w:tcW w:w="1560" w:type="dxa"/>
            <w:tcBorders>
              <w:top w:val="single" w:sz="4" w:space="0" w:color="auto"/>
              <w:left w:val="single" w:sz="4" w:space="0" w:color="auto"/>
              <w:bottom w:val="double" w:sz="4" w:space="0" w:color="auto"/>
              <w:right w:val="single" w:sz="4" w:space="0" w:color="auto"/>
            </w:tcBorders>
            <w:hideMark/>
          </w:tcPr>
          <w:p w:rsidR="00F501E4" w:rsidRDefault="00BA7A7F" w:rsidP="003370ED">
            <w:pPr>
              <w:tabs>
                <w:tab w:val="left" w:pos="709"/>
              </w:tabs>
              <w:spacing w:before="60" w:after="60" w:line="240" w:lineRule="auto"/>
              <w:rPr>
                <w:rFonts w:ascii="Arial" w:hAnsi="Arial" w:cs="Arial"/>
                <w:b/>
                <w:sz w:val="16"/>
                <w:szCs w:val="16"/>
              </w:rPr>
            </w:pPr>
            <w:r>
              <w:rPr>
                <w:rFonts w:ascii="Arial" w:hAnsi="Arial" w:cs="Arial"/>
                <w:b/>
                <w:sz w:val="16"/>
                <w:szCs w:val="16"/>
              </w:rPr>
              <w:t>Key Activities (a)</w:t>
            </w:r>
          </w:p>
        </w:tc>
        <w:tc>
          <w:tcPr>
            <w:tcW w:w="6236" w:type="dxa"/>
            <w:gridSpan w:val="2"/>
            <w:tcBorders>
              <w:top w:val="single" w:sz="4" w:space="0" w:color="auto"/>
              <w:left w:val="single" w:sz="4" w:space="0" w:color="auto"/>
              <w:bottom w:val="double" w:sz="4" w:space="0" w:color="auto"/>
              <w:right w:val="single" w:sz="4" w:space="0" w:color="auto"/>
            </w:tcBorders>
            <w:hideMark/>
          </w:tcPr>
          <w:p w:rsidR="00F501E4" w:rsidRDefault="00BA7A7F" w:rsidP="003370ED">
            <w:pPr>
              <w:tabs>
                <w:tab w:val="left" w:pos="709"/>
              </w:tabs>
              <w:spacing w:before="60" w:after="60" w:line="240" w:lineRule="auto"/>
              <w:rPr>
                <w:rFonts w:ascii="Arial" w:hAnsi="Arial" w:cs="Arial"/>
                <w:sz w:val="16"/>
                <w:szCs w:val="16"/>
              </w:rPr>
            </w:pPr>
            <w:r>
              <w:rPr>
                <w:rFonts w:ascii="Arial" w:hAnsi="Arial" w:cs="Arial"/>
                <w:sz w:val="16"/>
                <w:szCs w:val="16"/>
              </w:rPr>
              <w:t>Activity 2.1: Supporting a strong resources sector</w:t>
            </w:r>
          </w:p>
        </w:tc>
      </w:tr>
      <w:tr w:rsidR="00253274" w:rsidTr="00F501E4">
        <w:trPr>
          <w:trHeight w:val="258"/>
        </w:trPr>
        <w:tc>
          <w:tcPr>
            <w:tcW w:w="1560" w:type="dxa"/>
            <w:tcBorders>
              <w:top w:val="double" w:sz="4" w:space="0" w:color="auto"/>
              <w:left w:val="single" w:sz="4" w:space="0" w:color="auto"/>
              <w:bottom w:val="single" w:sz="4" w:space="0" w:color="auto"/>
              <w:right w:val="single" w:sz="4" w:space="0" w:color="auto"/>
            </w:tcBorders>
          </w:tcPr>
          <w:p w:rsidR="00F501E4" w:rsidRDefault="00BA7A7F">
            <w:pPr>
              <w:pStyle w:val="TableTextBase"/>
              <w:rPr>
                <w:rFonts w:eastAsia="Calibri"/>
                <w:b/>
                <w:sz w:val="16"/>
                <w:szCs w:val="16"/>
              </w:rPr>
            </w:pPr>
            <w:r>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F501E4" w:rsidRDefault="00BA7A7F">
            <w:pPr>
              <w:pStyle w:val="TableTextBase"/>
              <w:rPr>
                <w:rFonts w:eastAsia="Calibri"/>
                <w:b/>
                <w:sz w:val="16"/>
                <w:szCs w:val="16"/>
              </w:rPr>
            </w:pPr>
            <w:r>
              <w:rPr>
                <w:rFonts w:eastAsia="Calibri"/>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F501E4" w:rsidRDefault="00BA7A7F">
            <w:pPr>
              <w:pStyle w:val="TableTextBase"/>
              <w:rPr>
                <w:rFonts w:eastAsia="Calibri"/>
                <w:b/>
                <w:sz w:val="16"/>
                <w:szCs w:val="16"/>
              </w:rPr>
            </w:pPr>
            <w:r>
              <w:rPr>
                <w:rFonts w:eastAsia="Calibri"/>
                <w:b/>
                <w:sz w:val="16"/>
                <w:szCs w:val="16"/>
              </w:rPr>
              <w:t>Expected Performance Results</w:t>
            </w:r>
          </w:p>
        </w:tc>
      </w:tr>
      <w:tr w:rsidR="00253274" w:rsidTr="00F501E4">
        <w:trPr>
          <w:trHeight w:val="642"/>
        </w:trPr>
        <w:tc>
          <w:tcPr>
            <w:tcW w:w="1560" w:type="dxa"/>
            <w:vMerge w:val="restart"/>
            <w:tcBorders>
              <w:top w:val="single" w:sz="4" w:space="0" w:color="auto"/>
              <w:left w:val="single" w:sz="4" w:space="0" w:color="auto"/>
              <w:bottom w:val="dotted" w:sz="4" w:space="0" w:color="auto"/>
              <w:right w:val="single" w:sz="4" w:space="0" w:color="auto"/>
            </w:tcBorders>
          </w:tcPr>
          <w:p w:rsidR="00F501E4" w:rsidRDefault="00BA7A7F">
            <w:pPr>
              <w:pStyle w:val="TableTextBase"/>
              <w:rPr>
                <w:rFonts w:eastAsia="Calibri"/>
                <w:sz w:val="16"/>
                <w:szCs w:val="16"/>
              </w:rPr>
            </w:pPr>
            <w:r>
              <w:rPr>
                <w:rFonts w:eastAsia="Calibri"/>
                <w:sz w:val="16"/>
                <w:szCs w:val="16"/>
              </w:rPr>
              <w:t xml:space="preserve">Current year </w:t>
            </w:r>
          </w:p>
          <w:p w:rsidR="00F501E4" w:rsidRDefault="00F501E4">
            <w:pPr>
              <w:pStyle w:val="TableTextBase"/>
              <w:rPr>
                <w:rFonts w:eastAsia="Calibri"/>
                <w:sz w:val="16"/>
                <w:szCs w:val="16"/>
              </w:rPr>
            </w:pPr>
          </w:p>
          <w:p w:rsidR="00F501E4" w:rsidRDefault="00BA7A7F">
            <w:pPr>
              <w:pStyle w:val="TableTextBase"/>
              <w:rPr>
                <w:rFonts w:eastAsia="Calibri"/>
                <w:sz w:val="16"/>
                <w:szCs w:val="16"/>
              </w:rPr>
            </w:pPr>
            <w:r>
              <w:rPr>
                <w:rFonts w:eastAsia="Calibri"/>
                <w:sz w:val="16"/>
                <w:szCs w:val="16"/>
              </w:rPr>
              <w:t>2021–22</w:t>
            </w:r>
          </w:p>
          <w:p w:rsidR="00F501E4" w:rsidRDefault="00F501E4">
            <w:pPr>
              <w:pStyle w:val="TableTextBase"/>
              <w:rPr>
                <w:rFonts w:eastAsia="Calibri"/>
                <w:sz w:val="16"/>
                <w:szCs w:val="16"/>
              </w:rPr>
            </w:pPr>
          </w:p>
          <w:p w:rsidR="00F501E4" w:rsidRDefault="00F501E4">
            <w:pPr>
              <w:pStyle w:val="TableTextBase"/>
              <w:rPr>
                <w:rFonts w:eastAsia="Calibri"/>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F501E4" w:rsidRDefault="00BA7A7F" w:rsidP="00131DE5">
            <w:pPr>
              <w:pStyle w:val="TableTextBase"/>
              <w:spacing w:after="0"/>
              <w:rPr>
                <w:rFonts w:eastAsia="Calibri"/>
                <w:color w:val="0070C0"/>
                <w:sz w:val="16"/>
                <w:szCs w:val="16"/>
              </w:rPr>
            </w:pPr>
            <w:r>
              <w:rPr>
                <w:rFonts w:eastAsia="Calibri"/>
                <w:sz w:val="16"/>
                <w:szCs w:val="16"/>
              </w:rPr>
              <w:t xml:space="preserve">Identify and remove regulatory and administrative barriers that impose unnecessary costs and delays to resources projects </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BA7A7F" w:rsidP="00131DE5">
            <w:pPr>
              <w:pStyle w:val="TableTextBase"/>
              <w:spacing w:after="0"/>
              <w:rPr>
                <w:rFonts w:eastAsia="Calibri" w:cs="Times New Roman"/>
                <w:i/>
                <w:color w:val="0070C0"/>
                <w:sz w:val="16"/>
                <w:szCs w:val="16"/>
              </w:rPr>
            </w:pPr>
            <w:r>
              <w:rPr>
                <w:rFonts w:eastAsia="Calibri"/>
                <w:sz w:val="16"/>
                <w:szCs w:val="16"/>
              </w:rPr>
              <w:t>Results:</w:t>
            </w:r>
            <w:r>
              <w:rPr>
                <w:rFonts w:eastAsia="Calibri"/>
                <w:i/>
                <w:color w:val="31849B"/>
                <w:sz w:val="16"/>
                <w:szCs w:val="16"/>
              </w:rPr>
              <w:t xml:space="preserve"> </w:t>
            </w:r>
            <w:r>
              <w:rPr>
                <w:rFonts w:eastAsia="Calibri"/>
                <w:sz w:val="16"/>
                <w:szCs w:val="16"/>
              </w:rPr>
              <w:t>On track</w:t>
            </w:r>
            <w:r w:rsidR="003A751C">
              <w:rPr>
                <w:rFonts w:eastAsia="Calibri"/>
                <w:sz w:val="16"/>
                <w:szCs w:val="16"/>
              </w:rPr>
              <w:t>, qualitative assessment</w:t>
            </w:r>
          </w:p>
        </w:tc>
      </w:tr>
      <w:tr w:rsidR="00253274" w:rsidTr="00BA6D0A">
        <w:trPr>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Total expenditure on resources exploration.</w:t>
            </w:r>
          </w:p>
        </w:tc>
        <w:tc>
          <w:tcPr>
            <w:tcW w:w="3118" w:type="dxa"/>
            <w:tcBorders>
              <w:top w:val="single" w:sz="4" w:space="0" w:color="auto"/>
              <w:left w:val="single" w:sz="4" w:space="0" w:color="auto"/>
              <w:bottom w:val="single" w:sz="4" w:space="0" w:color="auto"/>
              <w:right w:val="single" w:sz="4" w:space="0" w:color="auto"/>
            </w:tcBorders>
          </w:tcPr>
          <w:p w:rsidR="00F501E4" w:rsidRDefault="00BA7A7F" w:rsidP="00131DE5">
            <w:pPr>
              <w:pStyle w:val="TableTextBase"/>
              <w:spacing w:after="0"/>
              <w:rPr>
                <w:rFonts w:eastAsia="Calibri"/>
                <w:sz w:val="16"/>
                <w:szCs w:val="16"/>
              </w:rPr>
            </w:pPr>
            <w:r>
              <w:rPr>
                <w:rFonts w:eastAsia="Calibri"/>
                <w:sz w:val="16"/>
                <w:szCs w:val="16"/>
              </w:rPr>
              <w:t>Year-on-year increase</w:t>
            </w:r>
          </w:p>
          <w:p w:rsidR="00F501E4" w:rsidRDefault="00F501E4" w:rsidP="00131DE5">
            <w:pPr>
              <w:pStyle w:val="TableTextBase"/>
              <w:spacing w:after="0"/>
              <w:rPr>
                <w:rFonts w:eastAsia="Calibri"/>
                <w:sz w:val="16"/>
                <w:szCs w:val="16"/>
              </w:rPr>
            </w:pPr>
          </w:p>
          <w:p w:rsidR="00F501E4" w:rsidRDefault="00BA7A7F" w:rsidP="00131DE5">
            <w:pPr>
              <w:pStyle w:val="TableTextBase"/>
              <w:spacing w:after="0"/>
              <w:rPr>
                <w:rFonts w:eastAsia="Calibri" w:cs="Times New Roman"/>
                <w:i/>
                <w:color w:val="0070C0"/>
                <w:sz w:val="16"/>
                <w:szCs w:val="16"/>
              </w:rPr>
            </w:pPr>
            <w:r>
              <w:rPr>
                <w:rFonts w:eastAsia="Calibri"/>
                <w:sz w:val="16"/>
                <w:szCs w:val="16"/>
              </w:rPr>
              <w:t>Results:</w:t>
            </w:r>
            <w:r>
              <w:rPr>
                <w:rFonts w:eastAsia="Calibri"/>
                <w:i/>
                <w:color w:val="31849B"/>
                <w:sz w:val="16"/>
                <w:szCs w:val="16"/>
              </w:rPr>
              <w:t xml:space="preserve"> </w:t>
            </w:r>
            <w:r>
              <w:rPr>
                <w:rFonts w:eastAsia="Calibri"/>
                <w:sz w:val="16"/>
                <w:szCs w:val="16"/>
              </w:rPr>
              <w:t>On track</w:t>
            </w:r>
          </w:p>
        </w:tc>
      </w:tr>
      <w:tr w:rsidR="00253274" w:rsidTr="00BA6D0A">
        <w:trPr>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Grow Australia’s critical minerals potential, including by supporting development of downstream capacity.</w:t>
            </w:r>
          </w:p>
        </w:tc>
        <w:tc>
          <w:tcPr>
            <w:tcW w:w="3118" w:type="dxa"/>
            <w:tcBorders>
              <w:top w:val="single" w:sz="4" w:space="0" w:color="auto"/>
              <w:left w:val="single" w:sz="4" w:space="0" w:color="auto"/>
              <w:bottom w:val="dotted" w:sz="4" w:space="0" w:color="auto"/>
              <w:right w:val="single" w:sz="4" w:space="0" w:color="auto"/>
            </w:tcBorders>
          </w:tcPr>
          <w:p w:rsidR="00F501E4" w:rsidRDefault="00BA7A7F" w:rsidP="00131DE5">
            <w:pPr>
              <w:pStyle w:val="TableTextBase"/>
              <w:spacing w:after="0"/>
              <w:rPr>
                <w:rFonts w:eastAsia="Calibri"/>
                <w:sz w:val="16"/>
                <w:szCs w:val="16"/>
              </w:rPr>
            </w:pPr>
            <w:r>
              <w:rPr>
                <w:rFonts w:eastAsia="Calibri"/>
                <w:sz w:val="16"/>
                <w:szCs w:val="16"/>
              </w:rPr>
              <w:t>Year-on-year increase</w:t>
            </w:r>
          </w:p>
          <w:p w:rsidR="00F501E4" w:rsidRDefault="00F501E4" w:rsidP="00131DE5">
            <w:pPr>
              <w:pStyle w:val="TableTextBase"/>
              <w:spacing w:after="0"/>
              <w:rPr>
                <w:rFonts w:eastAsia="Calibri"/>
                <w:sz w:val="16"/>
                <w:szCs w:val="16"/>
              </w:rPr>
            </w:pPr>
          </w:p>
          <w:p w:rsidR="00F501E4" w:rsidRDefault="00BA7A7F" w:rsidP="00131DE5">
            <w:pPr>
              <w:pStyle w:val="TableTextBase"/>
              <w:spacing w:after="0"/>
              <w:rPr>
                <w:rFonts w:eastAsia="Calibri" w:cs="Times New Roman"/>
                <w:i/>
                <w:color w:val="0070C0"/>
                <w:sz w:val="16"/>
                <w:szCs w:val="16"/>
              </w:rPr>
            </w:pPr>
            <w:r>
              <w:rPr>
                <w:rFonts w:eastAsia="Calibri"/>
                <w:sz w:val="16"/>
                <w:szCs w:val="16"/>
              </w:rPr>
              <w:t>Results:</w:t>
            </w:r>
            <w:r>
              <w:rPr>
                <w:rFonts w:eastAsia="Calibri"/>
                <w:i/>
                <w:color w:val="31849B"/>
                <w:sz w:val="16"/>
                <w:szCs w:val="16"/>
              </w:rPr>
              <w:t xml:space="preserve"> </w:t>
            </w:r>
            <w:r>
              <w:rPr>
                <w:rFonts w:eastAsia="Calibri"/>
                <w:sz w:val="16"/>
                <w:szCs w:val="16"/>
              </w:rPr>
              <w:t>On track</w:t>
            </w:r>
          </w:p>
        </w:tc>
      </w:tr>
      <w:tr w:rsidR="00253274" w:rsidTr="00F501E4">
        <w:trPr>
          <w:trHeight w:val="100"/>
        </w:trPr>
        <w:tc>
          <w:tcPr>
            <w:tcW w:w="1560" w:type="dxa"/>
            <w:tcBorders>
              <w:top w:val="single" w:sz="4" w:space="0" w:color="auto"/>
              <w:left w:val="single" w:sz="4" w:space="0" w:color="auto"/>
              <w:bottom w:val="dotted" w:sz="4" w:space="0" w:color="auto"/>
              <w:right w:val="single" w:sz="4" w:space="0" w:color="auto"/>
            </w:tcBorders>
          </w:tcPr>
          <w:p w:rsidR="00F501E4" w:rsidRDefault="00BA7A7F">
            <w:pPr>
              <w:pStyle w:val="TableTextBase"/>
              <w:rPr>
                <w:rFonts w:eastAsia="Calibri"/>
                <w:b/>
                <w:sz w:val="16"/>
                <w:szCs w:val="16"/>
              </w:rPr>
            </w:pPr>
            <w:r>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BA7A7F">
            <w:pPr>
              <w:pStyle w:val="TableTextBase"/>
              <w:rPr>
                <w:rFonts w:eastAsia="Calibri"/>
                <w:b/>
                <w:sz w:val="16"/>
                <w:szCs w:val="16"/>
              </w:rPr>
            </w:pPr>
            <w:r>
              <w:rPr>
                <w:rFonts w:eastAsia="Calibri"/>
                <w:b/>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BA7A7F">
            <w:pPr>
              <w:pStyle w:val="TableTextBase"/>
              <w:rPr>
                <w:rFonts w:eastAsia="Calibri"/>
                <w:b/>
                <w:sz w:val="16"/>
                <w:szCs w:val="16"/>
              </w:rPr>
            </w:pPr>
            <w:r>
              <w:rPr>
                <w:rFonts w:eastAsia="Calibri"/>
                <w:b/>
                <w:sz w:val="16"/>
                <w:szCs w:val="16"/>
              </w:rPr>
              <w:t>Planned Performance Results</w:t>
            </w:r>
          </w:p>
        </w:tc>
      </w:tr>
      <w:tr w:rsidR="00253274" w:rsidTr="00BA6D0A">
        <w:trPr>
          <w:trHeight w:val="100"/>
        </w:trPr>
        <w:tc>
          <w:tcPr>
            <w:tcW w:w="1560" w:type="dxa"/>
            <w:vMerge w:val="restart"/>
            <w:tcBorders>
              <w:top w:val="single" w:sz="4" w:space="0" w:color="auto"/>
              <w:left w:val="single" w:sz="4" w:space="0" w:color="auto"/>
              <w:bottom w:val="dotted" w:sz="4" w:space="0" w:color="auto"/>
              <w:right w:val="single" w:sz="4" w:space="0" w:color="auto"/>
            </w:tcBorders>
            <w:hideMark/>
          </w:tcPr>
          <w:p w:rsidR="00F501E4" w:rsidRDefault="00BA7A7F">
            <w:pPr>
              <w:pStyle w:val="TableTextBase"/>
              <w:rPr>
                <w:rFonts w:eastAsia="Calibri"/>
                <w:sz w:val="16"/>
                <w:szCs w:val="16"/>
              </w:rPr>
            </w:pPr>
            <w:r>
              <w:rPr>
                <w:rFonts w:eastAsia="Calibri"/>
                <w:sz w:val="16"/>
                <w:szCs w:val="16"/>
              </w:rPr>
              <w:t>Budget Year 2022–23</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Identify and remove regulatory and administrative barriers that impose unnecessary costs and delays to resources projects</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sidRPr="00143ECF">
              <w:rPr>
                <w:rFonts w:eastAsia="Calibri"/>
                <w:sz w:val="16"/>
                <w:szCs w:val="16"/>
              </w:rPr>
              <w:t>Target not practicable, qualitative assessment</w:t>
            </w:r>
          </w:p>
        </w:tc>
      </w:tr>
      <w:tr w:rsidR="00253274" w:rsidTr="00BA6D0A">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43ECF">
            <w:pPr>
              <w:pStyle w:val="TableTextBase"/>
              <w:spacing w:after="0"/>
              <w:rPr>
                <w:rFonts w:eastAsia="Calibri"/>
                <w:sz w:val="16"/>
                <w:szCs w:val="16"/>
              </w:rPr>
            </w:pPr>
            <w:r>
              <w:rPr>
                <w:rFonts w:eastAsia="Calibri"/>
                <w:sz w:val="16"/>
                <w:szCs w:val="16"/>
              </w:rPr>
              <w:t xml:space="preserve">NOPTA’s published assessment timeframes for applications made under the Offshore Petroleum and Greenhouse Storage Act 2006 (OPGGSA) </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sidRPr="00143ECF">
              <w:rPr>
                <w:rFonts w:eastAsia="Calibri"/>
                <w:sz w:val="16"/>
                <w:szCs w:val="16"/>
              </w:rPr>
              <w:t>NOPTA’s published timeframes are met 90% of the time.</w:t>
            </w:r>
          </w:p>
        </w:tc>
      </w:tr>
      <w:tr w:rsidR="00253274" w:rsidTr="00BA6D0A">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Total expenditure on resources exploration</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Year-on-year increase</w:t>
            </w:r>
          </w:p>
        </w:tc>
      </w:tr>
      <w:tr w:rsidR="00253274" w:rsidTr="00BA6D0A">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Annual release of offshore acreage for resources exploration investment</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43ECF">
            <w:pPr>
              <w:pStyle w:val="TableTextBase"/>
              <w:spacing w:after="0"/>
              <w:rPr>
                <w:rFonts w:eastAsia="Calibri"/>
                <w:sz w:val="16"/>
                <w:szCs w:val="16"/>
              </w:rPr>
            </w:pPr>
            <w:r>
              <w:rPr>
                <w:rFonts w:eastAsia="Calibri"/>
                <w:sz w:val="16"/>
                <w:szCs w:val="16"/>
              </w:rPr>
              <w:t>R</w:t>
            </w:r>
            <w:r w:rsidR="00291996">
              <w:rPr>
                <w:rFonts w:eastAsia="Calibri"/>
                <w:sz w:val="16"/>
                <w:szCs w:val="16"/>
              </w:rPr>
              <w:t xml:space="preserve">elease of new acreage </w:t>
            </w:r>
          </w:p>
        </w:tc>
      </w:tr>
      <w:tr w:rsidR="00253274" w:rsidTr="00BA6D0A">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Grow Australia’s critical minerals sector, including by supporting development of downstream processing capacity</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Year on year increase in the number, progress and total capital expenditure of critical minerals projects</w:t>
            </w:r>
          </w:p>
        </w:tc>
      </w:tr>
      <w:tr w:rsidR="00253274" w:rsidTr="00BA6D0A">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1E4" w:rsidRDefault="00F501E4">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Pr>
                <w:rFonts w:eastAsia="Calibri"/>
                <w:sz w:val="16"/>
                <w:szCs w:val="16"/>
              </w:rPr>
              <w:t>International engagement activities aimed at growing Australia’s critical mineral sector</w:t>
            </w:r>
          </w:p>
        </w:tc>
        <w:tc>
          <w:tcPr>
            <w:tcW w:w="3118" w:type="dxa"/>
            <w:tcBorders>
              <w:top w:val="single" w:sz="4" w:space="0" w:color="auto"/>
              <w:left w:val="single" w:sz="4" w:space="0" w:color="auto"/>
              <w:bottom w:val="single" w:sz="4" w:space="0" w:color="auto"/>
              <w:right w:val="single" w:sz="4" w:space="0" w:color="auto"/>
            </w:tcBorders>
            <w:hideMark/>
          </w:tcPr>
          <w:p w:rsidR="00F501E4" w:rsidRDefault="00BA7A7F" w:rsidP="00131DE5">
            <w:pPr>
              <w:pStyle w:val="TableTextBase"/>
              <w:spacing w:after="0"/>
              <w:rPr>
                <w:rFonts w:eastAsia="Calibri"/>
                <w:sz w:val="16"/>
                <w:szCs w:val="16"/>
              </w:rPr>
            </w:pPr>
            <w:r w:rsidRPr="00143ECF">
              <w:rPr>
                <w:rFonts w:eastAsia="Calibri"/>
                <w:sz w:val="16"/>
                <w:szCs w:val="16"/>
              </w:rPr>
              <w:t>Target not practicable, qualitative assessment</w:t>
            </w:r>
          </w:p>
        </w:tc>
      </w:tr>
      <w:tr w:rsidR="00253274" w:rsidTr="00F501E4">
        <w:trPr>
          <w:trHeight w:val="491"/>
        </w:trPr>
        <w:tc>
          <w:tcPr>
            <w:tcW w:w="1560" w:type="dxa"/>
            <w:tcBorders>
              <w:top w:val="single" w:sz="4" w:space="0" w:color="auto"/>
              <w:left w:val="single" w:sz="4" w:space="0" w:color="auto"/>
              <w:bottom w:val="dotted" w:sz="4" w:space="0" w:color="auto"/>
              <w:right w:val="single" w:sz="4" w:space="0" w:color="auto"/>
            </w:tcBorders>
            <w:hideMark/>
          </w:tcPr>
          <w:p w:rsidR="00F501E4" w:rsidRDefault="00BA7A7F">
            <w:pPr>
              <w:pStyle w:val="TableTextBase"/>
              <w:rPr>
                <w:rFonts w:eastAsia="Calibri"/>
                <w:sz w:val="16"/>
                <w:szCs w:val="16"/>
              </w:rPr>
            </w:pPr>
            <w:r>
              <w:rPr>
                <w:rFonts w:eastAsia="Calibri"/>
                <w:sz w:val="16"/>
                <w:szCs w:val="16"/>
              </w:rPr>
              <w:t xml:space="preserve">Forward Estimates </w:t>
            </w:r>
          </w:p>
          <w:p w:rsidR="00F501E4" w:rsidRDefault="00BA7A7F">
            <w:pPr>
              <w:pStyle w:val="TableTextBase"/>
              <w:rPr>
                <w:rFonts w:eastAsia="Calibri"/>
                <w:b/>
                <w:sz w:val="16"/>
                <w:szCs w:val="16"/>
              </w:rPr>
            </w:pPr>
            <w:r>
              <w:rPr>
                <w:rFonts w:eastAsia="Calibri"/>
                <w:sz w:val="16"/>
                <w:szCs w:val="16"/>
              </w:rPr>
              <w:t>2023–26</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BA7A7F" w:rsidP="00131DE5">
            <w:pPr>
              <w:pStyle w:val="TableTextBase"/>
              <w:spacing w:after="0"/>
              <w:rPr>
                <w:rFonts w:eastAsia="Calibri"/>
                <w:b/>
                <w:color w:val="0070C0"/>
                <w:sz w:val="16"/>
                <w:szCs w:val="16"/>
              </w:rPr>
            </w:pPr>
            <w:r>
              <w:rPr>
                <w:rFonts w:eastAsia="Calibri"/>
                <w:sz w:val="16"/>
                <w:szCs w:val="16"/>
              </w:rPr>
              <w:t>As per 2022–23</w:t>
            </w:r>
          </w:p>
        </w:tc>
        <w:tc>
          <w:tcPr>
            <w:tcW w:w="3118" w:type="dxa"/>
            <w:tcBorders>
              <w:top w:val="single" w:sz="4" w:space="0" w:color="auto"/>
              <w:left w:val="single" w:sz="4" w:space="0" w:color="auto"/>
              <w:bottom w:val="dotted" w:sz="4" w:space="0" w:color="auto"/>
              <w:right w:val="single" w:sz="4" w:space="0" w:color="auto"/>
            </w:tcBorders>
            <w:hideMark/>
          </w:tcPr>
          <w:p w:rsidR="00F501E4" w:rsidRDefault="00BA7A7F" w:rsidP="00131DE5">
            <w:pPr>
              <w:pStyle w:val="TableTextBase"/>
              <w:spacing w:after="0"/>
              <w:rPr>
                <w:rFonts w:eastAsia="Calibri"/>
                <w:b/>
                <w:color w:val="0070C0"/>
                <w:sz w:val="16"/>
                <w:szCs w:val="16"/>
              </w:rPr>
            </w:pPr>
            <w:r>
              <w:rPr>
                <w:rFonts w:eastAsia="Calibri"/>
                <w:sz w:val="16"/>
                <w:szCs w:val="16"/>
              </w:rPr>
              <w:t>As per 2022–23</w:t>
            </w:r>
          </w:p>
        </w:tc>
      </w:tr>
      <w:tr w:rsidR="00253274" w:rsidTr="00F501E4">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F501E4" w:rsidRDefault="00BA7A7F">
            <w:pPr>
              <w:pStyle w:val="TableTextBase"/>
              <w:rPr>
                <w:rFonts w:eastAsia="Cambria" w:cs="Times New Roman"/>
                <w:bCs/>
                <w:iCs/>
                <w:color w:val="0070C0"/>
                <w:spacing w:val="-6"/>
                <w:sz w:val="16"/>
                <w:szCs w:val="16"/>
                <w:lang w:val="x-none"/>
              </w:rPr>
            </w:pPr>
            <w:r>
              <w:rPr>
                <w:rFonts w:eastAsia="Calibri"/>
                <w:sz w:val="16"/>
                <w:szCs w:val="16"/>
              </w:rPr>
              <w:t xml:space="preserve">Material changes to Program 1.3 resulting from 2022–23 Budget </w:t>
            </w:r>
            <w:r w:rsidRPr="00855D42">
              <w:rPr>
                <w:rFonts w:eastAsia="Calibri"/>
                <w:sz w:val="16"/>
                <w:szCs w:val="16"/>
              </w:rPr>
              <w:t>Measures:</w:t>
            </w:r>
            <w:r w:rsidRPr="00855D42">
              <w:rPr>
                <w:rStyle w:val="BodyTextChar"/>
                <w:rFonts w:ascii="Arial" w:eastAsia="Calibri" w:hAnsi="Arial" w:cs="Arial"/>
                <w:bCs/>
                <w:iCs/>
                <w:color w:val="365F91"/>
                <w:spacing w:val="-6"/>
                <w:sz w:val="16"/>
                <w:szCs w:val="16"/>
              </w:rPr>
              <w:t xml:space="preserve"> </w:t>
            </w:r>
            <w:r w:rsidRPr="00855D42">
              <w:rPr>
                <w:rStyle w:val="BodyTextChar"/>
                <w:rFonts w:ascii="Arial" w:eastAsia="Calibri" w:hAnsi="Arial" w:cs="Arial"/>
                <w:bCs/>
                <w:iCs/>
                <w:spacing w:val="-6"/>
                <w:sz w:val="16"/>
                <w:szCs w:val="16"/>
              </w:rPr>
              <w:t>Nil</w:t>
            </w:r>
          </w:p>
        </w:tc>
      </w:tr>
    </w:tbl>
    <w:p w:rsidR="00F501E4" w:rsidRDefault="00F501E4" w:rsidP="00F501E4">
      <w:pPr>
        <w:pStyle w:val="ChartandTableFootnoteAlpha"/>
        <w:keepNext w:val="0"/>
        <w:keepLines w:val="0"/>
        <w:tabs>
          <w:tab w:val="left" w:pos="720"/>
        </w:tabs>
        <w:spacing w:line="240" w:lineRule="auto"/>
        <w:ind w:left="284" w:hanging="284"/>
        <w:rPr>
          <w:rFonts w:cs="Arial"/>
          <w:sz w:val="15"/>
          <w:szCs w:val="15"/>
        </w:rPr>
      </w:pPr>
    </w:p>
    <w:p w:rsidR="00F501E4" w:rsidRDefault="00BA7A7F" w:rsidP="00F501E4">
      <w:pPr>
        <w:pStyle w:val="ChartandTableFootnoteAlpha"/>
        <w:keepNext w:val="0"/>
        <w:keepLines w:val="0"/>
        <w:numPr>
          <w:ilvl w:val="0"/>
          <w:numId w:val="18"/>
        </w:numPr>
        <w:spacing w:line="240" w:lineRule="auto"/>
      </w:pPr>
      <w:r>
        <w:t>In line with the Department of Finance guidelines, the department’s performance measures relate directly to its purposes and key activities, representing a mix of qualitative and quantitative measures that provide a basis for an assessment of outputs, efficiency and effectiveness over time. The department is committed to continuous improvement and any refinements to performance criteria will be reflected in the 2022–23 Corporate Plan. As a leader in national policy for complex and multi-faceted areas such as the promotion of science, technology, engineering and mathematics (STEM); Australia’s resource development potential; supporting a secure, reliable and affordable energy sector; and supporting innovative and competitive businesses, industries and regions, the department has included measures which highlight where Australia, as a nation, stands. While the department contributes significantly to these measures, there are often many other factors at play which may affect the achievement of some of these measures. However, the department believes the measures above are important to track as a means to c</w:t>
      </w:r>
      <w:r w:rsidR="00143ECF">
        <w:t xml:space="preserve">ontinually develop and improve </w:t>
      </w:r>
      <w:r>
        <w:t>policies for the benefit of all Australians.</w:t>
      </w:r>
    </w:p>
    <w:p w:rsidR="00E619C5" w:rsidRPr="00BF0CBC" w:rsidRDefault="00E619C5" w:rsidP="00E619C5">
      <w:pPr>
        <w:rPr>
          <w:vanish/>
          <w:color w:val="FF0000"/>
        </w:rPr>
      </w:pPr>
    </w:p>
    <w:p w:rsidR="00D86095" w:rsidRPr="001B483A" w:rsidRDefault="00BA7A7F" w:rsidP="00CA0CF0">
      <w:pPr>
        <w:keepNext/>
        <w:pageBreakBefore/>
        <w:tabs>
          <w:tab w:val="left" w:pos="709"/>
        </w:tabs>
        <w:spacing w:before="240" w:line="240" w:lineRule="auto"/>
        <w:jc w:val="left"/>
        <w:outlineLvl w:val="2"/>
        <w:rPr>
          <w:rFonts w:ascii="Arial" w:hAnsi="Arial"/>
          <w:b/>
          <w:sz w:val="22"/>
          <w:szCs w:val="22"/>
        </w:rPr>
      </w:pPr>
      <w:bookmarkStart w:id="152" w:name="RG_MARKER_11849"/>
      <w:bookmarkStart w:id="153" w:name="RG_MARKER_11839"/>
      <w:bookmarkStart w:id="154" w:name="RG_MARKER_12188"/>
      <w:r w:rsidRPr="001B483A">
        <w:rPr>
          <w:rFonts w:ascii="Arial" w:hAnsi="Arial"/>
          <w:b/>
          <w:sz w:val="22"/>
          <w:szCs w:val="22"/>
        </w:rPr>
        <w:t>2.2</w:t>
      </w:r>
      <w:bookmarkEnd w:id="152"/>
      <w:bookmarkEnd w:id="153"/>
      <w:bookmarkEnd w:id="154"/>
      <w:r w:rsidRPr="001B483A">
        <w:rPr>
          <w:rFonts w:ascii="Arial" w:hAnsi="Arial"/>
          <w:b/>
          <w:sz w:val="22"/>
          <w:szCs w:val="22"/>
        </w:rPr>
        <w:tab/>
        <w:t>Budgeted expenses and performance for Outcome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7592"/>
      </w:tblGrid>
      <w:tr w:rsidR="00253274" w:rsidTr="00942BBE">
        <w:trPr>
          <w:trHeight w:val="113"/>
        </w:trPr>
        <w:tc>
          <w:tcPr>
            <w:tcW w:w="7592" w:type="dxa"/>
            <w:shd w:val="clear" w:color="auto" w:fill="E6E6E6"/>
          </w:tcPr>
          <w:p w:rsidR="00995137" w:rsidRPr="00995137" w:rsidRDefault="00BA7A7F" w:rsidP="00CD7C00">
            <w:pPr>
              <w:pStyle w:val="ExampleText0"/>
              <w:spacing w:before="60" w:after="60" w:line="240" w:lineRule="auto"/>
              <w:rPr>
                <w:rFonts w:ascii="Arial" w:hAnsi="Arial" w:cs="Arial"/>
                <w:b/>
                <w:bCs/>
                <w:i w:val="0"/>
                <w:iCs/>
                <w:color w:val="auto"/>
              </w:rPr>
            </w:pPr>
            <w:r w:rsidRPr="00995137">
              <w:rPr>
                <w:rFonts w:ascii="Arial" w:hAnsi="Arial" w:cs="Arial"/>
                <w:b/>
                <w:bCs/>
                <w:i w:val="0"/>
                <w:iCs/>
                <w:color w:val="auto"/>
              </w:rPr>
              <w:t xml:space="preserve">Outcome </w:t>
            </w:r>
            <w:r>
              <w:rPr>
                <w:rFonts w:ascii="Arial" w:hAnsi="Arial" w:cs="Arial"/>
                <w:b/>
                <w:bCs/>
                <w:i w:val="0"/>
                <w:iCs/>
                <w:color w:val="auto"/>
              </w:rPr>
              <w:t>2</w:t>
            </w:r>
            <w:r w:rsidRPr="00995137">
              <w:rPr>
                <w:rFonts w:ascii="Arial" w:hAnsi="Arial" w:cs="Arial"/>
                <w:b/>
                <w:bCs/>
                <w:i w:val="0"/>
                <w:iCs/>
                <w:color w:val="auto"/>
              </w:rPr>
              <w:t>: Reduce Australia’s greenhouse gas emissions, contribute to effective global action on climate change, and support technological innovation in clean and renewable energy, through developing and implementing a national response to climate change</w:t>
            </w:r>
          </w:p>
        </w:tc>
      </w:tr>
    </w:tbl>
    <w:p w:rsidR="00E77462" w:rsidRPr="001B483A" w:rsidRDefault="00BA7A7F" w:rsidP="00C60681">
      <w:pPr>
        <w:pStyle w:val="Heading4"/>
        <w:rPr>
          <w:color w:val="000000"/>
          <w:sz w:val="20"/>
          <w:bdr w:val="none" w:sz="0" w:space="0" w:color="auto" w:frame="1"/>
        </w:rPr>
      </w:pPr>
      <w:r w:rsidRPr="001B483A">
        <w:rPr>
          <w:sz w:val="20"/>
          <w:bdr w:val="none" w:sz="0" w:space="0" w:color="auto" w:frame="1"/>
        </w:rPr>
        <w:t xml:space="preserve">Linked </w:t>
      </w:r>
      <w:r w:rsidRPr="001B483A">
        <w:rPr>
          <w:color w:val="000000"/>
          <w:sz w:val="20"/>
          <w:bdr w:val="none" w:sz="0" w:space="0" w:color="auto" w:frame="1"/>
        </w:rPr>
        <w:t>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253274" w:rsidTr="007B3556">
        <w:trPr>
          <w:trHeight w:val="113"/>
        </w:trPr>
        <w:tc>
          <w:tcPr>
            <w:tcW w:w="7592" w:type="dxa"/>
            <w:tcBorders>
              <w:top w:val="single" w:sz="4" w:space="0" w:color="auto"/>
              <w:left w:val="single" w:sz="4" w:space="0" w:color="auto"/>
              <w:bottom w:val="dotted" w:sz="4" w:space="0" w:color="auto"/>
              <w:right w:val="single" w:sz="4" w:space="0" w:color="auto"/>
            </w:tcBorders>
            <w:hideMark/>
          </w:tcPr>
          <w:p w:rsidR="007B3556" w:rsidRPr="00AC001E" w:rsidRDefault="00BA7A7F">
            <w:pPr>
              <w:pStyle w:val="ExampleText0"/>
              <w:spacing w:before="60" w:after="60" w:line="240" w:lineRule="auto"/>
              <w:rPr>
                <w:rFonts w:cs="Calibri"/>
                <w:b/>
                <w:color w:val="auto"/>
                <w:u w:val="single"/>
                <w:bdr w:val="none" w:sz="0" w:space="0" w:color="auto" w:frame="1"/>
                <w:lang w:val="x-none" w:eastAsia="x-none"/>
              </w:rPr>
            </w:pPr>
            <w:r w:rsidRPr="00AC001E">
              <w:rPr>
                <w:rFonts w:cs="Calibri"/>
                <w:b/>
                <w:color w:val="auto"/>
                <w:u w:val="single"/>
                <w:bdr w:val="none" w:sz="0" w:space="0" w:color="auto" w:frame="1"/>
                <w:lang w:val="x-none" w:eastAsia="x-none"/>
              </w:rPr>
              <w:t xml:space="preserve">Portfolio </w:t>
            </w:r>
            <w:r w:rsidRPr="00AC001E">
              <w:rPr>
                <w:rFonts w:cs="Calibri"/>
                <w:b/>
                <w:color w:val="auto"/>
                <w:u w:val="single"/>
                <w:bdr w:val="none" w:sz="0" w:space="0" w:color="auto" w:frame="1"/>
                <w:lang w:eastAsia="x-none"/>
              </w:rPr>
              <w:t>a</w:t>
            </w:r>
            <w:r w:rsidRPr="00AC001E">
              <w:rPr>
                <w:rFonts w:cs="Calibri"/>
                <w:b/>
                <w:color w:val="auto"/>
                <w:u w:val="single"/>
                <w:bdr w:val="none" w:sz="0" w:space="0" w:color="auto" w:frame="1"/>
                <w:lang w:val="x-none" w:eastAsia="x-none"/>
              </w:rPr>
              <w:t>gencies</w:t>
            </w:r>
          </w:p>
          <w:p w:rsidR="007B3556" w:rsidRPr="00AC001E" w:rsidRDefault="00BA7A7F">
            <w:pPr>
              <w:spacing w:before="60" w:after="60" w:line="240" w:lineRule="auto"/>
              <w:jc w:val="left"/>
              <w:rPr>
                <w:rFonts w:cs="Calibri"/>
                <w:b/>
                <w:bdr w:val="none" w:sz="0" w:space="0" w:color="auto" w:frame="1"/>
                <w:lang w:eastAsia="x-none"/>
              </w:rPr>
            </w:pPr>
            <w:r w:rsidRPr="00AC001E">
              <w:rPr>
                <w:rFonts w:cs="Calibri"/>
                <w:b/>
                <w:bdr w:val="none" w:sz="0" w:space="0" w:color="auto" w:frame="1"/>
                <w:lang w:eastAsia="x-none"/>
              </w:rPr>
              <w:t>Australian Renewable Energy Agency</w:t>
            </w:r>
          </w:p>
          <w:p w:rsidR="007B3556" w:rsidRPr="00AC001E" w:rsidRDefault="00BA7A7F">
            <w:pPr>
              <w:spacing w:before="60" w:after="60" w:line="240" w:lineRule="auto"/>
              <w:jc w:val="left"/>
              <w:rPr>
                <w:rFonts w:cs="Calibri"/>
                <w:b/>
                <w:bdr w:val="none" w:sz="0" w:space="0" w:color="auto" w:frame="1"/>
                <w:lang w:eastAsia="x-none"/>
              </w:rPr>
            </w:pPr>
            <w:r w:rsidRPr="00AC001E">
              <w:rPr>
                <w:rFonts w:cs="Calibri"/>
                <w:b/>
                <w:bdr w:val="none" w:sz="0" w:space="0" w:color="auto" w:frame="1"/>
                <w:lang w:eastAsia="x-none"/>
              </w:rPr>
              <w:t>Clean Energy Finance Corporation</w:t>
            </w:r>
          </w:p>
          <w:p w:rsidR="007B3556" w:rsidRPr="00AC001E" w:rsidRDefault="00BA7A7F">
            <w:pPr>
              <w:spacing w:before="60" w:after="60" w:line="240" w:lineRule="auto"/>
              <w:jc w:val="left"/>
              <w:rPr>
                <w:rFonts w:cs="Calibri"/>
                <w:b/>
                <w:bdr w:val="none" w:sz="0" w:space="0" w:color="auto" w:frame="1"/>
                <w:lang w:eastAsia="x-none"/>
              </w:rPr>
            </w:pPr>
            <w:r w:rsidRPr="00AC001E">
              <w:rPr>
                <w:rFonts w:cs="Calibri"/>
                <w:b/>
                <w:bdr w:val="none" w:sz="0" w:space="0" w:color="auto" w:frame="1"/>
                <w:lang w:eastAsia="x-none"/>
              </w:rPr>
              <w:t>Clean Energy Regulator</w:t>
            </w:r>
          </w:p>
          <w:p w:rsidR="007B3556" w:rsidRPr="00AC001E" w:rsidRDefault="00BA7A7F">
            <w:pPr>
              <w:spacing w:before="60" w:after="60" w:line="240" w:lineRule="auto"/>
              <w:jc w:val="left"/>
              <w:rPr>
                <w:rFonts w:cs="Calibri"/>
                <w:b/>
                <w:bdr w:val="none" w:sz="0" w:space="0" w:color="auto" w:frame="1"/>
                <w:lang w:eastAsia="x-none"/>
              </w:rPr>
            </w:pPr>
            <w:r w:rsidRPr="00AC001E">
              <w:rPr>
                <w:rFonts w:cs="Calibri"/>
                <w:b/>
                <w:bdr w:val="none" w:sz="0" w:space="0" w:color="auto" w:frame="1"/>
                <w:lang w:eastAsia="x-none"/>
              </w:rPr>
              <w:t>Climate Change Authority</w:t>
            </w:r>
          </w:p>
          <w:p w:rsidR="007B3556" w:rsidRPr="000C1CED" w:rsidRDefault="00BA7A7F">
            <w:pPr>
              <w:spacing w:before="60" w:after="60" w:line="240" w:lineRule="auto"/>
              <w:jc w:val="left"/>
              <w:rPr>
                <w:rFonts w:cs="Calibri"/>
                <w:b/>
                <w:bdr w:val="none" w:sz="0" w:space="0" w:color="auto" w:frame="1"/>
                <w:lang w:eastAsia="x-none"/>
              </w:rPr>
            </w:pPr>
            <w:r w:rsidRPr="00AC001E">
              <w:rPr>
                <w:rFonts w:cs="Calibri"/>
                <w:b/>
                <w:bdr w:val="none" w:sz="0" w:space="0" w:color="auto" w:frame="1"/>
                <w:lang w:eastAsia="x-none"/>
              </w:rPr>
              <w:t>Commonwealth Scientific and Industrial Research Organisation</w:t>
            </w:r>
          </w:p>
        </w:tc>
      </w:tr>
      <w:tr w:rsidR="00253274" w:rsidTr="007B3556">
        <w:trPr>
          <w:trHeight w:val="113"/>
        </w:trPr>
        <w:tc>
          <w:tcPr>
            <w:tcW w:w="7592" w:type="dxa"/>
            <w:tcBorders>
              <w:top w:val="dotted" w:sz="4" w:space="0" w:color="auto"/>
              <w:left w:val="single" w:sz="4" w:space="0" w:color="auto"/>
              <w:bottom w:val="single" w:sz="2" w:space="0" w:color="auto"/>
              <w:right w:val="single" w:sz="4" w:space="0" w:color="auto"/>
            </w:tcBorders>
            <w:hideMark/>
          </w:tcPr>
          <w:p w:rsidR="007B3556" w:rsidRPr="00AC001E" w:rsidRDefault="00BA7A7F">
            <w:pPr>
              <w:spacing w:before="60" w:after="60" w:line="240" w:lineRule="auto"/>
              <w:rPr>
                <w:rFonts w:cs="Calibri"/>
                <w:bdr w:val="none" w:sz="0" w:space="0" w:color="auto" w:frame="1"/>
                <w:lang w:eastAsia="x-none"/>
              </w:rPr>
            </w:pPr>
            <w:r w:rsidRPr="00AC001E">
              <w:rPr>
                <w:rFonts w:cs="Calibri"/>
                <w:bdr w:val="none" w:sz="0" w:space="0" w:color="auto" w:frame="1"/>
                <w:lang w:eastAsia="x-none"/>
              </w:rPr>
              <w:t>Programs</w:t>
            </w:r>
          </w:p>
          <w:p w:rsidR="007B3556" w:rsidRPr="00AC001E" w:rsidRDefault="00BA7A7F">
            <w:pPr>
              <w:spacing w:before="60" w:after="60" w:line="240" w:lineRule="auto"/>
              <w:rPr>
                <w:rFonts w:cs="Calibri"/>
                <w:bdr w:val="none" w:sz="0" w:space="0" w:color="auto" w:frame="1"/>
                <w:lang w:eastAsia="x-none"/>
              </w:rPr>
            </w:pPr>
            <w:r w:rsidRPr="00AC001E">
              <w:rPr>
                <w:rFonts w:cs="Calibri"/>
                <w:bdr w:val="none" w:sz="0" w:space="0" w:color="auto" w:frame="1"/>
                <w:lang w:eastAsia="x-none"/>
              </w:rPr>
              <w:t>Australian Renewable Energy Agency</w:t>
            </w:r>
          </w:p>
          <w:p w:rsidR="007B3556" w:rsidRPr="00AC001E" w:rsidRDefault="00BA7A7F" w:rsidP="007B3556">
            <w:pPr>
              <w:keepLines w:val="0"/>
              <w:numPr>
                <w:ilvl w:val="0"/>
                <w:numId w:val="19"/>
              </w:numPr>
              <w:spacing w:before="60" w:after="60" w:line="240" w:lineRule="auto"/>
              <w:ind w:left="720"/>
              <w:rPr>
                <w:rFonts w:cs="Calibri"/>
                <w:bdr w:val="none" w:sz="0" w:space="0" w:color="auto" w:frame="1"/>
                <w:lang w:eastAsia="x-none"/>
              </w:rPr>
            </w:pPr>
            <w:r w:rsidRPr="00AC001E">
              <w:rPr>
                <w:rFonts w:cs="Calibri"/>
                <w:bdr w:val="none" w:sz="0" w:space="0" w:color="auto" w:frame="1"/>
                <w:lang w:eastAsia="x-none"/>
              </w:rPr>
              <w:t>Program 1.1 – Australian Renewable Energy Agency</w:t>
            </w:r>
          </w:p>
          <w:p w:rsidR="007B3556" w:rsidRPr="00AC001E" w:rsidRDefault="00BA7A7F">
            <w:pPr>
              <w:spacing w:before="60" w:after="60" w:line="240" w:lineRule="auto"/>
              <w:rPr>
                <w:rFonts w:cs="Calibri"/>
                <w:bdr w:val="none" w:sz="0" w:space="0" w:color="auto" w:frame="1"/>
                <w:lang w:eastAsia="x-none"/>
              </w:rPr>
            </w:pPr>
            <w:r w:rsidRPr="00AC001E">
              <w:rPr>
                <w:rFonts w:cs="Calibri"/>
                <w:bdr w:val="none" w:sz="0" w:space="0" w:color="auto" w:frame="1"/>
                <w:lang w:eastAsia="x-none"/>
              </w:rPr>
              <w:t>Clean Energy Finance Corporation</w:t>
            </w:r>
          </w:p>
          <w:p w:rsidR="007B3556" w:rsidRPr="00AC001E" w:rsidRDefault="00BA7A7F" w:rsidP="007B3556">
            <w:pPr>
              <w:keepLines w:val="0"/>
              <w:numPr>
                <w:ilvl w:val="0"/>
                <w:numId w:val="19"/>
              </w:numPr>
              <w:spacing w:before="60" w:after="60" w:line="240" w:lineRule="auto"/>
              <w:ind w:left="720"/>
              <w:rPr>
                <w:rFonts w:cs="Calibri"/>
                <w:bdr w:val="none" w:sz="0" w:space="0" w:color="auto" w:frame="1"/>
                <w:lang w:eastAsia="x-none"/>
              </w:rPr>
            </w:pPr>
            <w:r w:rsidRPr="00AC001E">
              <w:rPr>
                <w:rFonts w:cs="Calibri"/>
                <w:bdr w:val="none" w:sz="0" w:space="0" w:color="auto" w:frame="1"/>
                <w:lang w:eastAsia="x-none"/>
              </w:rPr>
              <w:t>Program 1.1 – Clean Energy Finance Corporation</w:t>
            </w:r>
          </w:p>
          <w:p w:rsidR="007B3556" w:rsidRPr="00AC001E" w:rsidRDefault="00BA7A7F">
            <w:pPr>
              <w:spacing w:before="60" w:after="60" w:line="240" w:lineRule="auto"/>
              <w:rPr>
                <w:rFonts w:cs="Calibri"/>
                <w:bdr w:val="none" w:sz="0" w:space="0" w:color="auto" w:frame="1"/>
                <w:lang w:eastAsia="x-none"/>
              </w:rPr>
            </w:pPr>
            <w:r w:rsidRPr="00AC001E">
              <w:rPr>
                <w:rFonts w:cs="Calibri"/>
                <w:bdr w:val="none" w:sz="0" w:space="0" w:color="auto" w:frame="1"/>
                <w:lang w:eastAsia="x-none"/>
              </w:rPr>
              <w:t>Clean Energy Regulator</w:t>
            </w:r>
          </w:p>
          <w:p w:rsidR="007B3556" w:rsidRPr="00AC001E" w:rsidRDefault="00BA7A7F" w:rsidP="007B3556">
            <w:pPr>
              <w:keepLines w:val="0"/>
              <w:numPr>
                <w:ilvl w:val="0"/>
                <w:numId w:val="19"/>
              </w:numPr>
              <w:spacing w:before="60" w:after="60" w:line="240" w:lineRule="auto"/>
              <w:ind w:left="720"/>
              <w:rPr>
                <w:rFonts w:cs="Calibri"/>
                <w:bdr w:val="none" w:sz="0" w:space="0" w:color="auto" w:frame="1"/>
                <w:lang w:eastAsia="x-none"/>
              </w:rPr>
            </w:pPr>
            <w:r w:rsidRPr="00AC001E">
              <w:rPr>
                <w:rFonts w:cs="Calibri"/>
                <w:bdr w:val="none" w:sz="0" w:space="0" w:color="auto" w:frame="1"/>
                <w:lang w:eastAsia="x-none"/>
              </w:rPr>
              <w:t>Program 1.1 – Clean Energy Regulator</w:t>
            </w:r>
          </w:p>
          <w:p w:rsidR="007B3556" w:rsidRPr="00AC001E" w:rsidRDefault="00BA7A7F">
            <w:pPr>
              <w:spacing w:before="60" w:after="60" w:line="240" w:lineRule="auto"/>
              <w:rPr>
                <w:rFonts w:cs="Calibri"/>
                <w:bdr w:val="none" w:sz="0" w:space="0" w:color="auto" w:frame="1"/>
                <w:lang w:eastAsia="x-none"/>
              </w:rPr>
            </w:pPr>
            <w:r w:rsidRPr="00AC001E">
              <w:rPr>
                <w:rFonts w:cs="Calibri"/>
                <w:bdr w:val="none" w:sz="0" w:space="0" w:color="auto" w:frame="1"/>
                <w:lang w:eastAsia="x-none"/>
              </w:rPr>
              <w:t>Climate Change Authority</w:t>
            </w:r>
          </w:p>
          <w:p w:rsidR="007B3556" w:rsidRPr="00AC001E" w:rsidRDefault="00BA7A7F" w:rsidP="007B3556">
            <w:pPr>
              <w:keepLines w:val="0"/>
              <w:numPr>
                <w:ilvl w:val="0"/>
                <w:numId w:val="19"/>
              </w:numPr>
              <w:spacing w:before="60" w:after="60" w:line="240" w:lineRule="auto"/>
              <w:ind w:left="720"/>
              <w:rPr>
                <w:rFonts w:cs="Calibri"/>
                <w:bdr w:val="none" w:sz="0" w:space="0" w:color="auto" w:frame="1"/>
                <w:lang w:eastAsia="x-none"/>
              </w:rPr>
            </w:pPr>
            <w:r w:rsidRPr="00AC001E">
              <w:rPr>
                <w:rFonts w:cs="Calibri"/>
                <w:bdr w:val="none" w:sz="0" w:space="0" w:color="auto" w:frame="1"/>
                <w:lang w:eastAsia="x-none"/>
              </w:rPr>
              <w:t>Program 1.1 – Reviewing Climate Change Policies</w:t>
            </w:r>
          </w:p>
          <w:p w:rsidR="007B3556" w:rsidRPr="00AC001E" w:rsidRDefault="00BA7A7F">
            <w:pPr>
              <w:spacing w:before="60" w:after="60" w:line="240" w:lineRule="auto"/>
              <w:jc w:val="left"/>
              <w:rPr>
                <w:rFonts w:cs="Calibri"/>
                <w:lang w:eastAsia="x-none"/>
              </w:rPr>
            </w:pPr>
            <w:r w:rsidRPr="00AC001E">
              <w:rPr>
                <w:rFonts w:cs="Calibri"/>
                <w:lang w:eastAsia="x-none"/>
              </w:rPr>
              <w:t>Commonwealth Scientific and Industrial Research Organisation</w:t>
            </w:r>
          </w:p>
          <w:p w:rsidR="007B3556" w:rsidRPr="000C1CED" w:rsidRDefault="00BA7A7F" w:rsidP="000C1CED">
            <w:pPr>
              <w:keepLines w:val="0"/>
              <w:numPr>
                <w:ilvl w:val="0"/>
                <w:numId w:val="20"/>
              </w:numPr>
              <w:spacing w:before="60" w:after="60" w:line="240" w:lineRule="auto"/>
              <w:ind w:left="697" w:hanging="357"/>
              <w:jc w:val="left"/>
              <w:rPr>
                <w:rFonts w:cs="Calibri"/>
                <w:lang w:eastAsia="x-none"/>
              </w:rPr>
            </w:pPr>
            <w:r w:rsidRPr="00AC001E">
              <w:rPr>
                <w:rFonts w:cs="Calibri"/>
                <w:lang w:eastAsia="x-none"/>
              </w:rPr>
              <w:t xml:space="preserve">Program 1 </w:t>
            </w:r>
            <w:r w:rsidRPr="00AC001E">
              <w:rPr>
                <w:rFonts w:cs="Calibri"/>
                <w:bdr w:val="none" w:sz="0" w:space="0" w:color="auto" w:frame="1"/>
                <w:lang w:eastAsia="x-none"/>
              </w:rPr>
              <w:t>–</w:t>
            </w:r>
            <w:r w:rsidRPr="00AC001E">
              <w:rPr>
                <w:rFonts w:cs="Calibri"/>
                <w:lang w:eastAsia="x-none"/>
              </w:rPr>
              <w:t xml:space="preserve"> Scientific and Industrial Research and Infrastructure</w:t>
            </w:r>
          </w:p>
        </w:tc>
      </w:tr>
      <w:tr w:rsidR="00253274" w:rsidTr="007B3556">
        <w:trPr>
          <w:trHeight w:val="113"/>
        </w:trPr>
        <w:tc>
          <w:tcPr>
            <w:tcW w:w="7592" w:type="dxa"/>
            <w:tcBorders>
              <w:top w:val="single" w:sz="2" w:space="0" w:color="auto"/>
              <w:left w:val="single" w:sz="2" w:space="0" w:color="auto"/>
              <w:bottom w:val="single" w:sz="2" w:space="0" w:color="auto"/>
              <w:right w:val="single" w:sz="2" w:space="0" w:color="auto"/>
            </w:tcBorders>
            <w:hideMark/>
          </w:tcPr>
          <w:p w:rsidR="007B3556" w:rsidRPr="00AC001E" w:rsidRDefault="00BA7A7F">
            <w:pPr>
              <w:spacing w:before="60" w:after="60" w:line="240" w:lineRule="auto"/>
              <w:rPr>
                <w:rFonts w:cs="Calibri"/>
                <w:b/>
                <w:bdr w:val="none" w:sz="0" w:space="0" w:color="auto" w:frame="1"/>
                <w:lang w:val="x-none" w:eastAsia="x-none"/>
              </w:rPr>
            </w:pPr>
            <w:r w:rsidRPr="00AC001E">
              <w:rPr>
                <w:rFonts w:cs="Calibri"/>
                <w:b/>
                <w:bdr w:val="none" w:sz="0" w:space="0" w:color="auto" w:frame="1"/>
                <w:lang w:val="x-none" w:eastAsia="x-none"/>
              </w:rPr>
              <w:t xml:space="preserve">Contribution to Outcome </w:t>
            </w:r>
            <w:r w:rsidRPr="00AC001E">
              <w:rPr>
                <w:rFonts w:cs="Calibri"/>
                <w:b/>
                <w:bdr w:val="none" w:sz="0" w:space="0" w:color="auto" w:frame="1"/>
                <w:lang w:eastAsia="x-none"/>
              </w:rPr>
              <w:t>2</w:t>
            </w:r>
            <w:r w:rsidRPr="00AC001E">
              <w:rPr>
                <w:rFonts w:cs="Calibri"/>
                <w:b/>
                <w:bdr w:val="none" w:sz="0" w:space="0" w:color="auto" w:frame="1"/>
                <w:lang w:val="x-none" w:eastAsia="x-none"/>
              </w:rPr>
              <w:t xml:space="preserve"> made by linked programs</w:t>
            </w:r>
          </w:p>
          <w:p w:rsidR="007B3556" w:rsidRPr="00E226D8" w:rsidRDefault="00BA7A7F">
            <w:pPr>
              <w:spacing w:before="60" w:after="60" w:line="240" w:lineRule="auto"/>
              <w:rPr>
                <w:rFonts w:cs="Calibri"/>
                <w:color w:val="FF0000"/>
                <w:bdr w:val="none" w:sz="0" w:space="0" w:color="auto" w:frame="1"/>
                <w:lang w:val="x-none" w:eastAsia="x-none"/>
              </w:rPr>
            </w:pPr>
            <w:r w:rsidRPr="00AC001E">
              <w:rPr>
                <w:rFonts w:cs="Calibri"/>
                <w:bdr w:val="none" w:sz="0" w:space="0" w:color="auto" w:frame="1"/>
                <w:lang w:val="x-none" w:eastAsia="x-none"/>
              </w:rPr>
              <w:t>The portfolio agencies’ programs contribute to reducing Australia’s greenhouse gas emissions and effective global action on climate change, and supporting technological innovation in clean and renewable energy through developing and implementing a national response to climate change.</w:t>
            </w:r>
          </w:p>
        </w:tc>
      </w:tr>
      <w:tr w:rsidR="00253274" w:rsidTr="007B3556">
        <w:trPr>
          <w:trHeight w:val="113"/>
        </w:trPr>
        <w:tc>
          <w:tcPr>
            <w:tcW w:w="7592" w:type="dxa"/>
            <w:tcBorders>
              <w:top w:val="single" w:sz="4" w:space="0" w:color="auto"/>
              <w:left w:val="single" w:sz="4" w:space="0" w:color="auto"/>
              <w:bottom w:val="dotted" w:sz="4" w:space="0" w:color="auto"/>
              <w:right w:val="single" w:sz="4" w:space="0" w:color="auto"/>
            </w:tcBorders>
            <w:hideMark/>
          </w:tcPr>
          <w:p w:rsidR="007B3556" w:rsidRPr="00AC001E" w:rsidRDefault="00BA7A7F">
            <w:pPr>
              <w:spacing w:before="60" w:after="60" w:line="240" w:lineRule="auto"/>
              <w:jc w:val="left"/>
              <w:rPr>
                <w:i/>
                <w:bdr w:val="none" w:sz="0" w:space="0" w:color="auto" w:frame="1"/>
              </w:rPr>
            </w:pPr>
            <w:r w:rsidRPr="00AC001E">
              <w:rPr>
                <w:b/>
                <w:bdr w:val="none" w:sz="0" w:space="0" w:color="auto" w:frame="1"/>
              </w:rPr>
              <w:t>Australian Taxation Office</w:t>
            </w:r>
          </w:p>
        </w:tc>
      </w:tr>
      <w:tr w:rsidR="00253274" w:rsidTr="007B3556">
        <w:trPr>
          <w:trHeight w:val="113"/>
        </w:trPr>
        <w:tc>
          <w:tcPr>
            <w:tcW w:w="7592" w:type="dxa"/>
            <w:tcBorders>
              <w:top w:val="dotted" w:sz="4" w:space="0" w:color="auto"/>
              <w:left w:val="single" w:sz="4" w:space="0" w:color="auto"/>
              <w:bottom w:val="single" w:sz="4" w:space="0" w:color="auto"/>
              <w:right w:val="single" w:sz="4" w:space="0" w:color="auto"/>
            </w:tcBorders>
            <w:hideMark/>
          </w:tcPr>
          <w:p w:rsidR="007B3556" w:rsidRPr="00AC001E" w:rsidRDefault="00BA7A7F">
            <w:pPr>
              <w:spacing w:before="60" w:after="60" w:line="240" w:lineRule="auto"/>
              <w:rPr>
                <w:b/>
                <w:bdr w:val="none" w:sz="0" w:space="0" w:color="auto" w:frame="1"/>
              </w:rPr>
            </w:pPr>
            <w:r w:rsidRPr="00AC001E">
              <w:rPr>
                <w:b/>
                <w:bdr w:val="none" w:sz="0" w:space="0" w:color="auto" w:frame="1"/>
              </w:rPr>
              <w:t>Program</w:t>
            </w:r>
          </w:p>
          <w:p w:rsidR="007B3556" w:rsidRPr="00AC001E" w:rsidRDefault="00BA7A7F" w:rsidP="007B3556">
            <w:pPr>
              <w:keepLines w:val="0"/>
              <w:numPr>
                <w:ilvl w:val="0"/>
                <w:numId w:val="19"/>
              </w:numPr>
              <w:spacing w:before="60" w:after="60" w:line="240" w:lineRule="auto"/>
              <w:ind w:left="720"/>
              <w:rPr>
                <w:bdr w:val="none" w:sz="0" w:space="0" w:color="auto" w:frame="1"/>
              </w:rPr>
            </w:pPr>
            <w:r w:rsidRPr="00AC001E">
              <w:rPr>
                <w:bdr w:val="none" w:sz="0" w:space="0" w:color="auto" w:frame="1"/>
              </w:rPr>
              <w:t xml:space="preserve">Program 1.1 </w:t>
            </w:r>
            <w:r w:rsidRPr="00AC001E">
              <w:rPr>
                <w:rFonts w:cs="Calibri"/>
                <w:bdr w:val="none" w:sz="0" w:space="0" w:color="auto" w:frame="1"/>
                <w:lang w:eastAsia="x-none"/>
              </w:rPr>
              <w:t>–</w:t>
            </w:r>
            <w:r w:rsidRPr="00AC001E">
              <w:rPr>
                <w:bdr w:val="none" w:sz="0" w:space="0" w:color="auto" w:frame="1"/>
              </w:rPr>
              <w:t xml:space="preserve"> Australian Taxation Office</w:t>
            </w:r>
          </w:p>
        </w:tc>
      </w:tr>
      <w:tr w:rsidR="00253274" w:rsidTr="007B3556">
        <w:trPr>
          <w:trHeight w:val="113"/>
        </w:trPr>
        <w:tc>
          <w:tcPr>
            <w:tcW w:w="7592" w:type="dxa"/>
            <w:tcBorders>
              <w:top w:val="single" w:sz="4" w:space="0" w:color="auto"/>
              <w:left w:val="single" w:sz="4" w:space="0" w:color="auto"/>
              <w:bottom w:val="single" w:sz="4" w:space="0" w:color="auto"/>
              <w:right w:val="single" w:sz="4" w:space="0" w:color="auto"/>
            </w:tcBorders>
            <w:hideMark/>
          </w:tcPr>
          <w:p w:rsidR="007B3556" w:rsidRPr="00AC001E" w:rsidRDefault="00BA7A7F">
            <w:pPr>
              <w:spacing w:before="60" w:after="60" w:line="240" w:lineRule="auto"/>
              <w:rPr>
                <w:b/>
                <w:bdr w:val="none" w:sz="0" w:space="0" w:color="auto" w:frame="1"/>
              </w:rPr>
            </w:pPr>
            <w:r w:rsidRPr="00AC001E">
              <w:rPr>
                <w:b/>
                <w:bdr w:val="none" w:sz="0" w:space="0" w:color="auto" w:frame="1"/>
              </w:rPr>
              <w:t>Contribution to Outcome 2 made by linked programs</w:t>
            </w:r>
          </w:p>
          <w:p w:rsidR="007B3556" w:rsidRPr="00AC001E" w:rsidRDefault="00BA7A7F">
            <w:pPr>
              <w:spacing w:before="60" w:after="60" w:line="240" w:lineRule="auto"/>
              <w:rPr>
                <w:i/>
                <w:bdr w:val="none" w:sz="0" w:space="0" w:color="auto" w:frame="1"/>
              </w:rPr>
            </w:pPr>
            <w:r w:rsidRPr="00AC001E">
              <w:rPr>
                <w:bdr w:val="none" w:sz="0" w:space="0" w:color="auto" w:frame="1"/>
              </w:rPr>
              <w:t>The Australian Taxation Office administers the Carbon Sink Forest Tax measure, which makes a tax deduction availab</w:t>
            </w:r>
            <w:r>
              <w:rPr>
                <w:bdr w:val="none" w:sz="0" w:space="0" w:color="auto" w:frame="1"/>
              </w:rPr>
              <w:t>le to carbon sequestration tree-</w:t>
            </w:r>
            <w:r w:rsidRPr="00AC001E">
              <w:rPr>
                <w:bdr w:val="none" w:sz="0" w:space="0" w:color="auto" w:frame="1"/>
              </w:rPr>
              <w:t>planting projects. This contributes to reducing Australia’s greenhouse gas emissions.</w:t>
            </w:r>
          </w:p>
        </w:tc>
      </w:tr>
      <w:tr w:rsidR="00253274" w:rsidTr="007B3556">
        <w:trPr>
          <w:trHeight w:val="113"/>
        </w:trPr>
        <w:tc>
          <w:tcPr>
            <w:tcW w:w="7592" w:type="dxa"/>
            <w:tcBorders>
              <w:top w:val="single" w:sz="4" w:space="0" w:color="auto"/>
              <w:left w:val="single" w:sz="4" w:space="0" w:color="auto"/>
              <w:bottom w:val="dotted" w:sz="4" w:space="0" w:color="auto"/>
              <w:right w:val="single" w:sz="4" w:space="0" w:color="auto"/>
            </w:tcBorders>
            <w:hideMark/>
          </w:tcPr>
          <w:p w:rsidR="007B3556" w:rsidRPr="00AC001E" w:rsidRDefault="00BA7A7F">
            <w:pPr>
              <w:keepNext/>
              <w:spacing w:before="60" w:after="60" w:line="240" w:lineRule="auto"/>
              <w:jc w:val="left"/>
              <w:rPr>
                <w:i/>
                <w:bdr w:val="none" w:sz="0" w:space="0" w:color="auto" w:frame="1"/>
              </w:rPr>
            </w:pPr>
            <w:r w:rsidRPr="00AC001E">
              <w:rPr>
                <w:b/>
                <w:bdr w:val="none" w:sz="0" w:space="0" w:color="auto" w:frame="1"/>
              </w:rPr>
              <w:t>Bureau of Meteorology</w:t>
            </w:r>
          </w:p>
        </w:tc>
      </w:tr>
      <w:tr w:rsidR="00253274" w:rsidTr="007B3556">
        <w:trPr>
          <w:trHeight w:val="113"/>
        </w:trPr>
        <w:tc>
          <w:tcPr>
            <w:tcW w:w="7592" w:type="dxa"/>
            <w:tcBorders>
              <w:top w:val="dotted" w:sz="4" w:space="0" w:color="auto"/>
              <w:left w:val="single" w:sz="4" w:space="0" w:color="auto"/>
              <w:bottom w:val="single" w:sz="4" w:space="0" w:color="auto"/>
              <w:right w:val="single" w:sz="4" w:space="0" w:color="auto"/>
            </w:tcBorders>
            <w:hideMark/>
          </w:tcPr>
          <w:p w:rsidR="007B3556" w:rsidRPr="00AC001E" w:rsidRDefault="00BA7A7F">
            <w:pPr>
              <w:keepNext/>
              <w:spacing w:before="60" w:after="60" w:line="240" w:lineRule="auto"/>
              <w:rPr>
                <w:b/>
                <w:bdr w:val="none" w:sz="0" w:space="0" w:color="auto" w:frame="1"/>
              </w:rPr>
            </w:pPr>
            <w:r w:rsidRPr="00AC001E">
              <w:rPr>
                <w:b/>
                <w:bdr w:val="none" w:sz="0" w:space="0" w:color="auto" w:frame="1"/>
              </w:rPr>
              <w:t>Program</w:t>
            </w:r>
          </w:p>
          <w:p w:rsidR="007B3556" w:rsidRPr="00AC001E" w:rsidRDefault="00BA7A7F" w:rsidP="007B3556">
            <w:pPr>
              <w:keepNext/>
              <w:numPr>
                <w:ilvl w:val="0"/>
                <w:numId w:val="19"/>
              </w:numPr>
              <w:spacing w:before="60" w:after="60" w:line="240" w:lineRule="auto"/>
              <w:ind w:left="720"/>
              <w:rPr>
                <w:bdr w:val="none" w:sz="0" w:space="0" w:color="auto" w:frame="1"/>
              </w:rPr>
            </w:pPr>
            <w:r w:rsidRPr="00AC001E">
              <w:rPr>
                <w:bdr w:val="none" w:sz="0" w:space="0" w:color="auto" w:frame="1"/>
              </w:rPr>
              <w:t xml:space="preserve">Program 1.1 </w:t>
            </w:r>
            <w:r w:rsidRPr="00AC001E">
              <w:rPr>
                <w:rFonts w:cs="Calibri"/>
                <w:bdr w:val="none" w:sz="0" w:space="0" w:color="auto" w:frame="1"/>
                <w:lang w:eastAsia="x-none"/>
              </w:rPr>
              <w:t>–</w:t>
            </w:r>
            <w:r w:rsidRPr="00AC001E">
              <w:rPr>
                <w:bdr w:val="none" w:sz="0" w:space="0" w:color="auto" w:frame="1"/>
              </w:rPr>
              <w:t xml:space="preserve"> Bureau of Meteorology</w:t>
            </w:r>
          </w:p>
        </w:tc>
      </w:tr>
      <w:tr w:rsidR="00253274" w:rsidTr="007B3556">
        <w:trPr>
          <w:trHeight w:val="113"/>
        </w:trPr>
        <w:tc>
          <w:tcPr>
            <w:tcW w:w="7592" w:type="dxa"/>
            <w:tcBorders>
              <w:top w:val="single" w:sz="4" w:space="0" w:color="auto"/>
              <w:left w:val="single" w:sz="4" w:space="0" w:color="auto"/>
              <w:bottom w:val="single" w:sz="4" w:space="0" w:color="auto"/>
              <w:right w:val="single" w:sz="4" w:space="0" w:color="auto"/>
            </w:tcBorders>
            <w:hideMark/>
          </w:tcPr>
          <w:p w:rsidR="007B3556" w:rsidRPr="00AC001E" w:rsidRDefault="00BA7A7F">
            <w:pPr>
              <w:spacing w:before="60" w:after="60" w:line="240" w:lineRule="auto"/>
              <w:rPr>
                <w:b/>
                <w:bdr w:val="none" w:sz="0" w:space="0" w:color="auto" w:frame="1"/>
              </w:rPr>
            </w:pPr>
            <w:r w:rsidRPr="00AC001E">
              <w:rPr>
                <w:b/>
                <w:bdr w:val="none" w:sz="0" w:space="0" w:color="auto" w:frame="1"/>
              </w:rPr>
              <w:t>Contribution to Outcome 2 made by linked programs</w:t>
            </w:r>
          </w:p>
          <w:p w:rsidR="007B3556" w:rsidRPr="00AC001E" w:rsidRDefault="00BA7A7F">
            <w:pPr>
              <w:spacing w:before="60" w:after="60" w:line="240" w:lineRule="auto"/>
              <w:rPr>
                <w:i/>
                <w:bdr w:val="none" w:sz="0" w:space="0" w:color="auto" w:frame="1"/>
              </w:rPr>
            </w:pPr>
            <w:r w:rsidRPr="00AC001E">
              <w:rPr>
                <w:bdr w:val="none" w:sz="0" w:space="0" w:color="auto" w:frame="1"/>
              </w:rPr>
              <w:t>The Bureau of Meteorology works collaboratively with the department to provide weather and climate information, to support priority investment areas and research needs for nationally significant infrastructure.</w:t>
            </w:r>
          </w:p>
        </w:tc>
      </w:tr>
      <w:tr w:rsidR="00253274" w:rsidTr="007B3556">
        <w:trPr>
          <w:trHeight w:val="113"/>
        </w:trPr>
        <w:tc>
          <w:tcPr>
            <w:tcW w:w="7592" w:type="dxa"/>
            <w:tcBorders>
              <w:top w:val="single" w:sz="4" w:space="0" w:color="auto"/>
              <w:left w:val="single" w:sz="4" w:space="0" w:color="auto"/>
              <w:bottom w:val="dotted" w:sz="4" w:space="0" w:color="auto"/>
              <w:right w:val="single" w:sz="4" w:space="0" w:color="auto"/>
            </w:tcBorders>
            <w:hideMark/>
          </w:tcPr>
          <w:p w:rsidR="007B3556" w:rsidRPr="00AC001E" w:rsidRDefault="00BA7A7F">
            <w:pPr>
              <w:spacing w:before="60" w:after="60" w:line="240" w:lineRule="auto"/>
              <w:rPr>
                <w:b/>
                <w:bdr w:val="none" w:sz="0" w:space="0" w:color="auto" w:frame="1"/>
              </w:rPr>
            </w:pPr>
            <w:r w:rsidRPr="00AC001E">
              <w:rPr>
                <w:b/>
                <w:bdr w:val="none" w:sz="0" w:space="0" w:color="auto" w:frame="1"/>
              </w:rPr>
              <w:t>Department of Agriculture, Water and the Environment</w:t>
            </w:r>
          </w:p>
        </w:tc>
      </w:tr>
      <w:tr w:rsidR="00253274" w:rsidTr="007B3556">
        <w:trPr>
          <w:trHeight w:val="113"/>
        </w:trPr>
        <w:tc>
          <w:tcPr>
            <w:tcW w:w="7592" w:type="dxa"/>
            <w:tcBorders>
              <w:top w:val="dotted" w:sz="4" w:space="0" w:color="auto"/>
              <w:left w:val="single" w:sz="4" w:space="0" w:color="auto"/>
              <w:bottom w:val="single" w:sz="4" w:space="0" w:color="auto"/>
              <w:right w:val="single" w:sz="4" w:space="0" w:color="auto"/>
            </w:tcBorders>
            <w:hideMark/>
          </w:tcPr>
          <w:p w:rsidR="007B3556" w:rsidRPr="00AC001E" w:rsidRDefault="00BA7A7F">
            <w:pPr>
              <w:spacing w:before="60" w:after="60" w:line="240" w:lineRule="auto"/>
              <w:rPr>
                <w:b/>
                <w:bdr w:val="none" w:sz="0" w:space="0" w:color="auto" w:frame="1"/>
              </w:rPr>
            </w:pPr>
            <w:r w:rsidRPr="00AC001E">
              <w:rPr>
                <w:b/>
                <w:bdr w:val="none" w:sz="0" w:space="0" w:color="auto" w:frame="1"/>
              </w:rPr>
              <w:t>Program</w:t>
            </w:r>
          </w:p>
          <w:p w:rsidR="007B3556" w:rsidRPr="00AC001E" w:rsidRDefault="00BA7A7F" w:rsidP="007B3556">
            <w:pPr>
              <w:pStyle w:val="ListParagraph"/>
              <w:numPr>
                <w:ilvl w:val="0"/>
                <w:numId w:val="21"/>
              </w:numPr>
              <w:spacing w:before="60" w:after="60" w:line="240" w:lineRule="auto"/>
              <w:rPr>
                <w:rFonts w:eastAsia="Times New Roman" w:cs="Times New Roman"/>
                <w:sz w:val="20"/>
                <w:bdr w:val="none" w:sz="0" w:space="0" w:color="auto" w:frame="1"/>
                <w:lang w:val="en-AU"/>
              </w:rPr>
            </w:pPr>
            <w:r w:rsidRPr="00AC001E">
              <w:rPr>
                <w:rFonts w:eastAsia="Times New Roman" w:cs="Times New Roman"/>
                <w:sz w:val="20"/>
                <w:bdr w:val="none" w:sz="0" w:space="0" w:color="auto" w:frame="1"/>
                <w:lang w:val="en-AU"/>
              </w:rPr>
              <w:t>Program 1.1 – Sustainable Management of Natural Resources and the Environment</w:t>
            </w:r>
          </w:p>
          <w:p w:rsidR="007B3556" w:rsidRPr="00AC001E" w:rsidRDefault="00BA7A7F" w:rsidP="007B3556">
            <w:pPr>
              <w:pStyle w:val="ListParagraph"/>
              <w:numPr>
                <w:ilvl w:val="0"/>
                <w:numId w:val="21"/>
              </w:numPr>
              <w:spacing w:before="60" w:after="60" w:line="240" w:lineRule="auto"/>
              <w:rPr>
                <w:rFonts w:eastAsia="Times New Roman" w:cs="Times New Roman"/>
                <w:b/>
                <w:bdr w:val="none" w:sz="0" w:space="0" w:color="auto" w:frame="1"/>
                <w:lang w:val="en-AU"/>
              </w:rPr>
            </w:pPr>
            <w:r w:rsidRPr="00AC001E">
              <w:rPr>
                <w:rFonts w:eastAsia="Times New Roman" w:cs="Times New Roman"/>
                <w:sz w:val="20"/>
                <w:szCs w:val="20"/>
                <w:bdr w:val="none" w:sz="0" w:space="0" w:color="auto" w:frame="1"/>
                <w:lang w:val="en-AU" w:eastAsia="en-AU"/>
              </w:rPr>
              <w:t>Program 3.2 – Sustainable Management – Natural Resources</w:t>
            </w:r>
          </w:p>
          <w:p w:rsidR="007B3556" w:rsidRPr="00AC001E" w:rsidRDefault="00BA7A7F" w:rsidP="007B3556">
            <w:pPr>
              <w:pStyle w:val="ListParagraph"/>
              <w:numPr>
                <w:ilvl w:val="0"/>
                <w:numId w:val="21"/>
              </w:numPr>
              <w:spacing w:before="60" w:after="60" w:line="240" w:lineRule="auto"/>
              <w:rPr>
                <w:rFonts w:eastAsia="Times New Roman" w:cs="Times New Roman"/>
                <w:b/>
                <w:bdr w:val="none" w:sz="0" w:space="0" w:color="auto" w:frame="1"/>
                <w:lang w:val="en-AU"/>
              </w:rPr>
            </w:pPr>
            <w:r w:rsidRPr="00AC001E">
              <w:rPr>
                <w:rFonts w:eastAsia="Times New Roman" w:cs="Times New Roman"/>
                <w:sz w:val="20"/>
                <w:szCs w:val="20"/>
                <w:bdr w:val="none" w:sz="0" w:space="0" w:color="auto" w:frame="1"/>
                <w:lang w:val="en-AU" w:eastAsia="en-AU"/>
              </w:rPr>
              <w:t>Program 3.3 – Forestry Industry</w:t>
            </w:r>
          </w:p>
        </w:tc>
      </w:tr>
      <w:tr w:rsidR="00253274" w:rsidTr="007B3556">
        <w:trPr>
          <w:trHeight w:val="113"/>
        </w:trPr>
        <w:tc>
          <w:tcPr>
            <w:tcW w:w="7592" w:type="dxa"/>
            <w:tcBorders>
              <w:top w:val="single" w:sz="4" w:space="0" w:color="auto"/>
              <w:left w:val="single" w:sz="4" w:space="0" w:color="auto"/>
              <w:bottom w:val="single" w:sz="4" w:space="0" w:color="auto"/>
              <w:right w:val="single" w:sz="4" w:space="0" w:color="auto"/>
            </w:tcBorders>
            <w:hideMark/>
          </w:tcPr>
          <w:p w:rsidR="007B3556" w:rsidRPr="00AC001E" w:rsidRDefault="00BA7A7F">
            <w:pPr>
              <w:spacing w:before="60" w:after="60" w:line="240" w:lineRule="auto"/>
              <w:rPr>
                <w:b/>
                <w:bdr w:val="none" w:sz="0" w:space="0" w:color="auto" w:frame="1"/>
              </w:rPr>
            </w:pPr>
            <w:r w:rsidRPr="00AC001E">
              <w:rPr>
                <w:b/>
                <w:bdr w:val="none" w:sz="0" w:space="0" w:color="auto" w:frame="1"/>
              </w:rPr>
              <w:t>Contribution to Outcome 2 made by linked programs</w:t>
            </w:r>
          </w:p>
          <w:p w:rsidR="007B3556" w:rsidRPr="00E226D8" w:rsidRDefault="00BA7A7F" w:rsidP="003001BB">
            <w:pPr>
              <w:spacing w:before="60" w:after="60" w:line="240" w:lineRule="auto"/>
              <w:rPr>
                <w:b/>
                <w:color w:val="FF0000"/>
                <w:bdr w:val="none" w:sz="0" w:space="0" w:color="auto" w:frame="1"/>
              </w:rPr>
            </w:pPr>
            <w:r w:rsidRPr="00AC001E">
              <w:rPr>
                <w:rFonts w:cs="Arial"/>
                <w:bdr w:val="none" w:sz="0" w:space="0" w:color="auto" w:frame="1"/>
              </w:rPr>
              <w:t>The Department of Agriculture, Water and the Environment (DAWE) is responsible for policies and programs on biodiversity conservation; sustainable natural resource management, climate science and adaptation</w:t>
            </w:r>
            <w:r>
              <w:rPr>
                <w:rFonts w:cs="Arial"/>
                <w:bdr w:val="none" w:sz="0" w:space="0" w:color="auto" w:frame="1"/>
              </w:rPr>
              <w:t>;</w:t>
            </w:r>
            <w:r w:rsidRPr="00AC001E">
              <w:rPr>
                <w:rFonts w:cs="Arial"/>
                <w:bdr w:val="none" w:sz="0" w:space="0" w:color="auto" w:frame="1"/>
              </w:rPr>
              <w:t xml:space="preserve"> and sustainable and productive agricultural and forestry industries. DAWE collaborates with the department to promote complementary outcomes for emissions reductions, the environment and productivity, including through implementation of the International Partnership for Blue Carbon and the Asia Pacific Rainforest Partnership. DAWE also collaborates with the department on programs related to climate </w:t>
            </w:r>
            <w:r w:rsidR="009C672A">
              <w:rPr>
                <w:rFonts w:cs="Arial"/>
                <w:bdr w:val="none" w:sz="0" w:space="0" w:color="auto" w:frame="1"/>
              </w:rPr>
              <w:t xml:space="preserve">risk disclosure by Australian Government </w:t>
            </w:r>
            <w:r w:rsidRPr="00AC001E">
              <w:rPr>
                <w:rFonts w:cs="Arial"/>
                <w:bdr w:val="none" w:sz="0" w:space="0" w:color="auto" w:frame="1"/>
              </w:rPr>
              <w:t>agencies.</w:t>
            </w:r>
          </w:p>
        </w:tc>
      </w:tr>
      <w:tr w:rsidR="00253274" w:rsidTr="007B3556">
        <w:trPr>
          <w:trHeight w:val="113"/>
        </w:trPr>
        <w:tc>
          <w:tcPr>
            <w:tcW w:w="7592" w:type="dxa"/>
            <w:tcBorders>
              <w:top w:val="single" w:sz="4" w:space="0" w:color="auto"/>
              <w:left w:val="single" w:sz="4" w:space="0" w:color="auto"/>
              <w:bottom w:val="dotted" w:sz="4" w:space="0" w:color="auto"/>
              <w:right w:val="single" w:sz="4" w:space="0" w:color="auto"/>
            </w:tcBorders>
            <w:hideMark/>
          </w:tcPr>
          <w:p w:rsidR="007B3556" w:rsidRPr="00AC001E" w:rsidRDefault="00BA7A7F">
            <w:pPr>
              <w:spacing w:before="60" w:after="60" w:line="240" w:lineRule="auto"/>
              <w:rPr>
                <w:b/>
                <w:bdr w:val="none" w:sz="0" w:space="0" w:color="auto" w:frame="1"/>
              </w:rPr>
            </w:pPr>
            <w:r w:rsidRPr="00AC001E">
              <w:rPr>
                <w:b/>
                <w:bdr w:val="none" w:sz="0" w:space="0" w:color="auto" w:frame="1"/>
              </w:rPr>
              <w:t>Department of Foreign Affairs and Trade</w:t>
            </w:r>
          </w:p>
        </w:tc>
      </w:tr>
      <w:tr w:rsidR="00253274" w:rsidTr="007B3556">
        <w:trPr>
          <w:trHeight w:val="113"/>
        </w:trPr>
        <w:tc>
          <w:tcPr>
            <w:tcW w:w="7592" w:type="dxa"/>
            <w:tcBorders>
              <w:top w:val="dotted" w:sz="4" w:space="0" w:color="auto"/>
              <w:left w:val="single" w:sz="4" w:space="0" w:color="auto"/>
              <w:bottom w:val="single" w:sz="4" w:space="0" w:color="auto"/>
              <w:right w:val="single" w:sz="4" w:space="0" w:color="auto"/>
            </w:tcBorders>
            <w:hideMark/>
          </w:tcPr>
          <w:p w:rsidR="007B3556" w:rsidRPr="00AC001E" w:rsidRDefault="00BA7A7F">
            <w:pPr>
              <w:spacing w:before="60" w:after="60" w:line="240" w:lineRule="auto"/>
              <w:rPr>
                <w:b/>
                <w:bdr w:val="none" w:sz="0" w:space="0" w:color="auto" w:frame="1"/>
              </w:rPr>
            </w:pPr>
            <w:r w:rsidRPr="00AC001E">
              <w:rPr>
                <w:b/>
                <w:bdr w:val="none" w:sz="0" w:space="0" w:color="auto" w:frame="1"/>
              </w:rPr>
              <w:t>Program</w:t>
            </w:r>
          </w:p>
          <w:p w:rsidR="007B3556" w:rsidRPr="00AC001E" w:rsidRDefault="00BA7A7F" w:rsidP="007B3556">
            <w:pPr>
              <w:pStyle w:val="ListParagraph"/>
              <w:numPr>
                <w:ilvl w:val="0"/>
                <w:numId w:val="21"/>
              </w:numPr>
              <w:spacing w:before="60" w:after="60" w:line="240" w:lineRule="auto"/>
              <w:rPr>
                <w:rFonts w:eastAsia="Times New Roman" w:cs="Times New Roman"/>
                <w:b/>
                <w:sz w:val="20"/>
                <w:szCs w:val="20"/>
                <w:bdr w:val="none" w:sz="0" w:space="0" w:color="auto" w:frame="1"/>
                <w:lang w:val="en-AU"/>
              </w:rPr>
            </w:pPr>
            <w:r w:rsidRPr="00AC001E">
              <w:rPr>
                <w:rFonts w:eastAsia="Times New Roman" w:cs="Times New Roman"/>
                <w:sz w:val="20"/>
                <w:szCs w:val="20"/>
                <w:bdr w:val="none" w:sz="0" w:space="0" w:color="auto" w:frame="1"/>
                <w:lang w:val="en-AU" w:eastAsia="en-AU"/>
              </w:rPr>
              <w:t xml:space="preserve">Program 1.1 </w:t>
            </w:r>
            <w:r w:rsidRPr="00AC001E">
              <w:rPr>
                <w:rFonts w:eastAsia="Times New Roman" w:cs="Calibri"/>
                <w:sz w:val="20"/>
                <w:szCs w:val="20"/>
                <w:bdr w:val="none" w:sz="0" w:space="0" w:color="auto" w:frame="1"/>
                <w:lang w:val="en-AU" w:eastAsia="x-none"/>
              </w:rPr>
              <w:t>–</w:t>
            </w:r>
            <w:r w:rsidRPr="00AC001E">
              <w:rPr>
                <w:rFonts w:eastAsia="Times New Roman" w:cs="Times New Roman"/>
                <w:sz w:val="20"/>
                <w:szCs w:val="20"/>
                <w:bdr w:val="none" w:sz="0" w:space="0" w:color="auto" w:frame="1"/>
                <w:lang w:val="en-AU" w:eastAsia="en-AU"/>
              </w:rPr>
              <w:t xml:space="preserve"> Foreign Affairs and Trade Operations</w:t>
            </w:r>
          </w:p>
        </w:tc>
      </w:tr>
      <w:tr w:rsidR="00253274" w:rsidTr="007B3556">
        <w:trPr>
          <w:trHeight w:val="113"/>
        </w:trPr>
        <w:tc>
          <w:tcPr>
            <w:tcW w:w="7592" w:type="dxa"/>
            <w:tcBorders>
              <w:top w:val="single" w:sz="4" w:space="0" w:color="auto"/>
              <w:left w:val="single" w:sz="4" w:space="0" w:color="auto"/>
              <w:bottom w:val="single" w:sz="4" w:space="0" w:color="auto"/>
              <w:right w:val="single" w:sz="4" w:space="0" w:color="auto"/>
            </w:tcBorders>
            <w:hideMark/>
          </w:tcPr>
          <w:p w:rsidR="007B3556" w:rsidRPr="00AC001E" w:rsidRDefault="00BA7A7F">
            <w:pPr>
              <w:spacing w:before="60" w:after="60" w:line="240" w:lineRule="auto"/>
              <w:rPr>
                <w:b/>
                <w:bdr w:val="none" w:sz="0" w:space="0" w:color="auto" w:frame="1"/>
              </w:rPr>
            </w:pPr>
            <w:r w:rsidRPr="00AC001E">
              <w:rPr>
                <w:b/>
                <w:bdr w:val="none" w:sz="0" w:space="0" w:color="auto" w:frame="1"/>
              </w:rPr>
              <w:t>Contribution to Outcome 2 made by linked programs</w:t>
            </w:r>
          </w:p>
          <w:p w:rsidR="00153905" w:rsidRPr="00153905" w:rsidRDefault="00BA7A7F" w:rsidP="00153905">
            <w:pPr>
              <w:spacing w:before="60" w:after="60" w:line="240" w:lineRule="auto"/>
              <w:rPr>
                <w:bdr w:val="none" w:sz="0" w:space="0" w:color="auto" w:frame="1"/>
              </w:rPr>
            </w:pPr>
            <w:r w:rsidRPr="00153905">
              <w:rPr>
                <w:bdr w:val="none" w:sz="0" w:space="0" w:color="auto" w:frame="1"/>
              </w:rPr>
              <w:t>The Department of Foreign Affairs and Trade (DFAT) leads international clima</w:t>
            </w:r>
            <w:r>
              <w:rPr>
                <w:bdr w:val="none" w:sz="0" w:space="0" w:color="auto" w:frame="1"/>
              </w:rPr>
              <w:t>te change negotiations for the G</w:t>
            </w:r>
            <w:r w:rsidRPr="00153905">
              <w:rPr>
                <w:bdr w:val="none" w:sz="0" w:space="0" w:color="auto" w:frame="1"/>
              </w:rPr>
              <w:t xml:space="preserve">overnment under the United Nations Framework Convention on Climate Change. The department works collaboratively with DFAT in formulating advice to </w:t>
            </w:r>
            <w:r>
              <w:rPr>
                <w:bdr w:val="none" w:sz="0" w:space="0" w:color="auto" w:frame="1"/>
              </w:rPr>
              <w:t>g</w:t>
            </w:r>
            <w:r w:rsidRPr="00153905">
              <w:rPr>
                <w:bdr w:val="none" w:sz="0" w:space="0" w:color="auto" w:frame="1"/>
              </w:rPr>
              <w:t>overnment on these matters and representing Australia at United Nations Framework Convention on Climate Change meetings, and related bodies such as the Intergovernmental Panel on Climate Change. DFAT also delivers a number of Australian Government funded projects that support climate change capacity development projects in developing countries. These key programs include the Climate Resilient by Nature Indo-Pacific Knowledge Hub, the Australian Climate Finance Partnership, the Business Partnerships Platform, and the Pacific Blue Carbon Program.</w:t>
            </w:r>
          </w:p>
          <w:p w:rsidR="007B3556" w:rsidRPr="00E226D8" w:rsidRDefault="00BA7A7F" w:rsidP="003001BB">
            <w:pPr>
              <w:spacing w:before="60" w:after="60" w:line="240" w:lineRule="auto"/>
              <w:rPr>
                <w:b/>
                <w:color w:val="FF0000"/>
                <w:bdr w:val="none" w:sz="0" w:space="0" w:color="auto" w:frame="1"/>
              </w:rPr>
            </w:pPr>
            <w:r w:rsidRPr="00153905">
              <w:rPr>
                <w:bdr w:val="none" w:sz="0" w:space="0" w:color="auto" w:frame="1"/>
              </w:rPr>
              <w:t xml:space="preserve">DFAT supports the department to deliver the Indo-Pacific Carbon Offset Scheme, including by providing diplomatic support to develop bilateral partnerships under the </w:t>
            </w:r>
            <w:r>
              <w:rPr>
                <w:bdr w:val="none" w:sz="0" w:space="0" w:color="auto" w:frame="1"/>
              </w:rPr>
              <w:t>s</w:t>
            </w:r>
            <w:r w:rsidRPr="00153905">
              <w:rPr>
                <w:bdr w:val="none" w:sz="0" w:space="0" w:color="auto" w:frame="1"/>
              </w:rPr>
              <w:t>cheme.</w:t>
            </w:r>
          </w:p>
        </w:tc>
      </w:tr>
      <w:tr w:rsidR="00253274" w:rsidTr="007B3556">
        <w:trPr>
          <w:trHeight w:val="113"/>
        </w:trPr>
        <w:tc>
          <w:tcPr>
            <w:tcW w:w="7592" w:type="dxa"/>
            <w:tcBorders>
              <w:top w:val="single" w:sz="4" w:space="0" w:color="auto"/>
              <w:left w:val="single" w:sz="4" w:space="0" w:color="auto"/>
              <w:bottom w:val="dotted" w:sz="4" w:space="0" w:color="auto"/>
              <w:right w:val="single" w:sz="4" w:space="0" w:color="auto"/>
            </w:tcBorders>
            <w:hideMark/>
          </w:tcPr>
          <w:p w:rsidR="007B3556" w:rsidRPr="00AC001E" w:rsidRDefault="00BA7A7F" w:rsidP="00B63BC4">
            <w:pPr>
              <w:keepNext/>
              <w:spacing w:before="60" w:after="60" w:line="240" w:lineRule="auto"/>
              <w:jc w:val="left"/>
              <w:rPr>
                <w:b/>
                <w:bdr w:val="none" w:sz="0" w:space="0" w:color="auto" w:frame="1"/>
              </w:rPr>
            </w:pPr>
            <w:r w:rsidRPr="00AC001E">
              <w:rPr>
                <w:b/>
                <w:bdr w:val="none" w:sz="0" w:space="0" w:color="auto" w:frame="1"/>
              </w:rPr>
              <w:t>Department of Infrastructure, Transport, Regional Development and Communications</w:t>
            </w:r>
          </w:p>
        </w:tc>
      </w:tr>
      <w:tr w:rsidR="00253274" w:rsidTr="007B3556">
        <w:trPr>
          <w:trHeight w:val="113"/>
        </w:trPr>
        <w:tc>
          <w:tcPr>
            <w:tcW w:w="7592" w:type="dxa"/>
            <w:tcBorders>
              <w:top w:val="dotted" w:sz="4" w:space="0" w:color="auto"/>
              <w:left w:val="single" w:sz="4" w:space="0" w:color="auto"/>
              <w:bottom w:val="single" w:sz="4" w:space="0" w:color="auto"/>
              <w:right w:val="single" w:sz="4" w:space="0" w:color="auto"/>
            </w:tcBorders>
            <w:hideMark/>
          </w:tcPr>
          <w:p w:rsidR="007B3556" w:rsidRPr="00AC001E" w:rsidRDefault="00BA7A7F">
            <w:pPr>
              <w:spacing w:before="60" w:after="60" w:line="240" w:lineRule="auto"/>
              <w:rPr>
                <w:b/>
                <w:bdr w:val="none" w:sz="0" w:space="0" w:color="auto" w:frame="1"/>
              </w:rPr>
            </w:pPr>
            <w:r w:rsidRPr="00AC001E">
              <w:rPr>
                <w:b/>
                <w:bdr w:val="none" w:sz="0" w:space="0" w:color="auto" w:frame="1"/>
              </w:rPr>
              <w:t>Programs</w:t>
            </w:r>
          </w:p>
          <w:p w:rsidR="007B3556" w:rsidRPr="00AC001E" w:rsidRDefault="00BA7A7F" w:rsidP="007B3556">
            <w:pPr>
              <w:keepLines w:val="0"/>
              <w:numPr>
                <w:ilvl w:val="0"/>
                <w:numId w:val="19"/>
              </w:numPr>
              <w:spacing w:before="60" w:after="60" w:line="240" w:lineRule="auto"/>
              <w:ind w:left="720"/>
              <w:rPr>
                <w:bdr w:val="none" w:sz="0" w:space="0" w:color="auto" w:frame="1"/>
              </w:rPr>
            </w:pPr>
            <w:r w:rsidRPr="00AC001E">
              <w:rPr>
                <w:bdr w:val="none" w:sz="0" w:space="0" w:color="auto" w:frame="1"/>
              </w:rPr>
              <w:t xml:space="preserve">Program 2.1 </w:t>
            </w:r>
            <w:r w:rsidRPr="00AC001E">
              <w:rPr>
                <w:rFonts w:cs="Calibri"/>
                <w:bdr w:val="none" w:sz="0" w:space="0" w:color="auto" w:frame="1"/>
                <w:lang w:eastAsia="x-none"/>
              </w:rPr>
              <w:t>–</w:t>
            </w:r>
            <w:r w:rsidRPr="00AC001E">
              <w:rPr>
                <w:bdr w:val="none" w:sz="0" w:space="0" w:color="auto" w:frame="1"/>
              </w:rPr>
              <w:t xml:space="preserve"> Surface Transport</w:t>
            </w:r>
          </w:p>
          <w:p w:rsidR="007B3556" w:rsidRPr="00AC001E" w:rsidRDefault="00BA7A7F" w:rsidP="007B3556">
            <w:pPr>
              <w:keepLines w:val="0"/>
              <w:numPr>
                <w:ilvl w:val="0"/>
                <w:numId w:val="19"/>
              </w:numPr>
              <w:spacing w:before="60" w:after="60" w:line="240" w:lineRule="auto"/>
              <w:ind w:left="720"/>
              <w:rPr>
                <w:b/>
                <w:bdr w:val="none" w:sz="0" w:space="0" w:color="auto" w:frame="1"/>
              </w:rPr>
            </w:pPr>
            <w:r w:rsidRPr="00AC001E">
              <w:rPr>
                <w:bdr w:val="none" w:sz="0" w:space="0" w:color="auto" w:frame="1"/>
              </w:rPr>
              <w:t xml:space="preserve">Program 2.3 </w:t>
            </w:r>
            <w:r w:rsidRPr="00AC001E">
              <w:rPr>
                <w:rFonts w:cs="Calibri"/>
                <w:bdr w:val="none" w:sz="0" w:space="0" w:color="auto" w:frame="1"/>
                <w:lang w:eastAsia="x-none"/>
              </w:rPr>
              <w:t>–</w:t>
            </w:r>
            <w:r w:rsidRPr="00AC001E">
              <w:rPr>
                <w:bdr w:val="none" w:sz="0" w:space="0" w:color="auto" w:frame="1"/>
              </w:rPr>
              <w:t xml:space="preserve"> Air Transport</w:t>
            </w:r>
          </w:p>
        </w:tc>
      </w:tr>
      <w:tr w:rsidR="00253274" w:rsidTr="007B3556">
        <w:trPr>
          <w:trHeight w:val="113"/>
        </w:trPr>
        <w:tc>
          <w:tcPr>
            <w:tcW w:w="7592" w:type="dxa"/>
            <w:tcBorders>
              <w:top w:val="single" w:sz="4" w:space="0" w:color="auto"/>
              <w:left w:val="single" w:sz="4" w:space="0" w:color="auto"/>
              <w:bottom w:val="single" w:sz="4" w:space="0" w:color="auto"/>
              <w:right w:val="single" w:sz="4" w:space="0" w:color="auto"/>
            </w:tcBorders>
            <w:hideMark/>
          </w:tcPr>
          <w:p w:rsidR="007B3556" w:rsidRPr="00AC001E" w:rsidRDefault="00BA7A7F">
            <w:pPr>
              <w:spacing w:before="60" w:after="60" w:line="240" w:lineRule="auto"/>
              <w:rPr>
                <w:b/>
                <w:bdr w:val="none" w:sz="0" w:space="0" w:color="auto" w:frame="1"/>
              </w:rPr>
            </w:pPr>
            <w:r w:rsidRPr="00AC001E">
              <w:rPr>
                <w:b/>
                <w:bdr w:val="none" w:sz="0" w:space="0" w:color="auto" w:frame="1"/>
              </w:rPr>
              <w:t>Contribution to Outcome 2 made by linked programs</w:t>
            </w:r>
          </w:p>
          <w:p w:rsidR="00E31446" w:rsidRPr="00F877E1" w:rsidRDefault="00BA7A7F" w:rsidP="003001BB">
            <w:pPr>
              <w:keepNext/>
              <w:spacing w:before="60" w:after="60" w:line="240" w:lineRule="auto"/>
              <w:rPr>
                <w:rFonts w:cs="Arial"/>
                <w:bdr w:val="none" w:sz="0" w:space="0" w:color="auto" w:frame="1"/>
              </w:rPr>
            </w:pPr>
            <w:r w:rsidRPr="00AC001E">
              <w:rPr>
                <w:rFonts w:cs="Arial"/>
                <w:bdr w:val="none" w:sz="0" w:space="0" w:color="auto" w:frame="1"/>
              </w:rPr>
              <w:t>The Department of Infrastructure, Transport, Regional Development and Communications (DITRDC) and the department work collaboratively toward</w:t>
            </w:r>
            <w:r>
              <w:rPr>
                <w:rFonts w:cs="Arial"/>
                <w:bdr w:val="none" w:sz="0" w:space="0" w:color="auto" w:frame="1"/>
              </w:rPr>
              <w:t>s</w:t>
            </w:r>
            <w:r w:rsidRPr="00AC001E">
              <w:rPr>
                <w:rFonts w:cs="Arial"/>
                <w:bdr w:val="none" w:sz="0" w:space="0" w:color="auto" w:frame="1"/>
              </w:rPr>
              <w:t xml:space="preserve"> </w:t>
            </w:r>
            <w:r>
              <w:rPr>
                <w:rFonts w:cs="Arial"/>
                <w:bdr w:val="none" w:sz="0" w:space="0" w:color="auto" w:frame="1"/>
              </w:rPr>
              <w:t xml:space="preserve">reducing </w:t>
            </w:r>
            <w:r w:rsidRPr="00AC001E">
              <w:rPr>
                <w:rFonts w:cs="Arial"/>
                <w:bdr w:val="none" w:sz="0" w:space="0" w:color="auto" w:frame="1"/>
              </w:rPr>
              <w:t>emissions from transport. DITRDC leads participation and negotiations in: the International Civil Aviation Organization's Carbon Offsetting and Reduction Sc</w:t>
            </w:r>
            <w:r>
              <w:rPr>
                <w:rFonts w:cs="Arial"/>
                <w:bdr w:val="none" w:sz="0" w:space="0" w:color="auto" w:frame="1"/>
              </w:rPr>
              <w:t>heme for International Aviation and</w:t>
            </w:r>
            <w:r w:rsidRPr="00AC001E">
              <w:rPr>
                <w:rFonts w:cs="Arial"/>
                <w:bdr w:val="none" w:sz="0" w:space="0" w:color="auto" w:frame="1"/>
              </w:rPr>
              <w:t xml:space="preserve"> the International Maritime Organisation, assessing measures and the frameworks for reducing international aviation and maritime emissions. This work includes energy efficiency, alternative fuels, linkages to carbon markets and standards for carbo</w:t>
            </w:r>
            <w:r>
              <w:rPr>
                <w:rFonts w:cs="Arial"/>
                <w:bdr w:val="none" w:sz="0" w:space="0" w:color="auto" w:frame="1"/>
              </w:rPr>
              <w:t xml:space="preserve">n unit eligibility. DITRDC </w:t>
            </w:r>
            <w:r w:rsidRPr="00AC001E">
              <w:rPr>
                <w:rFonts w:cs="Arial"/>
                <w:bdr w:val="none" w:sz="0" w:space="0" w:color="auto" w:frame="1"/>
              </w:rPr>
              <w:t xml:space="preserve"> </w:t>
            </w:r>
            <w:r>
              <w:rPr>
                <w:rFonts w:cs="Arial"/>
                <w:bdr w:val="none" w:sz="0" w:space="0" w:color="auto" w:frame="1"/>
              </w:rPr>
              <w:t xml:space="preserve">has </w:t>
            </w:r>
            <w:r w:rsidRPr="00AC001E">
              <w:rPr>
                <w:rFonts w:cs="Arial"/>
                <w:bdr w:val="none" w:sz="0" w:space="0" w:color="auto" w:frame="1"/>
              </w:rPr>
              <w:t>responsibility for maintaining and updating the Green Vehicle Guide, which provides consumer information on tailpipe CO</w:t>
            </w:r>
            <w:r w:rsidRPr="003001BB">
              <w:rPr>
                <w:rFonts w:cs="Arial"/>
                <w:bdr w:val="none" w:sz="0" w:space="0" w:color="auto" w:frame="1"/>
                <w:vertAlign w:val="subscript"/>
              </w:rPr>
              <w:t>2</w:t>
            </w:r>
            <w:r w:rsidRPr="00AC001E">
              <w:rPr>
                <w:rFonts w:cs="Arial"/>
                <w:bdr w:val="none" w:sz="0" w:space="0" w:color="auto" w:frame="1"/>
              </w:rPr>
              <w:t xml:space="preserve"> emissions from vehicles.</w:t>
            </w:r>
          </w:p>
        </w:tc>
      </w:tr>
    </w:tbl>
    <w:p w:rsidR="00E77462" w:rsidRPr="001B483A" w:rsidRDefault="00E77462">
      <w:pPr>
        <w:keepLines w:val="0"/>
        <w:spacing w:after="200" w:line="276" w:lineRule="auto"/>
        <w:jc w:val="left"/>
        <w:rPr>
          <w:rFonts w:ascii="Arial" w:hAnsi="Arial"/>
          <w:b/>
          <w:smallCaps/>
          <w:vanish/>
          <w:color w:val="FF0000"/>
          <w:sz w:val="26"/>
        </w:rPr>
      </w:pPr>
    </w:p>
    <w:p w:rsidR="00870A72" w:rsidRPr="00870A72" w:rsidRDefault="00BA7A7F" w:rsidP="003C17AD">
      <w:pPr>
        <w:pStyle w:val="Heading5"/>
        <w:pageBreakBefore/>
        <w:spacing w:before="0" w:after="120" w:line="240" w:lineRule="auto"/>
        <w:rPr>
          <w:rFonts w:ascii="Arial" w:hAnsi="Arial" w:cs="Arial"/>
          <w:b/>
          <w:color w:val="000000"/>
        </w:rPr>
      </w:pPr>
      <w:bookmarkStart w:id="155" w:name="RG_MARKER_12325"/>
      <w:r w:rsidRPr="00870A72">
        <w:rPr>
          <w:rFonts w:ascii="Arial" w:hAnsi="Arial" w:cs="Arial"/>
          <w:b/>
          <w:color w:val="000000"/>
        </w:rPr>
        <w:t>Budgeted expenses for Outcome 2</w:t>
      </w:r>
      <w:bookmarkEnd w:id="155"/>
    </w:p>
    <w:p w:rsidR="00870A72" w:rsidRDefault="00BA7A7F" w:rsidP="00870A72">
      <w:r>
        <w:t xml:space="preserve">This table shows how much the entity intends to spend (on an accrual basis) on achieving the outcome, broken down by program, as well as by Administered and Departmental funding sources. </w:t>
      </w:r>
    </w:p>
    <w:p w:rsidR="00870A72" w:rsidRDefault="00BA7A7F" w:rsidP="003C17AD">
      <w:pPr>
        <w:pStyle w:val="TableHeading"/>
        <w:keepLines/>
        <w:spacing w:before="0"/>
        <w:rPr>
          <w:rFonts w:cs="Arial"/>
        </w:rPr>
      </w:pPr>
      <w:r>
        <w:rPr>
          <w:rFonts w:cs="Arial"/>
        </w:rPr>
        <w:t>Table 2.2.1: Budgeted expenses for Outcome 2</w:t>
      </w:r>
    </w:p>
    <w:tbl>
      <w:tblPr>
        <w:tblStyle w:val="CDMRange1"/>
        <w:tblW w:w="7770" w:type="dxa"/>
        <w:tblLayout w:type="fixed"/>
        <w:tblLook w:val="0600" w:firstRow="0" w:lastRow="0" w:firstColumn="0" w:lastColumn="0" w:noHBand="1" w:noVBand="1"/>
      </w:tblPr>
      <w:tblGrid>
        <w:gridCol w:w="2745"/>
        <w:gridCol w:w="1005"/>
        <w:gridCol w:w="1005"/>
        <w:gridCol w:w="1005"/>
        <w:gridCol w:w="1005"/>
        <w:gridCol w:w="1005"/>
      </w:tblGrid>
      <w:tr w:rsidR="00253274">
        <w:trPr>
          <w:trHeight w:hRule="exact" w:val="225"/>
        </w:trPr>
        <w:tc>
          <w:tcPr>
            <w:tcW w:w="27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70" w:type="dxa"/>
            <w:gridSpan w:val="6"/>
            <w:tcBorders>
              <w:top w:val="single" w:sz="4" w:space="0" w:color="000000"/>
              <w:left w:val="nil"/>
              <w:bottom w:val="single" w:sz="4" w:space="0" w:color="000000"/>
              <w:right w:val="nil"/>
              <w:tl2br w:val="nil"/>
              <w:tr2bl w:val="nil"/>
            </w:tcBorders>
            <w:shd w:val="clear" w:color="FFFFFF" w:fill="D9D9D9"/>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Program 2.1: Reducing Australia's greenhouse gas emissions</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74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Activating Regional Hydrogen Export Hubs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100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60,750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84,000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38,500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Biofuels - Monitoring, Compliance and Enforcement for Fuel Quality</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100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Carbon Capture, Use and Storage Development Fund</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24,800</w:t>
            </w:r>
          </w:p>
        </w:tc>
        <w:tc>
          <w:tcPr>
            <w:tcW w:w="100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274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Emissions Reduction and New Investments Under the Technology Investment Roadmap</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174,749</w:t>
            </w:r>
          </w:p>
        </w:tc>
        <w:tc>
          <w:tcPr>
            <w:tcW w:w="100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133,675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178,124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150,035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251,354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9"/>
        </w:trPr>
        <w:tc>
          <w:tcPr>
            <w:tcW w:w="274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Energy and Emissions Reduction – Further Investment in Low Emissions Technologies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0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83,500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29,500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745" w:type="dxa"/>
            <w:tcBorders>
              <w:top w:val="nil"/>
              <w:left w:val="nil"/>
              <w:bottom w:val="nil"/>
              <w:right w:val="nil"/>
              <w:tl2br w:val="nil"/>
              <w:tr2bl w:val="nil"/>
            </w:tcBorders>
            <w:shd w:val="clear" w:color="auto" w:fill="auto"/>
            <w:noWrap/>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Hydrogen Strategy and Implementation</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1,247</w:t>
            </w:r>
          </w:p>
        </w:tc>
        <w:tc>
          <w:tcPr>
            <w:tcW w:w="100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745" w:type="dxa"/>
            <w:tcBorders>
              <w:top w:val="nil"/>
              <w:left w:val="nil"/>
              <w:bottom w:val="nil"/>
              <w:right w:val="nil"/>
              <w:tl2br w:val="nil"/>
              <w:tr2bl w:val="nil"/>
            </w:tcBorders>
            <w:shd w:val="clear" w:color="auto" w:fill="auto"/>
            <w:noWrap/>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Soil Carbon and Livestock Methane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4,300</w:t>
            </w:r>
          </w:p>
        </w:tc>
        <w:tc>
          <w:tcPr>
            <w:tcW w:w="100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3,028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Offshore Electricity Infrastructure Framework (a)</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1,215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745" w:type="dxa"/>
            <w:tcBorders>
              <w:top w:val="nil"/>
              <w:left w:val="nil"/>
              <w:bottom w:val="nil"/>
              <w:right w:val="nil"/>
              <w:tl2br w:val="nil"/>
              <w:tr2bl w:val="nil"/>
            </w:tcBorders>
            <w:shd w:val="clear" w:color="auto" w:fill="auto"/>
            <w:noWrap/>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Patent Box for Low Emissions Technology</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213,696</w:t>
            </w:r>
          </w:p>
        </w:tc>
        <w:tc>
          <w:tcPr>
            <w:tcW w:w="100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256,289</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348,824</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220,135</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299,954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77,160</w:t>
            </w:r>
          </w:p>
        </w:tc>
        <w:tc>
          <w:tcPr>
            <w:tcW w:w="100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84,024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68,194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62,142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52,935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2,576</w:t>
            </w:r>
          </w:p>
        </w:tc>
        <w:tc>
          <w:tcPr>
            <w:tcW w:w="100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5,251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3,735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3,712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4,025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562</w:t>
            </w:r>
          </w:p>
        </w:tc>
        <w:tc>
          <w:tcPr>
            <w:tcW w:w="1005"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1,135</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1,456</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1,678</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1,678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80,298</w:t>
            </w:r>
          </w:p>
        </w:tc>
        <w:tc>
          <w:tcPr>
            <w:tcW w:w="100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90,410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73,385</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67,532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58,638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2.1</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293,994</w:t>
            </w:r>
          </w:p>
        </w:tc>
        <w:tc>
          <w:tcPr>
            <w:tcW w:w="100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346,699</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422,209</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287,667</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358,592</w:t>
            </w:r>
          </w:p>
        </w:tc>
      </w:tr>
    </w:tbl>
    <w:p w:rsidR="00870A72" w:rsidRDefault="00BA7A7F" w:rsidP="00870A72">
      <w:pPr>
        <w:keepLines w:val="0"/>
        <w:spacing w:after="200" w:line="276" w:lineRule="auto"/>
        <w:jc w:val="left"/>
        <w:rPr>
          <w:rFonts w:ascii="Arial" w:hAnsi="Arial"/>
          <w:b/>
          <w:bdr w:val="none" w:sz="0" w:space="0" w:color="auto" w:frame="1"/>
        </w:rPr>
      </w:pPr>
      <w:r>
        <w:rPr>
          <w:bdr w:val="none" w:sz="0" w:space="0" w:color="auto" w:frame="1"/>
        </w:rPr>
        <w:br w:type="page"/>
      </w:r>
    </w:p>
    <w:p w:rsidR="00870A72" w:rsidRDefault="00BA7A7F" w:rsidP="003C17AD">
      <w:pPr>
        <w:pStyle w:val="TableHeading"/>
        <w:keepLines/>
        <w:pageBreakBefore/>
        <w:spacing w:before="0"/>
        <w:rPr>
          <w:bdr w:val="none" w:sz="0" w:space="0" w:color="auto" w:frame="1"/>
        </w:rPr>
      </w:pPr>
      <w:r>
        <w:rPr>
          <w:bdr w:val="none" w:sz="0" w:space="0" w:color="auto" w:frame="1"/>
        </w:rPr>
        <w:t>Table 2.2.1: Budgeted expenses for Outcome 2 (continued)</w:t>
      </w:r>
    </w:p>
    <w:tbl>
      <w:tblPr>
        <w:tblStyle w:val="CDMRange2"/>
        <w:tblW w:w="7770" w:type="dxa"/>
        <w:tblLayout w:type="fixed"/>
        <w:tblLook w:val="0600" w:firstRow="0" w:lastRow="0" w:firstColumn="0" w:lastColumn="0" w:noHBand="1" w:noVBand="1"/>
      </w:tblPr>
      <w:tblGrid>
        <w:gridCol w:w="2745"/>
        <w:gridCol w:w="1005"/>
        <w:gridCol w:w="1005"/>
        <w:gridCol w:w="1005"/>
        <w:gridCol w:w="1005"/>
        <w:gridCol w:w="1005"/>
      </w:tblGrid>
      <w:tr w:rsidR="00253274">
        <w:trPr>
          <w:trHeight w:hRule="exact" w:val="225"/>
        </w:trPr>
        <w:tc>
          <w:tcPr>
            <w:tcW w:w="27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70" w:type="dxa"/>
            <w:gridSpan w:val="6"/>
            <w:tcBorders>
              <w:top w:val="single" w:sz="4" w:space="0" w:color="000000"/>
              <w:left w:val="nil"/>
              <w:bottom w:val="single" w:sz="4" w:space="0" w:color="000000"/>
              <w:right w:val="nil"/>
              <w:tl2br w:val="nil"/>
              <w:tr2bl w:val="nil"/>
            </w:tcBorders>
            <w:shd w:val="clear" w:color="FFFFFF" w:fill="D9D9D9"/>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Program 2.2: Developing clean energy technology</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124,312</w:t>
            </w:r>
          </w:p>
        </w:tc>
        <w:tc>
          <w:tcPr>
            <w:tcW w:w="100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299,972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238,238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236,612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203,695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center"/>
              <w:rPr>
                <w:rFonts w:ascii="Arial" w:eastAsia="Arial" w:hAnsi="Arial" w:cs="Arial"/>
                <w:i/>
                <w:color w:val="000000"/>
                <w:sz w:val="16"/>
              </w:rPr>
            </w:pPr>
            <w:r>
              <w:rPr>
                <w:rFonts w:ascii="Arial" w:eastAsia="Arial" w:hAnsi="Arial" w:cs="Arial"/>
                <w:i/>
                <w:color w:val="000000"/>
                <w:sz w:val="16"/>
              </w:rPr>
              <w:t>Less payments to corporate entities</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(124,312)</w:t>
            </w:r>
          </w:p>
        </w:tc>
        <w:tc>
          <w:tcPr>
            <w:tcW w:w="1005" w:type="dxa"/>
            <w:tcBorders>
              <w:top w:val="nil"/>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(299,972)</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(238,238)</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(236,612)</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(203,695)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Australian Renewable Energy Agency Act 2011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304,836</w:t>
            </w:r>
          </w:p>
        </w:tc>
        <w:tc>
          <w:tcPr>
            <w:tcW w:w="100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center"/>
              <w:rPr>
                <w:rFonts w:ascii="Arial" w:eastAsia="Arial" w:hAnsi="Arial" w:cs="Arial"/>
                <w:i/>
                <w:color w:val="000000"/>
                <w:sz w:val="16"/>
              </w:rPr>
            </w:pPr>
            <w:r>
              <w:rPr>
                <w:rFonts w:ascii="Arial" w:eastAsia="Arial" w:hAnsi="Arial" w:cs="Arial"/>
                <w:i/>
                <w:color w:val="000000"/>
                <w:sz w:val="16"/>
              </w:rPr>
              <w:t>Less payments to corporate entities</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(304,836)</w:t>
            </w:r>
          </w:p>
        </w:tc>
        <w:tc>
          <w:tcPr>
            <w:tcW w:w="100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429,148</w:t>
            </w:r>
          </w:p>
        </w:tc>
        <w:tc>
          <w:tcPr>
            <w:tcW w:w="1005"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299,972</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238,238</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236,612</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203,695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429,148</w:t>
            </w:r>
          </w:p>
        </w:tc>
        <w:tc>
          <w:tcPr>
            <w:tcW w:w="100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299,972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238,238</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236,612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203,695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74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7,939</w:t>
            </w:r>
          </w:p>
        </w:tc>
        <w:tc>
          <w:tcPr>
            <w:tcW w:w="100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9,147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8,528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10,201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10,317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7,939</w:t>
            </w:r>
          </w:p>
        </w:tc>
        <w:tc>
          <w:tcPr>
            <w:tcW w:w="100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9,147</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8,528</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10,201</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10,317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437,087</w:t>
            </w:r>
          </w:p>
        </w:tc>
        <w:tc>
          <w:tcPr>
            <w:tcW w:w="100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309,119</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246,766</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246,813</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214,012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70" w:type="dxa"/>
            <w:gridSpan w:val="6"/>
            <w:tcBorders>
              <w:top w:val="single" w:sz="4" w:space="0" w:color="000000"/>
              <w:left w:val="nil"/>
              <w:bottom w:val="single" w:sz="4" w:space="0" w:color="000000"/>
              <w:right w:val="nil"/>
              <w:tl2br w:val="nil"/>
              <w:tr2bl w:val="nil"/>
            </w:tcBorders>
            <w:shd w:val="clear" w:color="FFFFFF" w:fill="D9D9D9"/>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Outcome 2 Totals by appropriation type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213,696</w:t>
            </w:r>
          </w:p>
        </w:tc>
        <w:tc>
          <w:tcPr>
            <w:tcW w:w="100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256,289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348,824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220,135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299,954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429,148</w:t>
            </w:r>
          </w:p>
        </w:tc>
        <w:tc>
          <w:tcPr>
            <w:tcW w:w="1005"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299,972</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238,238</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236,612</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203,695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642,844</w:t>
            </w:r>
          </w:p>
        </w:tc>
        <w:tc>
          <w:tcPr>
            <w:tcW w:w="100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556,261</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587,062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456,747</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503,649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85,099</w:t>
            </w:r>
          </w:p>
        </w:tc>
        <w:tc>
          <w:tcPr>
            <w:tcW w:w="100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93,171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76,722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72,343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63,252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2,576</w:t>
            </w:r>
          </w:p>
        </w:tc>
        <w:tc>
          <w:tcPr>
            <w:tcW w:w="100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5,251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3,735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3,712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4,025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562</w:t>
            </w:r>
          </w:p>
        </w:tc>
        <w:tc>
          <w:tcPr>
            <w:tcW w:w="1005"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1,135</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1,456</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1,678</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1,678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88,237</w:t>
            </w:r>
          </w:p>
        </w:tc>
        <w:tc>
          <w:tcPr>
            <w:tcW w:w="100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99,557</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81,913</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77,733</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68,955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731,081</w:t>
            </w:r>
          </w:p>
        </w:tc>
        <w:tc>
          <w:tcPr>
            <w:tcW w:w="100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655,818</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668,975</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534,480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572,604</w:t>
            </w:r>
          </w:p>
        </w:tc>
      </w:tr>
    </w:tbl>
    <w:p w:rsidR="007F2597" w:rsidRDefault="00BA7A7F">
      <w:pPr>
        <w:keepLines w:val="0"/>
        <w:spacing w:after="160" w:line="259" w:lineRule="auto"/>
        <w:jc w:val="left"/>
        <w:rPr>
          <w:rStyle w:val="Hyperlink"/>
        </w:rPr>
      </w:pPr>
      <w:r>
        <w:rPr>
          <w:rStyle w:val="Hyperlink"/>
        </w:rPr>
        <w:br w:type="page"/>
      </w:r>
    </w:p>
    <w:p w:rsidR="007F2597" w:rsidRDefault="00BA7A7F" w:rsidP="007F2597">
      <w:pPr>
        <w:pStyle w:val="TableHeading"/>
        <w:keepLines/>
        <w:pageBreakBefore/>
        <w:spacing w:before="0"/>
        <w:rPr>
          <w:bdr w:val="none" w:sz="0" w:space="0" w:color="auto" w:frame="1"/>
        </w:rPr>
      </w:pPr>
      <w:r>
        <w:rPr>
          <w:bdr w:val="none" w:sz="0" w:space="0" w:color="auto" w:frame="1"/>
        </w:rPr>
        <w:t>Table 2.2.1: Budgeted expenses for Outcome 2 (continued)</w:t>
      </w:r>
    </w:p>
    <w:tbl>
      <w:tblPr>
        <w:tblStyle w:val="CDMRange1"/>
        <w:tblW w:w="7770" w:type="dxa"/>
        <w:tblLayout w:type="fixed"/>
        <w:tblLook w:val="0600" w:firstRow="0" w:lastRow="0" w:firstColumn="0" w:lastColumn="0" w:noHBand="1" w:noVBand="1"/>
      </w:tblPr>
      <w:tblGrid>
        <w:gridCol w:w="2745"/>
        <w:gridCol w:w="1005"/>
        <w:gridCol w:w="1005"/>
        <w:gridCol w:w="1005"/>
        <w:gridCol w:w="1005"/>
        <w:gridCol w:w="1005"/>
      </w:tblGrid>
      <w:tr w:rsidR="00253274">
        <w:trPr>
          <w:trHeight w:hRule="exact" w:val="225"/>
        </w:trPr>
        <w:tc>
          <w:tcPr>
            <w:tcW w:w="27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 between years (d)</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Outcome 2: </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74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Emissions Reduction and New Investments Under the Technology Investments Roadmap</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(6,600)</w:t>
            </w:r>
          </w:p>
        </w:tc>
        <w:tc>
          <w:tcPr>
            <w:tcW w:w="1005"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21,350</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26,650</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22,100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 administered funds</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(6,600)</w:t>
            </w:r>
          </w:p>
        </w:tc>
        <w:tc>
          <w:tcPr>
            <w:tcW w:w="100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21,350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26,650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22,100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(63,500)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single" w:sz="4" w:space="0" w:color="000000"/>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249</w:t>
            </w:r>
          </w:p>
        </w:tc>
        <w:tc>
          <w:tcPr>
            <w:tcW w:w="100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266</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7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bl>
    <w:p w:rsidR="00236F7D" w:rsidRPr="00236E61" w:rsidRDefault="00BA7A7F" w:rsidP="00AD5D51">
      <w:pPr>
        <w:pStyle w:val="ChartandTableFootnoteAlpha"/>
        <w:tabs>
          <w:tab w:val="left" w:pos="720"/>
        </w:tabs>
        <w:spacing w:before="40" w:line="240" w:lineRule="auto"/>
        <w:ind w:left="0" w:firstLine="0"/>
      </w:pPr>
      <w:r w:rsidRPr="00A24BAD">
        <w:t xml:space="preserve">Departmental appropriation splits and totals are indicative estimates and may change in the course of the Budget </w:t>
      </w:r>
      <w:r w:rsidRPr="00236E61">
        <w:t>year as government priorities change.</w:t>
      </w:r>
    </w:p>
    <w:p w:rsidR="005A5EF9" w:rsidRPr="00236E61" w:rsidRDefault="00BA7A7F" w:rsidP="00C93C86">
      <w:pPr>
        <w:pStyle w:val="ChartandTableFootnoteAlpha"/>
        <w:keepNext w:val="0"/>
        <w:keepLines w:val="0"/>
        <w:numPr>
          <w:ilvl w:val="0"/>
          <w:numId w:val="22"/>
        </w:numPr>
        <w:spacing w:line="240" w:lineRule="auto"/>
        <w:rPr>
          <w:bdr w:val="none" w:sz="0" w:space="0" w:color="auto" w:frame="1"/>
        </w:rPr>
      </w:pPr>
      <w:r w:rsidRPr="00236E61">
        <w:rPr>
          <w:bdr w:val="none" w:sz="0" w:space="0" w:color="auto" w:frame="1"/>
        </w:rPr>
        <w:t>Funding for this program will be transferred to a special account once the special account is established.</w:t>
      </w:r>
    </w:p>
    <w:p w:rsidR="004941C2" w:rsidRPr="00236E61" w:rsidRDefault="00BA7A7F" w:rsidP="0067277F">
      <w:pPr>
        <w:pStyle w:val="ChartandTableFootnoteAlpha"/>
        <w:keepNext w:val="0"/>
        <w:keepLines w:val="0"/>
        <w:numPr>
          <w:ilvl w:val="0"/>
          <w:numId w:val="22"/>
        </w:numPr>
        <w:spacing w:line="240" w:lineRule="auto"/>
        <w:rPr>
          <w:bdr w:val="none" w:sz="0" w:space="0" w:color="auto" w:frame="1"/>
        </w:rPr>
      </w:pPr>
      <w:r w:rsidRPr="00236E61">
        <w:rPr>
          <w:bdr w:val="none" w:sz="0" w:space="0" w:color="auto" w:frame="1"/>
        </w:rPr>
        <w:t>Estimated expenses incurred in relation to receipts retained under section 74 of the PGPA Act 2013.</w:t>
      </w:r>
    </w:p>
    <w:p w:rsidR="004941C2" w:rsidRPr="00236E61" w:rsidRDefault="00BA7A7F" w:rsidP="004941C2">
      <w:pPr>
        <w:pStyle w:val="ChartandTableFootnoteAlpha"/>
        <w:keepNext w:val="0"/>
        <w:keepLines w:val="0"/>
        <w:numPr>
          <w:ilvl w:val="0"/>
          <w:numId w:val="22"/>
        </w:numPr>
        <w:spacing w:line="240" w:lineRule="auto"/>
        <w:rPr>
          <w:bdr w:val="none" w:sz="0" w:space="0" w:color="auto" w:frame="1"/>
        </w:rPr>
      </w:pPr>
      <w:r w:rsidRPr="00236E61">
        <w:rPr>
          <w:bdr w:val="none" w:sz="0" w:space="0" w:color="auto" w:frame="1"/>
        </w:rPr>
        <w:t>Expenses not requiring appropriation in the Budget year are made up of depreciation expenses.</w:t>
      </w:r>
    </w:p>
    <w:p w:rsidR="004941C2" w:rsidRPr="00236E61" w:rsidRDefault="00BA7A7F" w:rsidP="004941C2">
      <w:pPr>
        <w:pStyle w:val="ChartandTableFootnoteAlpha"/>
        <w:keepNext w:val="0"/>
        <w:keepLines w:val="0"/>
        <w:numPr>
          <w:ilvl w:val="0"/>
          <w:numId w:val="22"/>
        </w:numPr>
        <w:spacing w:line="240" w:lineRule="auto"/>
        <w:rPr>
          <w:bdr w:val="none" w:sz="0" w:space="0" w:color="auto" w:frame="1"/>
        </w:rPr>
      </w:pPr>
      <w:r w:rsidRPr="00236E61">
        <w:rPr>
          <w:bdr w:val="none" w:sz="0" w:space="0" w:color="auto" w:frame="1"/>
        </w:rPr>
        <w:t>Figures displayed as negative (-) represent a decrease in funds and a positive (+) represent an increase in funds.</w:t>
      </w:r>
    </w:p>
    <w:p w:rsidR="00253274" w:rsidRDefault="00253274"/>
    <w:p w:rsidR="00D86095" w:rsidRDefault="00BA7A7F" w:rsidP="002C19B1">
      <w:pPr>
        <w:pStyle w:val="TableHeading"/>
        <w:keepLines/>
      </w:pPr>
      <w:bookmarkStart w:id="156" w:name="RG_MARKER_11831"/>
      <w:bookmarkStart w:id="157" w:name="RG_MARKER_12111"/>
      <w:r w:rsidRPr="002E3447">
        <w:t>Table 2</w:t>
      </w:r>
      <w:bookmarkEnd w:id="156"/>
      <w:bookmarkEnd w:id="157"/>
      <w:r>
        <w:t>.2</w:t>
      </w:r>
      <w:r w:rsidRPr="002E3447">
        <w:t>.</w:t>
      </w:r>
      <w:r>
        <w:t>2</w:t>
      </w:r>
      <w:r w:rsidRPr="002E3447">
        <w:t xml:space="preserve">: </w:t>
      </w:r>
      <w:r>
        <w:t>Program</w:t>
      </w:r>
      <w:r w:rsidRPr="002E3447">
        <w:t xml:space="preserve"> </w:t>
      </w:r>
      <w:r>
        <w:t xml:space="preserve">components of </w:t>
      </w:r>
      <w:r w:rsidRPr="002E3447">
        <w:t xml:space="preserve">Outcome </w:t>
      </w:r>
      <w:r>
        <w:t>2</w:t>
      </w:r>
    </w:p>
    <w:p w:rsidR="00CB5248" w:rsidRPr="008101F2" w:rsidRDefault="00BA7A7F" w:rsidP="00CB5248">
      <w:pPr>
        <w:rPr>
          <w:iCs/>
        </w:rPr>
      </w:pPr>
      <w:r>
        <w:rPr>
          <w:iCs/>
        </w:rPr>
        <w:t>Outcome 2 programs are not broken down by components; therefore Table 2.2.2 is not presented.</w:t>
      </w:r>
    </w:p>
    <w:p w:rsidR="00BC62E5" w:rsidRPr="00047A26" w:rsidRDefault="00BA7A7F" w:rsidP="00047A26">
      <w:pPr>
        <w:pageBreakBefore/>
        <w:spacing w:before="120" w:after="20" w:line="240" w:lineRule="auto"/>
        <w:rPr>
          <w:rFonts w:ascii="Arial" w:hAnsi="Arial" w:cs="Arial"/>
          <w:b/>
        </w:rPr>
      </w:pPr>
      <w:bookmarkStart w:id="158" w:name="RG_MARKER_11828"/>
      <w:bookmarkStart w:id="159" w:name="RG_MARKER_11836"/>
      <w:r w:rsidRPr="00047A26">
        <w:rPr>
          <w:rFonts w:ascii="Arial" w:hAnsi="Arial" w:cs="Arial"/>
          <w:b/>
        </w:rPr>
        <w:t>Table 2.2.3: Performance criteria for Outcome 2</w:t>
      </w:r>
      <w:bookmarkEnd w:id="158"/>
      <w:bookmarkEnd w:id="159"/>
    </w:p>
    <w:p w:rsidR="00181E46" w:rsidRDefault="00BA7A7F" w:rsidP="00977E11">
      <w:r>
        <w:t>Table 2.2.3 below details the performance criteria for each program associated with Outcome 2. It also summarises how each</w:t>
      </w:r>
      <w:r w:rsidR="00755FF3">
        <w:t xml:space="preserve"> program is delivered and where </w:t>
      </w:r>
      <w:r>
        <w:t>2022­23 Budget measures have created new programs or materially changed existing programs.</w:t>
      </w:r>
      <w:r w:rsidR="00517908">
        <w:t xml:space="preserve">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53274" w:rsidTr="00517908">
        <w:trPr>
          <w:trHeight w:val="569"/>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517908" w:rsidRDefault="00BA7A7F">
            <w:pPr>
              <w:pStyle w:val="TableColumnHeadingLeft"/>
            </w:pPr>
            <w:r>
              <w:rPr>
                <w:rFonts w:cs="Arial"/>
                <w:color w:val="000000"/>
                <w:lang w:val="en-US" w:eastAsia="x-none"/>
              </w:rPr>
              <w:t xml:space="preserve">Outcome 2 – </w:t>
            </w:r>
            <w:r w:rsidRPr="00E11F7B">
              <w:rPr>
                <w:rFonts w:cs="Arial"/>
                <w:color w:val="000000"/>
                <w:lang w:val="en-US" w:eastAsia="x-none"/>
              </w:rPr>
              <w:t>Reduce Australia’s greenhouse gas emissions, contribute to effective global action on climate change, and support technological innovation in clean and renewable energy, through developing and implementing a national response to climate change</w:t>
            </w:r>
          </w:p>
        </w:tc>
      </w:tr>
      <w:tr w:rsidR="00253274" w:rsidTr="00517908">
        <w:trPr>
          <w:trHeight w:val="522"/>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517908" w:rsidRDefault="00BA7A7F">
            <w:pPr>
              <w:pStyle w:val="TableTextLeft"/>
              <w:rPr>
                <w:rFonts w:eastAsia="Calibri"/>
              </w:rPr>
            </w:pPr>
            <w:r>
              <w:rPr>
                <w:rFonts w:eastAsia="Calibri"/>
                <w:b/>
              </w:rPr>
              <w:t>Program 2.1 – Reducing Australia’s greenhouse gas emissions</w:t>
            </w:r>
            <w:r>
              <w:rPr>
                <w:rFonts w:eastAsia="Calibri"/>
                <w:b/>
                <w:sz w:val="15"/>
                <w:szCs w:val="15"/>
              </w:rPr>
              <w:t xml:space="preserve"> </w:t>
            </w:r>
          </w:p>
          <w:p w:rsidR="00517908" w:rsidRDefault="00BA7A7F" w:rsidP="00517908">
            <w:pPr>
              <w:tabs>
                <w:tab w:val="left" w:pos="709"/>
              </w:tabs>
              <w:spacing w:before="60" w:after="60" w:line="240" w:lineRule="auto"/>
              <w:rPr>
                <w:rFonts w:ascii="Arial" w:hAnsi="Arial" w:cs="Arial"/>
                <w:sz w:val="16"/>
                <w:szCs w:val="16"/>
              </w:rPr>
            </w:pPr>
            <w:r>
              <w:rPr>
                <w:rFonts w:ascii="Arial" w:hAnsi="Arial" w:cs="Arial"/>
                <w:sz w:val="16"/>
                <w:szCs w:val="16"/>
              </w:rPr>
              <w:t xml:space="preserve">This program aims to shape the global response to climate change and achieve Australia’s greenhouse gas emissions reduction targets. </w:t>
            </w:r>
          </w:p>
          <w:p w:rsidR="00517908" w:rsidRPr="00517908" w:rsidRDefault="00BA7A7F" w:rsidP="00517908">
            <w:pPr>
              <w:tabs>
                <w:tab w:val="left" w:pos="709"/>
              </w:tabs>
              <w:spacing w:before="60" w:after="60" w:line="240" w:lineRule="auto"/>
              <w:rPr>
                <w:rFonts w:ascii="Arial" w:hAnsi="Arial" w:cs="Arial"/>
                <w:sz w:val="16"/>
                <w:szCs w:val="16"/>
              </w:rPr>
            </w:pPr>
            <w:r>
              <w:rPr>
                <w:rFonts w:ascii="Arial" w:hAnsi="Arial" w:cs="Arial"/>
                <w:sz w:val="16"/>
                <w:szCs w:val="16"/>
              </w:rPr>
              <w:t>The department</w:t>
            </w:r>
            <w:r w:rsidR="00406328">
              <w:rPr>
                <w:rFonts w:ascii="Arial" w:hAnsi="Arial" w:cs="Arial"/>
                <w:sz w:val="16"/>
                <w:szCs w:val="16"/>
              </w:rPr>
              <w:t xml:space="preserve"> will measure and report on its</w:t>
            </w:r>
            <w:r w:rsidR="002D7BA7" w:rsidRPr="00517908">
              <w:rPr>
                <w:rFonts w:ascii="Arial" w:hAnsi="Arial" w:cs="Arial"/>
                <w:sz w:val="16"/>
                <w:szCs w:val="16"/>
              </w:rPr>
              <w:t xml:space="preserve"> progress towards the following intended results of the activity:</w:t>
            </w:r>
          </w:p>
          <w:p w:rsidR="00517908" w:rsidRDefault="00BA7A7F" w:rsidP="00F21EF1">
            <w:pPr>
              <w:pStyle w:val="ListParagraph"/>
              <w:numPr>
                <w:ilvl w:val="0"/>
                <w:numId w:val="23"/>
              </w:numPr>
              <w:tabs>
                <w:tab w:val="left" w:pos="709"/>
              </w:tabs>
              <w:spacing w:before="60" w:after="60" w:line="240" w:lineRule="auto"/>
              <w:jc w:val="left"/>
              <w:rPr>
                <w:rFonts w:eastAsia="Times New Roman" w:cs="Arial"/>
                <w:sz w:val="16"/>
                <w:szCs w:val="16"/>
                <w:lang w:val="en-AU"/>
              </w:rPr>
            </w:pPr>
            <w:r w:rsidRPr="00F21EF1">
              <w:rPr>
                <w:rFonts w:ascii="Arial" w:eastAsia="Times New Roman" w:hAnsi="Arial" w:cs="Arial"/>
                <w:sz w:val="16"/>
                <w:szCs w:val="16"/>
                <w:lang w:val="en-AU"/>
              </w:rPr>
              <w:t>Implementing Australia’s Lon</w:t>
            </w:r>
            <w:r>
              <w:rPr>
                <w:rFonts w:ascii="Arial" w:eastAsia="Times New Roman" w:hAnsi="Arial" w:cs="Arial"/>
                <w:sz w:val="16"/>
                <w:szCs w:val="16"/>
                <w:lang w:val="en-AU"/>
              </w:rPr>
              <w:t>g Term Emissions Reduction Plan.</w:t>
            </w:r>
          </w:p>
          <w:p w:rsidR="003741F9" w:rsidRPr="005C69D1" w:rsidRDefault="00BA7A7F" w:rsidP="005C69D1">
            <w:pPr>
              <w:pStyle w:val="ListParagraph"/>
              <w:numPr>
                <w:ilvl w:val="0"/>
                <w:numId w:val="23"/>
              </w:numPr>
              <w:tabs>
                <w:tab w:val="left" w:pos="709"/>
              </w:tabs>
              <w:spacing w:before="60" w:after="60" w:line="240" w:lineRule="auto"/>
              <w:jc w:val="left"/>
              <w:rPr>
                <w:rFonts w:eastAsia="Times New Roman" w:cs="Arial"/>
                <w:sz w:val="16"/>
                <w:szCs w:val="16"/>
                <w:lang w:val="en-AU"/>
              </w:rPr>
            </w:pPr>
            <w:r w:rsidRPr="00517908">
              <w:rPr>
                <w:rFonts w:ascii="Arial" w:eastAsia="Times New Roman" w:hAnsi="Arial" w:cs="Arial"/>
                <w:sz w:val="16"/>
                <w:szCs w:val="16"/>
                <w:lang w:val="en-AU"/>
              </w:rPr>
              <w:t>Delivering cost</w:t>
            </w:r>
            <w:r w:rsidRPr="00517908">
              <w:rPr>
                <w:rFonts w:ascii="Arial" w:eastAsia="Times New Roman" w:hAnsi="Arial" w:cs="Arial"/>
                <w:sz w:val="16"/>
                <w:szCs w:val="16"/>
                <w:lang w:val="en-AU"/>
              </w:rPr>
              <w:noBreakHyphen/>
              <w:t>effective emissions reduction opportunities across the economy including in hard</w:t>
            </w:r>
            <w:r w:rsidRPr="00517908">
              <w:rPr>
                <w:rFonts w:ascii="Arial" w:eastAsia="Times New Roman" w:hAnsi="Arial" w:cs="Arial"/>
                <w:sz w:val="16"/>
                <w:szCs w:val="16"/>
                <w:lang w:val="en-AU"/>
              </w:rPr>
              <w:noBreakHyphen/>
              <w:t>to</w:t>
            </w:r>
            <w:r w:rsidRPr="00517908">
              <w:rPr>
                <w:rFonts w:ascii="Arial" w:eastAsia="Times New Roman" w:hAnsi="Arial" w:cs="Arial"/>
                <w:sz w:val="16"/>
                <w:szCs w:val="16"/>
                <w:lang w:val="en-AU"/>
              </w:rPr>
              <w:noBreakHyphen/>
              <w:t>abate sectors</w:t>
            </w:r>
            <w:r>
              <w:rPr>
                <w:rFonts w:ascii="Arial" w:eastAsia="Times New Roman" w:hAnsi="Arial" w:cs="Arial"/>
                <w:sz w:val="16"/>
                <w:szCs w:val="16"/>
                <w:lang w:val="en-AU"/>
              </w:rPr>
              <w:t>.</w:t>
            </w:r>
          </w:p>
        </w:tc>
      </w:tr>
      <w:tr w:rsidR="00253274" w:rsidTr="00517908">
        <w:trPr>
          <w:trHeight w:val="305"/>
        </w:trPr>
        <w:tc>
          <w:tcPr>
            <w:tcW w:w="1560" w:type="dxa"/>
            <w:tcBorders>
              <w:top w:val="single" w:sz="4" w:space="0" w:color="auto"/>
              <w:left w:val="single" w:sz="4" w:space="0" w:color="auto"/>
              <w:bottom w:val="double" w:sz="4" w:space="0" w:color="auto"/>
              <w:right w:val="single" w:sz="4" w:space="0" w:color="auto"/>
            </w:tcBorders>
            <w:hideMark/>
          </w:tcPr>
          <w:p w:rsidR="00517908" w:rsidRDefault="00BA7A7F" w:rsidP="00517908">
            <w:pPr>
              <w:tabs>
                <w:tab w:val="left" w:pos="709"/>
              </w:tabs>
              <w:spacing w:before="60" w:after="60" w:line="240" w:lineRule="auto"/>
              <w:rPr>
                <w:rFonts w:ascii="Arial" w:hAnsi="Arial" w:cs="Arial"/>
                <w:b/>
                <w:sz w:val="16"/>
                <w:szCs w:val="16"/>
              </w:rPr>
            </w:pPr>
            <w:r>
              <w:rPr>
                <w:rFonts w:ascii="Arial" w:hAnsi="Arial" w:cs="Arial"/>
                <w:b/>
                <w:sz w:val="16"/>
                <w:szCs w:val="16"/>
              </w:rPr>
              <w:t>Key Activities (a)</w:t>
            </w:r>
          </w:p>
        </w:tc>
        <w:tc>
          <w:tcPr>
            <w:tcW w:w="6236" w:type="dxa"/>
            <w:gridSpan w:val="2"/>
            <w:tcBorders>
              <w:top w:val="single" w:sz="4" w:space="0" w:color="auto"/>
              <w:left w:val="single" w:sz="4" w:space="0" w:color="auto"/>
              <w:bottom w:val="double" w:sz="4" w:space="0" w:color="auto"/>
              <w:right w:val="single" w:sz="4" w:space="0" w:color="auto"/>
            </w:tcBorders>
            <w:hideMark/>
          </w:tcPr>
          <w:tbl>
            <w:tblPr>
              <w:tblW w:w="0" w:type="auto"/>
              <w:tblLook w:val="04A0" w:firstRow="1" w:lastRow="0" w:firstColumn="1" w:lastColumn="0" w:noHBand="0" w:noVBand="1"/>
            </w:tblPr>
            <w:tblGrid>
              <w:gridCol w:w="4485"/>
            </w:tblGrid>
            <w:tr w:rsidR="00253274">
              <w:trPr>
                <w:trHeight w:val="328"/>
              </w:trPr>
              <w:tc>
                <w:tcPr>
                  <w:tcW w:w="0" w:type="auto"/>
                  <w:tcBorders>
                    <w:top w:val="nil"/>
                    <w:left w:val="nil"/>
                    <w:bottom w:val="nil"/>
                    <w:right w:val="nil"/>
                  </w:tcBorders>
                  <w:hideMark/>
                </w:tcPr>
                <w:p w:rsidR="00517908" w:rsidRDefault="00BA7A7F" w:rsidP="00517908">
                  <w:pPr>
                    <w:tabs>
                      <w:tab w:val="left" w:pos="709"/>
                    </w:tabs>
                    <w:spacing w:before="60" w:after="60" w:line="240" w:lineRule="auto"/>
                    <w:rPr>
                      <w:rFonts w:ascii="Arial" w:hAnsi="Arial" w:cs="Arial"/>
                      <w:sz w:val="16"/>
                      <w:szCs w:val="16"/>
                    </w:rPr>
                  </w:pPr>
                  <w:r>
                    <w:rPr>
                      <w:rFonts w:ascii="Arial" w:hAnsi="Arial" w:cs="Arial"/>
                      <w:sz w:val="16"/>
                      <w:szCs w:val="16"/>
                    </w:rPr>
                    <w:t>Activity 3.1: Reducing Australia’s greenhouse gas emissions</w:t>
                  </w:r>
                </w:p>
              </w:tc>
            </w:tr>
          </w:tbl>
          <w:p w:rsidR="00517908" w:rsidRDefault="00517908" w:rsidP="00517908">
            <w:pPr>
              <w:tabs>
                <w:tab w:val="left" w:pos="709"/>
              </w:tabs>
              <w:spacing w:before="60" w:after="60" w:line="240" w:lineRule="auto"/>
              <w:rPr>
                <w:rFonts w:ascii="Arial" w:hAnsi="Arial" w:cs="Arial"/>
                <w:sz w:val="16"/>
                <w:szCs w:val="16"/>
              </w:rPr>
            </w:pPr>
          </w:p>
        </w:tc>
      </w:tr>
      <w:tr w:rsidR="00253274" w:rsidTr="00517908">
        <w:trPr>
          <w:trHeight w:val="258"/>
        </w:trPr>
        <w:tc>
          <w:tcPr>
            <w:tcW w:w="1560" w:type="dxa"/>
            <w:tcBorders>
              <w:top w:val="double" w:sz="4" w:space="0" w:color="auto"/>
              <w:left w:val="single" w:sz="4" w:space="0" w:color="auto"/>
              <w:bottom w:val="single" w:sz="4" w:space="0" w:color="auto"/>
              <w:right w:val="single" w:sz="4" w:space="0" w:color="auto"/>
            </w:tcBorders>
          </w:tcPr>
          <w:p w:rsidR="00517908" w:rsidRDefault="00BA7A7F">
            <w:pPr>
              <w:pStyle w:val="TableTextBase"/>
              <w:rPr>
                <w:rFonts w:eastAsia="Calibri"/>
                <w:b/>
                <w:sz w:val="16"/>
                <w:szCs w:val="16"/>
              </w:rPr>
            </w:pPr>
            <w:r>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517908" w:rsidRDefault="00BA7A7F">
            <w:pPr>
              <w:pStyle w:val="TableTextBase"/>
              <w:rPr>
                <w:rFonts w:eastAsia="Calibri"/>
                <w:b/>
                <w:sz w:val="16"/>
                <w:szCs w:val="16"/>
              </w:rPr>
            </w:pPr>
            <w:r>
              <w:rPr>
                <w:rFonts w:eastAsia="Calibri"/>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517908" w:rsidRDefault="00BA7A7F">
            <w:pPr>
              <w:pStyle w:val="TableTextBase"/>
              <w:rPr>
                <w:rFonts w:eastAsia="Calibri"/>
                <w:b/>
                <w:sz w:val="16"/>
                <w:szCs w:val="16"/>
              </w:rPr>
            </w:pPr>
            <w:r>
              <w:rPr>
                <w:rFonts w:eastAsia="Calibri"/>
                <w:b/>
                <w:sz w:val="16"/>
                <w:szCs w:val="16"/>
              </w:rPr>
              <w:t>Expected Performance Results</w:t>
            </w:r>
          </w:p>
        </w:tc>
      </w:tr>
      <w:tr w:rsidR="00253274" w:rsidTr="00517908">
        <w:trPr>
          <w:trHeight w:val="642"/>
        </w:trPr>
        <w:tc>
          <w:tcPr>
            <w:tcW w:w="1560" w:type="dxa"/>
            <w:vMerge w:val="restart"/>
            <w:tcBorders>
              <w:top w:val="single" w:sz="4" w:space="0" w:color="auto"/>
              <w:left w:val="single" w:sz="4" w:space="0" w:color="auto"/>
              <w:bottom w:val="dotted" w:sz="4" w:space="0" w:color="auto"/>
              <w:right w:val="single" w:sz="4" w:space="0" w:color="auto"/>
            </w:tcBorders>
          </w:tcPr>
          <w:p w:rsidR="00517908" w:rsidRDefault="00BA7A7F">
            <w:pPr>
              <w:pStyle w:val="TableTextBase"/>
              <w:rPr>
                <w:rFonts w:eastAsia="Calibri"/>
                <w:sz w:val="16"/>
                <w:szCs w:val="16"/>
              </w:rPr>
            </w:pPr>
            <w:r>
              <w:rPr>
                <w:rFonts w:eastAsia="Calibri"/>
                <w:sz w:val="16"/>
                <w:szCs w:val="16"/>
              </w:rPr>
              <w:t xml:space="preserve">Current year </w:t>
            </w:r>
          </w:p>
          <w:p w:rsidR="00517908" w:rsidRDefault="00BA7A7F">
            <w:pPr>
              <w:pStyle w:val="TableTextBase"/>
              <w:rPr>
                <w:rFonts w:eastAsia="Calibri"/>
                <w:sz w:val="16"/>
                <w:szCs w:val="16"/>
              </w:rPr>
            </w:pPr>
            <w:r>
              <w:rPr>
                <w:rFonts w:eastAsia="Calibri"/>
                <w:sz w:val="16"/>
                <w:szCs w:val="16"/>
              </w:rPr>
              <w:t>2021–22</w:t>
            </w:r>
          </w:p>
          <w:p w:rsidR="00517908" w:rsidRDefault="00517908">
            <w:pPr>
              <w:pStyle w:val="TableTextBase"/>
              <w:rPr>
                <w:rFonts w:eastAsia="Calibri"/>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517908" w:rsidRDefault="00BA7A7F">
            <w:pPr>
              <w:pStyle w:val="TableTextBase"/>
              <w:rPr>
                <w:rFonts w:eastAsia="Calibri"/>
                <w:sz w:val="16"/>
                <w:szCs w:val="16"/>
              </w:rPr>
            </w:pPr>
            <w:r>
              <w:rPr>
                <w:rFonts w:eastAsia="Calibri"/>
                <w:sz w:val="16"/>
                <w:szCs w:val="16"/>
              </w:rPr>
              <w:t>Number of businesses participating in carbon neutral certification</w:t>
            </w:r>
          </w:p>
        </w:tc>
        <w:tc>
          <w:tcPr>
            <w:tcW w:w="3118" w:type="dxa"/>
            <w:tcBorders>
              <w:top w:val="single" w:sz="4" w:space="0" w:color="auto"/>
              <w:left w:val="single" w:sz="4" w:space="0" w:color="auto"/>
              <w:bottom w:val="dotted" w:sz="4" w:space="0" w:color="auto"/>
              <w:right w:val="single" w:sz="4" w:space="0" w:color="auto"/>
            </w:tcBorders>
          </w:tcPr>
          <w:p w:rsidR="00517908" w:rsidRDefault="00BA7A7F">
            <w:pPr>
              <w:pStyle w:val="TableTextBase"/>
              <w:rPr>
                <w:rFonts w:eastAsia="Calibri"/>
                <w:i/>
                <w:color w:val="0070C0"/>
                <w:sz w:val="16"/>
                <w:szCs w:val="16"/>
              </w:rPr>
            </w:pPr>
            <w:r>
              <w:rPr>
                <w:rFonts w:eastAsia="Calibri"/>
                <w:sz w:val="16"/>
                <w:szCs w:val="16"/>
              </w:rPr>
              <w:t>Year on year increase</w:t>
            </w:r>
          </w:p>
          <w:p w:rsidR="00517908" w:rsidRDefault="00517908">
            <w:pPr>
              <w:pStyle w:val="TableTextBase"/>
              <w:rPr>
                <w:rFonts w:eastAsia="Calibri"/>
                <w:i/>
                <w:color w:val="0070C0"/>
                <w:sz w:val="16"/>
                <w:szCs w:val="16"/>
              </w:rPr>
            </w:pPr>
          </w:p>
          <w:p w:rsidR="00517908" w:rsidRDefault="00BA7A7F">
            <w:pPr>
              <w:pStyle w:val="TableTextBase"/>
              <w:rPr>
                <w:rFonts w:eastAsia="Calibri" w:cs="Times New Roman"/>
                <w:i/>
                <w:color w:val="0070C0"/>
                <w:sz w:val="16"/>
                <w:szCs w:val="16"/>
              </w:rPr>
            </w:pPr>
            <w:r>
              <w:rPr>
                <w:rFonts w:eastAsia="Calibri"/>
                <w:sz w:val="16"/>
                <w:szCs w:val="16"/>
              </w:rPr>
              <w:t>Result:</w:t>
            </w:r>
            <w:r>
              <w:rPr>
                <w:rFonts w:eastAsia="Calibri"/>
                <w:i/>
                <w:color w:val="31849B"/>
                <w:sz w:val="16"/>
                <w:szCs w:val="16"/>
              </w:rPr>
              <w:t xml:space="preserve"> </w:t>
            </w:r>
            <w:r>
              <w:rPr>
                <w:rFonts w:eastAsia="Calibri"/>
                <w:sz w:val="16"/>
                <w:szCs w:val="16"/>
              </w:rPr>
              <w:t>On track</w:t>
            </w:r>
          </w:p>
        </w:tc>
      </w:tr>
      <w:tr w:rsidR="00253274" w:rsidTr="00517908">
        <w:trPr>
          <w:trHeight w:val="642"/>
        </w:trPr>
        <w:tc>
          <w:tcPr>
            <w:tcW w:w="1560" w:type="dxa"/>
            <w:vMerge/>
            <w:tcBorders>
              <w:top w:val="single" w:sz="4" w:space="0" w:color="auto"/>
              <w:left w:val="single" w:sz="4" w:space="0" w:color="auto"/>
              <w:bottom w:val="dotted" w:sz="4" w:space="0" w:color="auto"/>
              <w:right w:val="single" w:sz="4" w:space="0" w:color="auto"/>
            </w:tcBorders>
          </w:tcPr>
          <w:p w:rsidR="00D250BB" w:rsidRDefault="00D250BB">
            <w:pPr>
              <w:pStyle w:val="TableTextBase"/>
              <w:rPr>
                <w:rFonts w:eastAsia="Calibri"/>
                <w:sz w:val="16"/>
                <w:szCs w:val="16"/>
              </w:rPr>
            </w:pPr>
          </w:p>
        </w:tc>
        <w:tc>
          <w:tcPr>
            <w:tcW w:w="3118" w:type="dxa"/>
            <w:tcBorders>
              <w:top w:val="single" w:sz="4" w:space="0" w:color="auto"/>
              <w:left w:val="single" w:sz="4" w:space="0" w:color="auto"/>
              <w:bottom w:val="dotted" w:sz="4" w:space="0" w:color="auto"/>
              <w:right w:val="single" w:sz="4" w:space="0" w:color="auto"/>
            </w:tcBorders>
          </w:tcPr>
          <w:p w:rsidR="00D250BB" w:rsidRDefault="00BA7A7F">
            <w:pPr>
              <w:pStyle w:val="TableTextBase"/>
              <w:rPr>
                <w:rFonts w:eastAsia="Calibri"/>
                <w:sz w:val="16"/>
                <w:szCs w:val="16"/>
              </w:rPr>
            </w:pPr>
            <w:r w:rsidRPr="00D250BB">
              <w:rPr>
                <w:rFonts w:eastAsia="Calibri"/>
                <w:sz w:val="16"/>
                <w:szCs w:val="16"/>
              </w:rPr>
              <w:t>Australia’s emissions and projected emissions are on track to meet international commitments</w:t>
            </w:r>
          </w:p>
        </w:tc>
        <w:tc>
          <w:tcPr>
            <w:tcW w:w="3118" w:type="dxa"/>
            <w:tcBorders>
              <w:top w:val="single" w:sz="4" w:space="0" w:color="auto"/>
              <w:left w:val="single" w:sz="4" w:space="0" w:color="auto"/>
              <w:bottom w:val="dotted" w:sz="4" w:space="0" w:color="auto"/>
              <w:right w:val="single" w:sz="4" w:space="0" w:color="auto"/>
            </w:tcBorders>
          </w:tcPr>
          <w:p w:rsidR="00D250BB" w:rsidRPr="00D250BB" w:rsidRDefault="00BA7A7F" w:rsidP="00D250BB">
            <w:pPr>
              <w:pStyle w:val="TableTextBase"/>
              <w:rPr>
                <w:rFonts w:eastAsia="Calibri"/>
                <w:sz w:val="16"/>
                <w:szCs w:val="16"/>
              </w:rPr>
            </w:pPr>
            <w:r w:rsidRPr="00D250BB">
              <w:rPr>
                <w:rFonts w:eastAsia="Calibri"/>
                <w:sz w:val="16"/>
                <w:szCs w:val="16"/>
              </w:rPr>
              <w:t>Australia meets its international emission reduction commitment targets</w:t>
            </w:r>
          </w:p>
          <w:p w:rsidR="00D250BB" w:rsidRPr="00D250BB" w:rsidRDefault="00D250BB" w:rsidP="00D250BB">
            <w:pPr>
              <w:pStyle w:val="TableTextBase"/>
              <w:rPr>
                <w:rFonts w:eastAsia="Calibri"/>
                <w:sz w:val="16"/>
                <w:szCs w:val="16"/>
              </w:rPr>
            </w:pPr>
          </w:p>
          <w:p w:rsidR="00D250BB" w:rsidRDefault="00BA7A7F" w:rsidP="00D250BB">
            <w:pPr>
              <w:pStyle w:val="TableTextBase"/>
              <w:rPr>
                <w:rFonts w:eastAsia="Calibri"/>
                <w:sz w:val="16"/>
                <w:szCs w:val="16"/>
              </w:rPr>
            </w:pPr>
            <w:r w:rsidRPr="00D250BB">
              <w:rPr>
                <w:rFonts w:eastAsia="Calibri"/>
                <w:sz w:val="16"/>
                <w:szCs w:val="16"/>
              </w:rPr>
              <w:t>Result: On track</w:t>
            </w:r>
          </w:p>
        </w:tc>
      </w:tr>
      <w:tr w:rsidR="00253274" w:rsidTr="00517908">
        <w:trPr>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rsidR="00517908" w:rsidRDefault="00517908">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517908" w:rsidRDefault="00BA7A7F">
            <w:pPr>
              <w:pStyle w:val="TableTextBase"/>
              <w:rPr>
                <w:rFonts w:eastAsia="Calibri"/>
                <w:sz w:val="16"/>
                <w:szCs w:val="16"/>
              </w:rPr>
            </w:pPr>
            <w:r>
              <w:rPr>
                <w:rFonts w:eastAsia="Calibri"/>
                <w:sz w:val="16"/>
                <w:szCs w:val="16"/>
              </w:rPr>
              <w:t>Legislated Large-scale Renewable Energy Target of 33,000 GWh of eligible renewable electricity generation is met.</w:t>
            </w:r>
          </w:p>
        </w:tc>
        <w:tc>
          <w:tcPr>
            <w:tcW w:w="3118" w:type="dxa"/>
            <w:tcBorders>
              <w:top w:val="single" w:sz="4" w:space="0" w:color="auto"/>
              <w:left w:val="single" w:sz="4" w:space="0" w:color="auto"/>
              <w:bottom w:val="dotted" w:sz="4" w:space="0" w:color="auto"/>
              <w:right w:val="single" w:sz="4" w:space="0" w:color="auto"/>
            </w:tcBorders>
          </w:tcPr>
          <w:p w:rsidR="00517908" w:rsidRDefault="00BA7A7F">
            <w:pPr>
              <w:pStyle w:val="TableTextBase"/>
              <w:rPr>
                <w:rFonts w:eastAsia="Calibri"/>
                <w:sz w:val="16"/>
                <w:szCs w:val="16"/>
              </w:rPr>
            </w:pPr>
            <w:r>
              <w:rPr>
                <w:rFonts w:eastAsia="Calibri"/>
                <w:sz w:val="16"/>
                <w:szCs w:val="16"/>
              </w:rPr>
              <w:t>33,000 GWh per year</w:t>
            </w:r>
          </w:p>
          <w:p w:rsidR="00517908" w:rsidRDefault="00517908">
            <w:pPr>
              <w:pStyle w:val="TableTextBase"/>
              <w:rPr>
                <w:rFonts w:eastAsia="Calibri"/>
                <w:sz w:val="16"/>
                <w:szCs w:val="16"/>
              </w:rPr>
            </w:pPr>
          </w:p>
          <w:p w:rsidR="00517908" w:rsidRDefault="00BA7A7F">
            <w:pPr>
              <w:pStyle w:val="TableTextBase"/>
              <w:rPr>
                <w:rFonts w:eastAsia="Calibri" w:cs="Times New Roman"/>
                <w:sz w:val="16"/>
                <w:szCs w:val="16"/>
              </w:rPr>
            </w:pPr>
            <w:r>
              <w:rPr>
                <w:rFonts w:eastAsia="Calibri"/>
                <w:sz w:val="16"/>
                <w:szCs w:val="16"/>
              </w:rPr>
              <w:t>Result:</w:t>
            </w:r>
            <w:r>
              <w:rPr>
                <w:rFonts w:eastAsia="Calibri"/>
                <w:i/>
                <w:color w:val="31849B"/>
                <w:sz w:val="16"/>
                <w:szCs w:val="16"/>
              </w:rPr>
              <w:t xml:space="preserve"> </w:t>
            </w:r>
            <w:r>
              <w:rPr>
                <w:rFonts w:eastAsia="Calibri"/>
                <w:sz w:val="16"/>
                <w:szCs w:val="16"/>
              </w:rPr>
              <w:t>On track</w:t>
            </w:r>
          </w:p>
        </w:tc>
      </w:tr>
      <w:tr w:rsidR="00253274" w:rsidTr="00517908">
        <w:trPr>
          <w:trHeight w:val="100"/>
        </w:trPr>
        <w:tc>
          <w:tcPr>
            <w:tcW w:w="1560" w:type="dxa"/>
            <w:tcBorders>
              <w:top w:val="single" w:sz="4" w:space="0" w:color="auto"/>
              <w:left w:val="single" w:sz="4" w:space="0" w:color="auto"/>
              <w:bottom w:val="dotted" w:sz="4" w:space="0" w:color="auto"/>
              <w:right w:val="single" w:sz="4" w:space="0" w:color="auto"/>
            </w:tcBorders>
          </w:tcPr>
          <w:p w:rsidR="00517908" w:rsidRDefault="00BA7A7F">
            <w:pPr>
              <w:pStyle w:val="TableTextBase"/>
              <w:rPr>
                <w:rFonts w:eastAsia="Calibri"/>
                <w:b/>
                <w:sz w:val="16"/>
                <w:szCs w:val="16"/>
              </w:rPr>
            </w:pPr>
            <w:r>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517908" w:rsidRDefault="00BA7A7F">
            <w:pPr>
              <w:pStyle w:val="TableTextBase"/>
              <w:rPr>
                <w:rFonts w:eastAsia="Calibri"/>
                <w:b/>
                <w:sz w:val="16"/>
                <w:szCs w:val="16"/>
              </w:rPr>
            </w:pPr>
            <w:r>
              <w:rPr>
                <w:rFonts w:eastAsia="Calibri"/>
                <w:b/>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rsidR="00517908" w:rsidRDefault="00BA7A7F">
            <w:pPr>
              <w:pStyle w:val="TableTextBase"/>
              <w:rPr>
                <w:rFonts w:eastAsia="Calibri"/>
                <w:b/>
                <w:sz w:val="16"/>
                <w:szCs w:val="16"/>
              </w:rPr>
            </w:pPr>
            <w:r>
              <w:rPr>
                <w:rFonts w:eastAsia="Calibri"/>
                <w:b/>
                <w:sz w:val="16"/>
                <w:szCs w:val="16"/>
              </w:rPr>
              <w:t>Planned Performance Results</w:t>
            </w:r>
          </w:p>
        </w:tc>
      </w:tr>
      <w:tr w:rsidR="00253274" w:rsidTr="00517908">
        <w:trPr>
          <w:trHeight w:val="100"/>
        </w:trPr>
        <w:tc>
          <w:tcPr>
            <w:tcW w:w="1560" w:type="dxa"/>
            <w:vMerge w:val="restart"/>
            <w:tcBorders>
              <w:top w:val="single" w:sz="4" w:space="0" w:color="auto"/>
              <w:left w:val="single" w:sz="4" w:space="0" w:color="auto"/>
              <w:bottom w:val="dotted" w:sz="4" w:space="0" w:color="auto"/>
              <w:right w:val="single" w:sz="4" w:space="0" w:color="auto"/>
            </w:tcBorders>
            <w:hideMark/>
          </w:tcPr>
          <w:p w:rsidR="00517908" w:rsidRDefault="00BA7A7F">
            <w:pPr>
              <w:pStyle w:val="TableTextBase"/>
              <w:rPr>
                <w:rFonts w:eastAsia="Calibri"/>
                <w:sz w:val="16"/>
                <w:szCs w:val="16"/>
              </w:rPr>
            </w:pPr>
            <w:r>
              <w:rPr>
                <w:rFonts w:eastAsia="Calibri"/>
                <w:sz w:val="16"/>
                <w:szCs w:val="16"/>
              </w:rPr>
              <w:t>Budget Year 2022–23</w:t>
            </w:r>
          </w:p>
        </w:tc>
        <w:tc>
          <w:tcPr>
            <w:tcW w:w="3118" w:type="dxa"/>
            <w:tcBorders>
              <w:top w:val="single" w:sz="4" w:space="0" w:color="auto"/>
              <w:left w:val="single" w:sz="4" w:space="0" w:color="auto"/>
              <w:bottom w:val="dotted" w:sz="4" w:space="0" w:color="auto"/>
              <w:right w:val="single" w:sz="4" w:space="0" w:color="auto"/>
            </w:tcBorders>
            <w:hideMark/>
          </w:tcPr>
          <w:p w:rsidR="00517908" w:rsidRDefault="00BA7A7F">
            <w:pPr>
              <w:pStyle w:val="TableTextBase"/>
              <w:rPr>
                <w:rFonts w:eastAsia="Calibri"/>
                <w:sz w:val="16"/>
                <w:szCs w:val="16"/>
              </w:rPr>
            </w:pPr>
            <w:r>
              <w:rPr>
                <w:rFonts w:eastAsia="Calibri"/>
                <w:sz w:val="16"/>
                <w:szCs w:val="16"/>
              </w:rPr>
              <w:t>Number of certifications held by businesses participating in Climate Active</w:t>
            </w:r>
          </w:p>
        </w:tc>
        <w:tc>
          <w:tcPr>
            <w:tcW w:w="3118" w:type="dxa"/>
            <w:tcBorders>
              <w:top w:val="single" w:sz="4" w:space="0" w:color="auto"/>
              <w:left w:val="single" w:sz="4" w:space="0" w:color="auto"/>
              <w:bottom w:val="dotted" w:sz="4" w:space="0" w:color="auto"/>
              <w:right w:val="single" w:sz="4" w:space="0" w:color="auto"/>
            </w:tcBorders>
            <w:hideMark/>
          </w:tcPr>
          <w:p w:rsidR="00517908" w:rsidRDefault="00BA7A7F">
            <w:pPr>
              <w:pStyle w:val="TableTextBase"/>
              <w:rPr>
                <w:rFonts w:eastAsia="Calibri"/>
                <w:sz w:val="16"/>
                <w:szCs w:val="16"/>
              </w:rPr>
            </w:pPr>
            <w:r>
              <w:rPr>
                <w:rFonts w:eastAsia="Calibri"/>
                <w:sz w:val="16"/>
                <w:szCs w:val="16"/>
              </w:rPr>
              <w:t>Year-on-year increase</w:t>
            </w:r>
          </w:p>
        </w:tc>
      </w:tr>
      <w:tr w:rsidR="00253274" w:rsidTr="00517908">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517908" w:rsidRDefault="00517908">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517908" w:rsidRDefault="00BA7A7F">
            <w:pPr>
              <w:pStyle w:val="TableTextBase"/>
              <w:rPr>
                <w:rFonts w:eastAsia="Calibri"/>
                <w:sz w:val="16"/>
                <w:szCs w:val="16"/>
              </w:rPr>
            </w:pPr>
            <w:r>
              <w:rPr>
                <w:rFonts w:eastAsia="Calibri"/>
                <w:sz w:val="16"/>
                <w:szCs w:val="16"/>
              </w:rPr>
              <w:t>Proportion of GEMS registration applications processed by the GEMS regulator within 14 days from the time of application</w:t>
            </w:r>
          </w:p>
        </w:tc>
        <w:tc>
          <w:tcPr>
            <w:tcW w:w="3118" w:type="dxa"/>
            <w:tcBorders>
              <w:top w:val="single" w:sz="4" w:space="0" w:color="auto"/>
              <w:left w:val="single" w:sz="4" w:space="0" w:color="auto"/>
              <w:bottom w:val="dotted" w:sz="4" w:space="0" w:color="auto"/>
              <w:right w:val="single" w:sz="4" w:space="0" w:color="auto"/>
            </w:tcBorders>
            <w:hideMark/>
          </w:tcPr>
          <w:p w:rsidR="00517908" w:rsidRDefault="00BA7A7F">
            <w:pPr>
              <w:pStyle w:val="TableTextBase"/>
              <w:rPr>
                <w:rFonts w:eastAsia="Calibri"/>
                <w:sz w:val="16"/>
                <w:szCs w:val="16"/>
              </w:rPr>
            </w:pPr>
            <w:r>
              <w:rPr>
                <w:rFonts w:eastAsia="Calibri"/>
                <w:sz w:val="16"/>
                <w:szCs w:val="16"/>
              </w:rPr>
              <w:t>99% in each year</w:t>
            </w:r>
          </w:p>
        </w:tc>
      </w:tr>
      <w:tr w:rsidR="00253274" w:rsidTr="00517908">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7908" w:rsidRDefault="00517908">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517908" w:rsidRDefault="00BA7A7F">
            <w:pPr>
              <w:pStyle w:val="TableTextBase"/>
              <w:rPr>
                <w:rFonts w:eastAsia="Calibri"/>
                <w:sz w:val="16"/>
                <w:szCs w:val="16"/>
              </w:rPr>
            </w:pPr>
            <w:r>
              <w:rPr>
                <w:rFonts w:eastAsia="Calibri"/>
                <w:sz w:val="16"/>
                <w:szCs w:val="16"/>
              </w:rPr>
              <w:t>Australia’s emissions and projected emissions are on track to meet international commitments</w:t>
            </w:r>
          </w:p>
        </w:tc>
        <w:tc>
          <w:tcPr>
            <w:tcW w:w="3118" w:type="dxa"/>
            <w:tcBorders>
              <w:top w:val="single" w:sz="4" w:space="0" w:color="auto"/>
              <w:left w:val="single" w:sz="4" w:space="0" w:color="auto"/>
              <w:bottom w:val="single" w:sz="4" w:space="0" w:color="auto"/>
              <w:right w:val="single" w:sz="4" w:space="0" w:color="auto"/>
            </w:tcBorders>
            <w:hideMark/>
          </w:tcPr>
          <w:p w:rsidR="00517908" w:rsidRDefault="00BA7A7F">
            <w:pPr>
              <w:pStyle w:val="TableTextBase"/>
              <w:tabs>
                <w:tab w:val="center" w:pos="1451"/>
              </w:tabs>
              <w:rPr>
                <w:rFonts w:eastAsia="Calibri"/>
                <w:sz w:val="16"/>
                <w:szCs w:val="16"/>
              </w:rPr>
            </w:pPr>
            <w:r>
              <w:rPr>
                <w:rFonts w:eastAsia="Calibri"/>
                <w:sz w:val="16"/>
                <w:szCs w:val="16"/>
              </w:rPr>
              <w:t>Australia meets its international emission reduction commitment targets</w:t>
            </w:r>
          </w:p>
        </w:tc>
      </w:tr>
      <w:tr w:rsidR="00253274" w:rsidTr="00517908">
        <w:trPr>
          <w:trHeight w:val="491"/>
        </w:trPr>
        <w:tc>
          <w:tcPr>
            <w:tcW w:w="1560" w:type="dxa"/>
            <w:tcBorders>
              <w:top w:val="single" w:sz="4" w:space="0" w:color="auto"/>
              <w:left w:val="single" w:sz="4" w:space="0" w:color="auto"/>
              <w:bottom w:val="dotted" w:sz="4" w:space="0" w:color="auto"/>
              <w:right w:val="single" w:sz="4" w:space="0" w:color="auto"/>
            </w:tcBorders>
            <w:hideMark/>
          </w:tcPr>
          <w:p w:rsidR="00517908" w:rsidRDefault="00BA7A7F">
            <w:pPr>
              <w:pStyle w:val="TableTextBase"/>
              <w:rPr>
                <w:rFonts w:eastAsia="Calibri"/>
                <w:sz w:val="16"/>
                <w:szCs w:val="16"/>
              </w:rPr>
            </w:pPr>
            <w:r>
              <w:rPr>
                <w:rFonts w:eastAsia="Calibri"/>
                <w:sz w:val="16"/>
                <w:szCs w:val="16"/>
              </w:rPr>
              <w:t xml:space="preserve">Forward Estimates </w:t>
            </w:r>
          </w:p>
          <w:p w:rsidR="00517908" w:rsidRDefault="00BA7A7F">
            <w:pPr>
              <w:pStyle w:val="TableTextBase"/>
              <w:rPr>
                <w:rFonts w:eastAsia="Calibri"/>
                <w:b/>
                <w:sz w:val="16"/>
                <w:szCs w:val="16"/>
              </w:rPr>
            </w:pPr>
            <w:r>
              <w:rPr>
                <w:rFonts w:eastAsia="Calibri"/>
                <w:sz w:val="16"/>
                <w:szCs w:val="16"/>
              </w:rPr>
              <w:t>2023–26</w:t>
            </w:r>
          </w:p>
        </w:tc>
        <w:tc>
          <w:tcPr>
            <w:tcW w:w="3118" w:type="dxa"/>
            <w:tcBorders>
              <w:top w:val="single" w:sz="4" w:space="0" w:color="auto"/>
              <w:left w:val="single" w:sz="4" w:space="0" w:color="auto"/>
              <w:bottom w:val="dotted" w:sz="4" w:space="0" w:color="auto"/>
              <w:right w:val="single" w:sz="4" w:space="0" w:color="auto"/>
            </w:tcBorders>
            <w:hideMark/>
          </w:tcPr>
          <w:p w:rsidR="00517908" w:rsidRDefault="00BA7A7F">
            <w:pPr>
              <w:pStyle w:val="TableTextBase"/>
              <w:rPr>
                <w:rFonts w:eastAsia="Calibri"/>
                <w:b/>
                <w:color w:val="0070C0"/>
                <w:sz w:val="16"/>
                <w:szCs w:val="16"/>
              </w:rPr>
            </w:pPr>
            <w:r>
              <w:rPr>
                <w:rFonts w:eastAsia="Calibri"/>
                <w:sz w:val="16"/>
                <w:szCs w:val="16"/>
              </w:rPr>
              <w:t>As per 2022–23</w:t>
            </w:r>
          </w:p>
        </w:tc>
        <w:tc>
          <w:tcPr>
            <w:tcW w:w="3118" w:type="dxa"/>
            <w:tcBorders>
              <w:top w:val="single" w:sz="4" w:space="0" w:color="auto"/>
              <w:left w:val="single" w:sz="4" w:space="0" w:color="auto"/>
              <w:bottom w:val="dotted" w:sz="4" w:space="0" w:color="auto"/>
              <w:right w:val="single" w:sz="4" w:space="0" w:color="auto"/>
            </w:tcBorders>
            <w:hideMark/>
          </w:tcPr>
          <w:p w:rsidR="00517908" w:rsidRDefault="00BA7A7F">
            <w:pPr>
              <w:pStyle w:val="TableTextBase"/>
              <w:rPr>
                <w:rFonts w:eastAsia="Calibri"/>
                <w:b/>
                <w:color w:val="0070C0"/>
                <w:sz w:val="16"/>
                <w:szCs w:val="16"/>
              </w:rPr>
            </w:pPr>
            <w:r>
              <w:rPr>
                <w:rFonts w:eastAsia="Calibri"/>
                <w:sz w:val="16"/>
                <w:szCs w:val="16"/>
              </w:rPr>
              <w:t>As per 2022–23</w:t>
            </w:r>
          </w:p>
        </w:tc>
      </w:tr>
      <w:tr w:rsidR="00253274" w:rsidTr="00517908">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517908" w:rsidRPr="00CC4A30" w:rsidRDefault="00BA7A7F">
            <w:pPr>
              <w:pStyle w:val="TableTextBase"/>
              <w:rPr>
                <w:rFonts w:eastAsia="Cambria"/>
                <w:bCs/>
                <w:iCs/>
                <w:color w:val="0070C0"/>
                <w:spacing w:val="-6"/>
                <w:sz w:val="16"/>
                <w:szCs w:val="16"/>
                <w:lang w:val="x-none"/>
              </w:rPr>
            </w:pPr>
            <w:r w:rsidRPr="00CC4A30">
              <w:rPr>
                <w:rFonts w:eastAsia="Calibri"/>
                <w:sz w:val="16"/>
                <w:szCs w:val="16"/>
              </w:rPr>
              <w:t>Material changes to Program 2.1 resulting from 2022–23 Budget Measures:</w:t>
            </w:r>
            <w:r w:rsidRPr="00CC4A30">
              <w:rPr>
                <w:rStyle w:val="BodyTextChar"/>
                <w:rFonts w:ascii="Arial" w:eastAsia="Calibri" w:hAnsi="Arial" w:cs="Arial"/>
                <w:bCs/>
                <w:iCs/>
                <w:color w:val="365F91"/>
                <w:spacing w:val="-6"/>
                <w:sz w:val="16"/>
                <w:szCs w:val="16"/>
              </w:rPr>
              <w:t xml:space="preserve"> </w:t>
            </w:r>
            <w:r w:rsidRPr="00CC4A30">
              <w:rPr>
                <w:rStyle w:val="BodyTextChar"/>
                <w:rFonts w:ascii="Arial" w:eastAsia="Calibri" w:hAnsi="Arial" w:cs="Arial"/>
                <w:bCs/>
                <w:iCs/>
                <w:spacing w:val="-6"/>
                <w:sz w:val="16"/>
                <w:szCs w:val="16"/>
              </w:rPr>
              <w:t>Nil</w:t>
            </w:r>
          </w:p>
        </w:tc>
      </w:tr>
      <w:tr w:rsidR="00253274" w:rsidTr="00517908">
        <w:trPr>
          <w:trHeight w:val="291"/>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517908" w:rsidRDefault="00BA7A7F">
            <w:pPr>
              <w:pStyle w:val="TableTextBase"/>
              <w:rPr>
                <w:rFonts w:eastAsia="Times New Roman"/>
                <w:sz w:val="16"/>
                <w:szCs w:val="16"/>
                <w:lang w:val="en-AU"/>
              </w:rPr>
            </w:pPr>
            <w:r>
              <w:rPr>
                <w:rFonts w:eastAsia="Calibri"/>
                <w:b/>
              </w:rPr>
              <w:t>Program 2.2 – Developing clean energy technology</w:t>
            </w:r>
            <w:r>
              <w:rPr>
                <w:rFonts w:eastAsia="Calibri"/>
                <w:b/>
                <w:sz w:val="15"/>
                <w:szCs w:val="15"/>
              </w:rPr>
              <w:t xml:space="preserve"> </w:t>
            </w:r>
          </w:p>
          <w:p w:rsidR="00517908" w:rsidRDefault="00BA7A7F" w:rsidP="00517908">
            <w:pPr>
              <w:tabs>
                <w:tab w:val="left" w:pos="709"/>
              </w:tabs>
              <w:spacing w:before="60" w:after="60" w:line="240" w:lineRule="auto"/>
              <w:rPr>
                <w:rFonts w:ascii="Arial" w:hAnsi="Arial" w:cs="Arial"/>
                <w:bCs/>
                <w:sz w:val="16"/>
                <w:szCs w:val="16"/>
              </w:rPr>
            </w:pPr>
            <w:r>
              <w:rPr>
                <w:rFonts w:ascii="Arial" w:hAnsi="Arial" w:cs="Arial"/>
                <w:bCs/>
                <w:sz w:val="16"/>
                <w:szCs w:val="16"/>
              </w:rPr>
              <w:t xml:space="preserve">This program aims to support technological innovation in clean and renewable energy to reduce Australia’s greenhouse gas emissions. </w:t>
            </w:r>
          </w:p>
          <w:p w:rsidR="00517908" w:rsidRDefault="00BA7A7F" w:rsidP="00517908">
            <w:pPr>
              <w:tabs>
                <w:tab w:val="left" w:pos="709"/>
              </w:tabs>
              <w:spacing w:before="60" w:after="60" w:line="240" w:lineRule="auto"/>
              <w:rPr>
                <w:rFonts w:ascii="Arial" w:hAnsi="Arial" w:cs="Arial"/>
                <w:bCs/>
                <w:sz w:val="16"/>
                <w:szCs w:val="16"/>
              </w:rPr>
            </w:pPr>
            <w:r>
              <w:rPr>
                <w:rFonts w:ascii="Arial" w:hAnsi="Arial" w:cs="Arial"/>
                <w:bCs/>
                <w:sz w:val="16"/>
                <w:szCs w:val="16"/>
              </w:rPr>
              <w:t>The department</w:t>
            </w:r>
            <w:r w:rsidR="002D7BA7">
              <w:rPr>
                <w:rFonts w:ascii="Arial" w:hAnsi="Arial" w:cs="Arial"/>
                <w:bCs/>
                <w:sz w:val="16"/>
                <w:szCs w:val="16"/>
              </w:rPr>
              <w:t xml:space="preserve"> will measure and report on </w:t>
            </w:r>
            <w:r w:rsidR="00406328">
              <w:rPr>
                <w:rFonts w:ascii="Arial" w:hAnsi="Arial" w:cs="Arial"/>
                <w:bCs/>
                <w:sz w:val="16"/>
                <w:szCs w:val="16"/>
              </w:rPr>
              <w:t>its</w:t>
            </w:r>
            <w:r w:rsidR="002D7BA7">
              <w:rPr>
                <w:rFonts w:ascii="Arial" w:hAnsi="Arial" w:cs="Arial"/>
                <w:bCs/>
                <w:sz w:val="16"/>
                <w:szCs w:val="16"/>
              </w:rPr>
              <w:t xml:space="preserve"> progress towards the following intended results of the activity:</w:t>
            </w:r>
          </w:p>
          <w:p w:rsidR="003741F9" w:rsidRPr="005C69D1" w:rsidRDefault="00BA7A7F" w:rsidP="005C69D1">
            <w:pPr>
              <w:pStyle w:val="ListParagraph"/>
              <w:numPr>
                <w:ilvl w:val="0"/>
                <w:numId w:val="23"/>
              </w:numPr>
              <w:tabs>
                <w:tab w:val="left" w:pos="709"/>
              </w:tabs>
              <w:spacing w:before="60" w:after="60" w:line="240" w:lineRule="auto"/>
              <w:jc w:val="left"/>
              <w:rPr>
                <w:rFonts w:ascii="Calibri" w:eastAsia="Times New Roman" w:hAnsi="Calibri" w:cs="Times New Roman"/>
                <w:sz w:val="16"/>
                <w:szCs w:val="16"/>
                <w:lang w:val="en-AU"/>
              </w:rPr>
            </w:pPr>
            <w:r>
              <w:rPr>
                <w:rFonts w:ascii="Arial" w:eastAsia="Times New Roman" w:hAnsi="Arial" w:cs="Arial"/>
                <w:sz w:val="16"/>
                <w:szCs w:val="16"/>
                <w:lang w:val="en-AU"/>
              </w:rPr>
              <w:t>Supporting the uptake of priority low emission technologies, including hydrogen, by implementing the Technology Investment Roadmap and the National Hydrogen Strategy, and utilising the Australian Renewable Energy Agency, the Clean Energy Finance Corporation and the Clean Energy Regulator.</w:t>
            </w:r>
          </w:p>
        </w:tc>
      </w:tr>
      <w:tr w:rsidR="00253274" w:rsidTr="00517908">
        <w:trPr>
          <w:trHeight w:val="220"/>
        </w:trPr>
        <w:tc>
          <w:tcPr>
            <w:tcW w:w="1560" w:type="dxa"/>
            <w:tcBorders>
              <w:top w:val="single" w:sz="4" w:space="0" w:color="auto"/>
              <w:left w:val="single" w:sz="4" w:space="0" w:color="auto"/>
              <w:bottom w:val="double" w:sz="4" w:space="0" w:color="auto"/>
              <w:right w:val="single" w:sz="4" w:space="0" w:color="auto"/>
            </w:tcBorders>
            <w:hideMark/>
          </w:tcPr>
          <w:p w:rsidR="00517908" w:rsidRDefault="00BA7A7F" w:rsidP="00517908">
            <w:pPr>
              <w:tabs>
                <w:tab w:val="left" w:pos="709"/>
              </w:tabs>
              <w:spacing w:before="60" w:after="0" w:line="240" w:lineRule="auto"/>
              <w:rPr>
                <w:rFonts w:ascii="Arial" w:hAnsi="Arial" w:cs="Arial"/>
                <w:b/>
                <w:sz w:val="16"/>
                <w:szCs w:val="16"/>
              </w:rPr>
            </w:pPr>
            <w:r>
              <w:rPr>
                <w:rFonts w:ascii="Arial" w:hAnsi="Arial" w:cs="Arial"/>
                <w:b/>
                <w:sz w:val="16"/>
                <w:szCs w:val="16"/>
              </w:rPr>
              <w:t>Key Activities (a)</w:t>
            </w:r>
          </w:p>
        </w:tc>
        <w:tc>
          <w:tcPr>
            <w:tcW w:w="6236" w:type="dxa"/>
            <w:gridSpan w:val="2"/>
            <w:tcBorders>
              <w:top w:val="single" w:sz="4" w:space="0" w:color="auto"/>
              <w:left w:val="single" w:sz="4" w:space="0" w:color="auto"/>
              <w:bottom w:val="double" w:sz="4" w:space="0" w:color="auto"/>
              <w:right w:val="single" w:sz="4" w:space="0" w:color="auto"/>
            </w:tcBorders>
            <w:hideMark/>
          </w:tcPr>
          <w:p w:rsidR="00517908" w:rsidRDefault="00BA7A7F" w:rsidP="00517908">
            <w:pPr>
              <w:tabs>
                <w:tab w:val="left" w:pos="709"/>
              </w:tabs>
              <w:spacing w:before="60" w:after="0" w:line="240" w:lineRule="auto"/>
              <w:rPr>
                <w:rFonts w:ascii="Arial" w:hAnsi="Arial" w:cs="Arial"/>
                <w:sz w:val="16"/>
                <w:szCs w:val="16"/>
              </w:rPr>
            </w:pPr>
            <w:r>
              <w:rPr>
                <w:rFonts w:ascii="Arial" w:hAnsi="Arial" w:cs="Arial"/>
                <w:sz w:val="16"/>
                <w:szCs w:val="16"/>
              </w:rPr>
              <w:t>Activity 3.2: Developing clean energy technology</w:t>
            </w:r>
          </w:p>
        </w:tc>
      </w:tr>
      <w:tr w:rsidR="00253274" w:rsidTr="00517908">
        <w:trPr>
          <w:trHeight w:val="258"/>
        </w:trPr>
        <w:tc>
          <w:tcPr>
            <w:tcW w:w="1560" w:type="dxa"/>
            <w:tcBorders>
              <w:top w:val="double" w:sz="4" w:space="0" w:color="auto"/>
              <w:left w:val="single" w:sz="4" w:space="0" w:color="auto"/>
              <w:bottom w:val="single" w:sz="4" w:space="0" w:color="auto"/>
              <w:right w:val="single" w:sz="4" w:space="0" w:color="auto"/>
            </w:tcBorders>
          </w:tcPr>
          <w:p w:rsidR="00517908" w:rsidRDefault="00BA7A7F">
            <w:pPr>
              <w:pStyle w:val="TableTextBase"/>
              <w:rPr>
                <w:rFonts w:eastAsia="Calibri"/>
                <w:b/>
                <w:sz w:val="16"/>
                <w:szCs w:val="16"/>
              </w:rPr>
            </w:pPr>
            <w:r>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517908" w:rsidRDefault="00BA7A7F">
            <w:pPr>
              <w:pStyle w:val="TableTextBase"/>
              <w:rPr>
                <w:rFonts w:eastAsia="Calibri"/>
                <w:b/>
                <w:sz w:val="16"/>
                <w:szCs w:val="16"/>
              </w:rPr>
            </w:pPr>
            <w:r>
              <w:rPr>
                <w:rFonts w:eastAsia="Calibri"/>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517908" w:rsidRDefault="00BA7A7F">
            <w:pPr>
              <w:pStyle w:val="TableTextBase"/>
              <w:rPr>
                <w:rFonts w:eastAsia="Calibri"/>
                <w:b/>
                <w:sz w:val="16"/>
                <w:szCs w:val="16"/>
              </w:rPr>
            </w:pPr>
            <w:r>
              <w:rPr>
                <w:rFonts w:eastAsia="Calibri"/>
                <w:b/>
                <w:sz w:val="16"/>
                <w:szCs w:val="16"/>
              </w:rPr>
              <w:t>Expected Performance Results</w:t>
            </w:r>
          </w:p>
        </w:tc>
      </w:tr>
      <w:tr w:rsidR="00253274" w:rsidTr="00517908">
        <w:trPr>
          <w:trHeight w:val="642"/>
        </w:trPr>
        <w:tc>
          <w:tcPr>
            <w:tcW w:w="1560" w:type="dxa"/>
            <w:tcBorders>
              <w:top w:val="single" w:sz="4" w:space="0" w:color="auto"/>
              <w:left w:val="single" w:sz="4" w:space="0" w:color="auto"/>
              <w:bottom w:val="dotted" w:sz="4" w:space="0" w:color="auto"/>
              <w:right w:val="single" w:sz="4" w:space="0" w:color="auto"/>
            </w:tcBorders>
          </w:tcPr>
          <w:p w:rsidR="00517908" w:rsidRDefault="00BA7A7F">
            <w:pPr>
              <w:pStyle w:val="TableTextBase"/>
              <w:rPr>
                <w:rFonts w:eastAsia="Calibri"/>
                <w:sz w:val="16"/>
                <w:szCs w:val="16"/>
              </w:rPr>
            </w:pPr>
            <w:r>
              <w:rPr>
                <w:rFonts w:eastAsia="Calibri"/>
                <w:sz w:val="16"/>
                <w:szCs w:val="16"/>
              </w:rPr>
              <w:t xml:space="preserve">Current year </w:t>
            </w:r>
          </w:p>
          <w:p w:rsidR="00517908" w:rsidRDefault="00BA7A7F">
            <w:pPr>
              <w:pStyle w:val="TableTextBase"/>
              <w:rPr>
                <w:rFonts w:eastAsia="Calibri"/>
                <w:sz w:val="16"/>
                <w:szCs w:val="16"/>
              </w:rPr>
            </w:pPr>
            <w:r>
              <w:rPr>
                <w:rFonts w:eastAsia="Calibri"/>
                <w:sz w:val="16"/>
                <w:szCs w:val="16"/>
              </w:rPr>
              <w:t>2021–22</w:t>
            </w:r>
          </w:p>
        </w:tc>
        <w:tc>
          <w:tcPr>
            <w:tcW w:w="3118" w:type="dxa"/>
            <w:tcBorders>
              <w:top w:val="single" w:sz="4" w:space="0" w:color="auto"/>
              <w:left w:val="single" w:sz="4" w:space="0" w:color="auto"/>
              <w:bottom w:val="dotted" w:sz="4" w:space="0" w:color="auto"/>
              <w:right w:val="single" w:sz="4" w:space="0" w:color="auto"/>
            </w:tcBorders>
            <w:hideMark/>
          </w:tcPr>
          <w:p w:rsidR="00517908" w:rsidRDefault="00BA7A7F">
            <w:pPr>
              <w:pStyle w:val="TableTextBase"/>
              <w:rPr>
                <w:rFonts w:eastAsia="Calibri"/>
                <w:sz w:val="16"/>
                <w:szCs w:val="16"/>
              </w:rPr>
            </w:pPr>
            <w:r>
              <w:rPr>
                <w:rFonts w:eastAsia="Calibri"/>
                <w:sz w:val="16"/>
                <w:szCs w:val="16"/>
              </w:rPr>
              <w:t>Australian Government expenditure on low emission technologies and co-financing leveraged</w:t>
            </w:r>
          </w:p>
        </w:tc>
        <w:tc>
          <w:tcPr>
            <w:tcW w:w="3118" w:type="dxa"/>
            <w:tcBorders>
              <w:top w:val="single" w:sz="4" w:space="0" w:color="auto"/>
              <w:left w:val="single" w:sz="4" w:space="0" w:color="auto"/>
              <w:bottom w:val="dotted" w:sz="4" w:space="0" w:color="auto"/>
              <w:right w:val="single" w:sz="4" w:space="0" w:color="auto"/>
            </w:tcBorders>
          </w:tcPr>
          <w:p w:rsidR="00517908" w:rsidRDefault="00BA7A7F">
            <w:pPr>
              <w:pStyle w:val="TableTextBase"/>
              <w:rPr>
                <w:rFonts w:eastAsia="Calibri"/>
                <w:sz w:val="16"/>
                <w:szCs w:val="16"/>
              </w:rPr>
            </w:pPr>
            <w:r>
              <w:rPr>
                <w:rFonts w:eastAsia="Calibri"/>
                <w:sz w:val="16"/>
                <w:szCs w:val="16"/>
              </w:rPr>
              <w:t>Leverage $3-$5 of new investment for each dollar of Commonwealth funding on average over the decade to 2030</w:t>
            </w:r>
          </w:p>
          <w:p w:rsidR="00517908" w:rsidRDefault="00517908">
            <w:pPr>
              <w:pStyle w:val="TableTextBase"/>
              <w:rPr>
                <w:rFonts w:eastAsia="Calibri"/>
                <w:sz w:val="16"/>
                <w:szCs w:val="16"/>
              </w:rPr>
            </w:pPr>
          </w:p>
          <w:p w:rsidR="00517908" w:rsidRDefault="00BA7A7F">
            <w:pPr>
              <w:pStyle w:val="TableTextBase"/>
              <w:rPr>
                <w:rFonts w:eastAsia="Calibri" w:cs="Times New Roman"/>
                <w:sz w:val="16"/>
                <w:szCs w:val="16"/>
              </w:rPr>
            </w:pPr>
            <w:r>
              <w:rPr>
                <w:rFonts w:eastAsia="Calibri"/>
                <w:sz w:val="16"/>
                <w:szCs w:val="16"/>
              </w:rPr>
              <w:t>Result:</w:t>
            </w:r>
            <w:r>
              <w:rPr>
                <w:rFonts w:eastAsia="Calibri"/>
                <w:i/>
                <w:color w:val="31849B"/>
                <w:sz w:val="16"/>
                <w:szCs w:val="16"/>
              </w:rPr>
              <w:t xml:space="preserve"> </w:t>
            </w:r>
            <w:r>
              <w:rPr>
                <w:rFonts w:eastAsia="Calibri"/>
                <w:sz w:val="16"/>
                <w:szCs w:val="16"/>
              </w:rPr>
              <w:t>On track</w:t>
            </w:r>
          </w:p>
        </w:tc>
      </w:tr>
      <w:tr w:rsidR="00253274" w:rsidTr="00517908">
        <w:trPr>
          <w:trHeight w:val="100"/>
        </w:trPr>
        <w:tc>
          <w:tcPr>
            <w:tcW w:w="1560" w:type="dxa"/>
            <w:tcBorders>
              <w:top w:val="single" w:sz="4" w:space="0" w:color="auto"/>
              <w:left w:val="single" w:sz="4" w:space="0" w:color="auto"/>
              <w:bottom w:val="dotted" w:sz="4" w:space="0" w:color="auto"/>
              <w:right w:val="single" w:sz="4" w:space="0" w:color="auto"/>
            </w:tcBorders>
          </w:tcPr>
          <w:p w:rsidR="00517908" w:rsidRDefault="00BA7A7F">
            <w:pPr>
              <w:pStyle w:val="TableTextBase"/>
              <w:rPr>
                <w:rFonts w:eastAsia="Calibri"/>
                <w:b/>
                <w:sz w:val="16"/>
                <w:szCs w:val="16"/>
              </w:rPr>
            </w:pPr>
            <w:r>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517908" w:rsidRDefault="00BA7A7F">
            <w:pPr>
              <w:pStyle w:val="TableTextBase"/>
              <w:rPr>
                <w:rFonts w:eastAsia="Calibri"/>
                <w:b/>
                <w:sz w:val="16"/>
                <w:szCs w:val="16"/>
              </w:rPr>
            </w:pPr>
            <w:r>
              <w:rPr>
                <w:rFonts w:eastAsia="Calibri"/>
                <w:b/>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rsidR="00517908" w:rsidRDefault="00BA7A7F">
            <w:pPr>
              <w:pStyle w:val="TableTextBase"/>
              <w:rPr>
                <w:rFonts w:eastAsia="Calibri"/>
                <w:b/>
                <w:sz w:val="16"/>
                <w:szCs w:val="16"/>
              </w:rPr>
            </w:pPr>
            <w:r>
              <w:rPr>
                <w:rFonts w:eastAsia="Calibri"/>
                <w:b/>
                <w:sz w:val="16"/>
                <w:szCs w:val="16"/>
              </w:rPr>
              <w:t>Planned Performance Results</w:t>
            </w:r>
          </w:p>
        </w:tc>
      </w:tr>
      <w:tr w:rsidR="00253274" w:rsidTr="00517908">
        <w:trPr>
          <w:trHeight w:val="100"/>
        </w:trPr>
        <w:tc>
          <w:tcPr>
            <w:tcW w:w="1560" w:type="dxa"/>
            <w:tcBorders>
              <w:top w:val="single" w:sz="4" w:space="0" w:color="auto"/>
              <w:left w:val="single" w:sz="4" w:space="0" w:color="auto"/>
              <w:bottom w:val="single" w:sz="4" w:space="0" w:color="auto"/>
              <w:right w:val="single" w:sz="4" w:space="0" w:color="auto"/>
            </w:tcBorders>
            <w:hideMark/>
          </w:tcPr>
          <w:p w:rsidR="00517908" w:rsidRDefault="00BA7A7F">
            <w:pPr>
              <w:pStyle w:val="TableTextBase"/>
              <w:rPr>
                <w:rFonts w:eastAsia="Calibri"/>
                <w:sz w:val="16"/>
                <w:szCs w:val="16"/>
              </w:rPr>
            </w:pPr>
            <w:r>
              <w:rPr>
                <w:rFonts w:eastAsia="Calibri"/>
                <w:sz w:val="16"/>
                <w:szCs w:val="16"/>
              </w:rPr>
              <w:t>Budget Year 2022–23</w:t>
            </w:r>
          </w:p>
        </w:tc>
        <w:tc>
          <w:tcPr>
            <w:tcW w:w="3118" w:type="dxa"/>
            <w:tcBorders>
              <w:top w:val="single" w:sz="4" w:space="0" w:color="auto"/>
              <w:left w:val="single" w:sz="4" w:space="0" w:color="auto"/>
              <w:bottom w:val="single" w:sz="4" w:space="0" w:color="auto"/>
              <w:right w:val="single" w:sz="4" w:space="0" w:color="auto"/>
            </w:tcBorders>
            <w:hideMark/>
          </w:tcPr>
          <w:p w:rsidR="00517908" w:rsidRDefault="00BA7A7F">
            <w:pPr>
              <w:pStyle w:val="TableTextBase"/>
              <w:tabs>
                <w:tab w:val="left" w:pos="980"/>
              </w:tabs>
              <w:rPr>
                <w:rFonts w:eastAsia="Calibri"/>
                <w:sz w:val="16"/>
                <w:szCs w:val="16"/>
              </w:rPr>
            </w:pPr>
            <w:r>
              <w:rPr>
                <w:rFonts w:eastAsia="Calibri"/>
                <w:sz w:val="16"/>
                <w:szCs w:val="16"/>
              </w:rPr>
              <w:t>Investment leveraged through portfolio low emissions technology initiatives</w:t>
            </w:r>
          </w:p>
        </w:tc>
        <w:tc>
          <w:tcPr>
            <w:tcW w:w="3118" w:type="dxa"/>
            <w:tcBorders>
              <w:top w:val="single" w:sz="4" w:space="0" w:color="auto"/>
              <w:left w:val="single" w:sz="4" w:space="0" w:color="auto"/>
              <w:bottom w:val="single" w:sz="4" w:space="0" w:color="auto"/>
              <w:right w:val="single" w:sz="4" w:space="0" w:color="auto"/>
            </w:tcBorders>
            <w:hideMark/>
          </w:tcPr>
          <w:p w:rsidR="00517908" w:rsidRDefault="00BA7A7F">
            <w:pPr>
              <w:pStyle w:val="TableTextBase"/>
              <w:tabs>
                <w:tab w:val="left" w:pos="980"/>
              </w:tabs>
              <w:rPr>
                <w:rFonts w:eastAsia="Calibri"/>
                <w:sz w:val="16"/>
                <w:szCs w:val="16"/>
              </w:rPr>
            </w:pPr>
            <w:r>
              <w:rPr>
                <w:rFonts w:eastAsia="Calibri"/>
                <w:sz w:val="16"/>
                <w:szCs w:val="16"/>
              </w:rPr>
              <w:t>Leverage $3- $5 of new investment for each dollar of Commonwealth funding on average over the decade to 2030</w:t>
            </w:r>
          </w:p>
        </w:tc>
      </w:tr>
      <w:tr w:rsidR="00253274" w:rsidTr="00517908">
        <w:trPr>
          <w:trHeight w:val="491"/>
        </w:trPr>
        <w:tc>
          <w:tcPr>
            <w:tcW w:w="1560" w:type="dxa"/>
            <w:tcBorders>
              <w:top w:val="single" w:sz="4" w:space="0" w:color="auto"/>
              <w:left w:val="single" w:sz="4" w:space="0" w:color="auto"/>
              <w:bottom w:val="dotted" w:sz="4" w:space="0" w:color="auto"/>
              <w:right w:val="single" w:sz="4" w:space="0" w:color="auto"/>
            </w:tcBorders>
            <w:hideMark/>
          </w:tcPr>
          <w:p w:rsidR="00517908" w:rsidRDefault="00BA7A7F">
            <w:pPr>
              <w:pStyle w:val="TableTextBase"/>
              <w:rPr>
                <w:rFonts w:eastAsia="Calibri"/>
                <w:sz w:val="16"/>
                <w:szCs w:val="16"/>
              </w:rPr>
            </w:pPr>
            <w:r>
              <w:rPr>
                <w:rFonts w:eastAsia="Calibri"/>
                <w:sz w:val="16"/>
                <w:szCs w:val="16"/>
              </w:rPr>
              <w:t xml:space="preserve">Forward Estimates </w:t>
            </w:r>
          </w:p>
          <w:p w:rsidR="00517908" w:rsidRDefault="00BA7A7F">
            <w:pPr>
              <w:pStyle w:val="TableTextBase"/>
              <w:rPr>
                <w:rFonts w:eastAsia="Calibri"/>
                <w:b/>
                <w:sz w:val="16"/>
                <w:szCs w:val="16"/>
              </w:rPr>
            </w:pPr>
            <w:r>
              <w:rPr>
                <w:rFonts w:eastAsia="Calibri"/>
                <w:sz w:val="16"/>
                <w:szCs w:val="16"/>
              </w:rPr>
              <w:t>2023–26</w:t>
            </w:r>
          </w:p>
        </w:tc>
        <w:tc>
          <w:tcPr>
            <w:tcW w:w="3118" w:type="dxa"/>
            <w:tcBorders>
              <w:top w:val="single" w:sz="4" w:space="0" w:color="auto"/>
              <w:left w:val="single" w:sz="4" w:space="0" w:color="auto"/>
              <w:bottom w:val="dotted" w:sz="4" w:space="0" w:color="auto"/>
              <w:right w:val="single" w:sz="4" w:space="0" w:color="auto"/>
            </w:tcBorders>
            <w:hideMark/>
          </w:tcPr>
          <w:p w:rsidR="00517908" w:rsidRDefault="00BA7A7F">
            <w:pPr>
              <w:pStyle w:val="TableTextBase"/>
              <w:rPr>
                <w:rFonts w:eastAsia="Calibri"/>
                <w:b/>
                <w:color w:val="0070C0"/>
                <w:sz w:val="16"/>
                <w:szCs w:val="16"/>
              </w:rPr>
            </w:pPr>
            <w:r>
              <w:rPr>
                <w:rFonts w:eastAsia="Calibri"/>
                <w:sz w:val="16"/>
                <w:szCs w:val="16"/>
              </w:rPr>
              <w:t>As per 2022–23</w:t>
            </w:r>
          </w:p>
        </w:tc>
        <w:tc>
          <w:tcPr>
            <w:tcW w:w="3118" w:type="dxa"/>
            <w:tcBorders>
              <w:top w:val="single" w:sz="4" w:space="0" w:color="auto"/>
              <w:left w:val="single" w:sz="4" w:space="0" w:color="auto"/>
              <w:bottom w:val="dotted" w:sz="4" w:space="0" w:color="auto"/>
              <w:right w:val="single" w:sz="4" w:space="0" w:color="auto"/>
            </w:tcBorders>
            <w:hideMark/>
          </w:tcPr>
          <w:p w:rsidR="00517908" w:rsidRDefault="00BA7A7F">
            <w:pPr>
              <w:pStyle w:val="TableTextBase"/>
              <w:rPr>
                <w:rFonts w:eastAsia="Calibri"/>
                <w:b/>
                <w:color w:val="0070C0"/>
                <w:sz w:val="16"/>
                <w:szCs w:val="16"/>
              </w:rPr>
            </w:pPr>
            <w:r>
              <w:rPr>
                <w:rFonts w:eastAsia="Calibri"/>
                <w:sz w:val="16"/>
                <w:szCs w:val="16"/>
              </w:rPr>
              <w:t>As per 2022–23</w:t>
            </w:r>
          </w:p>
        </w:tc>
      </w:tr>
      <w:tr w:rsidR="00253274" w:rsidTr="00517908">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517908" w:rsidRPr="00CC4A30" w:rsidRDefault="00BA7A7F">
            <w:pPr>
              <w:pStyle w:val="TableTextBase"/>
              <w:rPr>
                <w:rFonts w:eastAsia="Cambria"/>
                <w:bCs/>
                <w:iCs/>
                <w:color w:val="0070C0"/>
                <w:spacing w:val="-6"/>
                <w:sz w:val="16"/>
                <w:szCs w:val="16"/>
                <w:lang w:val="x-none"/>
              </w:rPr>
            </w:pPr>
            <w:r w:rsidRPr="00CC4A30">
              <w:rPr>
                <w:rFonts w:eastAsia="Calibri"/>
                <w:sz w:val="16"/>
                <w:szCs w:val="16"/>
              </w:rPr>
              <w:t>Material changes to Program 2.2 resulting from 2022–23 Budget Measures:</w:t>
            </w:r>
            <w:r w:rsidRPr="00CC4A30">
              <w:rPr>
                <w:rStyle w:val="BodyTextChar"/>
                <w:rFonts w:ascii="Arial" w:eastAsia="Calibri" w:hAnsi="Arial" w:cs="Arial"/>
                <w:bCs/>
                <w:iCs/>
                <w:color w:val="365F91"/>
                <w:spacing w:val="-6"/>
                <w:sz w:val="16"/>
                <w:szCs w:val="16"/>
              </w:rPr>
              <w:t xml:space="preserve"> </w:t>
            </w:r>
            <w:r w:rsidRPr="00CC4A30">
              <w:rPr>
                <w:rStyle w:val="BodyTextChar"/>
                <w:rFonts w:ascii="Arial" w:eastAsia="Calibri" w:hAnsi="Arial" w:cs="Arial"/>
                <w:bCs/>
                <w:iCs/>
                <w:spacing w:val="-6"/>
                <w:sz w:val="16"/>
                <w:szCs w:val="16"/>
              </w:rPr>
              <w:t>Nil</w:t>
            </w:r>
          </w:p>
        </w:tc>
      </w:tr>
    </w:tbl>
    <w:p w:rsidR="00517908" w:rsidRPr="00CC4A30" w:rsidRDefault="00517908" w:rsidP="00517908">
      <w:pPr>
        <w:pStyle w:val="ChartandTableFootnoteAlpha"/>
        <w:keepNext w:val="0"/>
        <w:keepLines w:val="0"/>
        <w:tabs>
          <w:tab w:val="left" w:pos="720"/>
        </w:tabs>
        <w:spacing w:line="240" w:lineRule="auto"/>
        <w:ind w:left="284" w:hanging="284"/>
        <w:rPr>
          <w:rFonts w:cs="Arial"/>
          <w:sz w:val="15"/>
          <w:szCs w:val="15"/>
        </w:rPr>
      </w:pPr>
    </w:p>
    <w:p w:rsidR="00517908" w:rsidRPr="00517908" w:rsidRDefault="00BA7A7F" w:rsidP="00517908">
      <w:pPr>
        <w:pStyle w:val="ListParagraph"/>
        <w:keepLines/>
        <w:numPr>
          <w:ilvl w:val="0"/>
          <w:numId w:val="24"/>
        </w:numPr>
        <w:spacing w:after="0" w:line="240" w:lineRule="auto"/>
        <w:ind w:left="284" w:hanging="284"/>
        <w:jc w:val="left"/>
        <w:rPr>
          <w:rFonts w:ascii="Times New Roman" w:eastAsia="Times New Roman" w:hAnsi="Times New Roman" w:cs="Times New Roman"/>
          <w:sz w:val="16"/>
          <w:szCs w:val="16"/>
          <w:lang w:val="en-AU"/>
        </w:rPr>
      </w:pPr>
      <w:r w:rsidRPr="00517908">
        <w:rPr>
          <w:rFonts w:ascii="Arial" w:eastAsia="Times New Roman" w:hAnsi="Arial" w:cs="Times New Roman"/>
          <w:sz w:val="16"/>
          <w:szCs w:val="16"/>
          <w:lang w:val="en-AU"/>
        </w:rPr>
        <w:t>In line with the Department of Finance guidelines, the department’s performance measures relate directly to its purposes and key activities, representing a mix of qualitative and quantitative measures that provide a basis for an assessment of outputs, efficiency and effectiveness over time. The department is committed to continuous improvement and any refinements to performance criteria will be reflected in the 2022–23 Corporate Plan. As a leader in national policy for complex and multi-faceted areas such as the promotion of science, technology, engineering and mathematics (STEM); Australia’s resource development potential; supporting a secure, reliable and affordable energy sector; and supporting innovative and competitive businesses, industries and regions, the department has included measures which highlight where Australia, as a nation, stands. While the department contributes significantly to these measures, there are often many other factors at play which may affect the achievement of some of these measures. However, the department believes the measures above are important to track as a means to continually develop and improve its policies for the benefit of all Australians.</w:t>
      </w:r>
      <w:r w:rsidRPr="00517908">
        <w:rPr>
          <w:rFonts w:ascii="Times New Roman" w:eastAsia="Times New Roman" w:hAnsi="Times New Roman" w:cs="Times New Roman"/>
          <w:sz w:val="16"/>
          <w:szCs w:val="16"/>
          <w:lang w:val="en-AU"/>
        </w:rPr>
        <w:t xml:space="preserve"> </w:t>
      </w:r>
    </w:p>
    <w:p w:rsidR="00977E11" w:rsidRPr="00977E11" w:rsidRDefault="00977E11" w:rsidP="00977E11">
      <w:pPr>
        <w:rPr>
          <w:vanish/>
        </w:rPr>
      </w:pPr>
    </w:p>
    <w:p w:rsidR="00D86095" w:rsidRPr="000C1879" w:rsidRDefault="00BA7A7F" w:rsidP="00CA0CF0">
      <w:pPr>
        <w:keepNext/>
        <w:pageBreakBefore/>
        <w:tabs>
          <w:tab w:val="left" w:pos="709"/>
        </w:tabs>
        <w:spacing w:before="240" w:line="240" w:lineRule="auto"/>
        <w:jc w:val="left"/>
        <w:outlineLvl w:val="2"/>
        <w:rPr>
          <w:rFonts w:ascii="Arial" w:hAnsi="Arial"/>
          <w:b/>
          <w:sz w:val="22"/>
          <w:szCs w:val="22"/>
        </w:rPr>
      </w:pPr>
      <w:bookmarkStart w:id="160" w:name="RG_MARKER_11834"/>
      <w:bookmarkStart w:id="161" w:name="RG_MARKER_11841"/>
      <w:bookmarkStart w:id="162" w:name="RG_MARKER_12075"/>
      <w:r w:rsidRPr="000C1879">
        <w:rPr>
          <w:rFonts w:ascii="Arial" w:hAnsi="Arial"/>
          <w:b/>
          <w:sz w:val="22"/>
          <w:szCs w:val="22"/>
        </w:rPr>
        <w:t>2.3</w:t>
      </w:r>
      <w:bookmarkEnd w:id="160"/>
      <w:bookmarkEnd w:id="161"/>
      <w:bookmarkEnd w:id="162"/>
      <w:r w:rsidRPr="000C1879">
        <w:rPr>
          <w:rFonts w:ascii="Arial" w:hAnsi="Arial"/>
          <w:b/>
          <w:sz w:val="22"/>
          <w:szCs w:val="22"/>
        </w:rPr>
        <w:tab/>
        <w:t>Budgeted expenses and performance for Outcome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7592"/>
      </w:tblGrid>
      <w:tr w:rsidR="00253274" w:rsidTr="0060281A">
        <w:trPr>
          <w:trHeight w:val="113"/>
        </w:trPr>
        <w:tc>
          <w:tcPr>
            <w:tcW w:w="7592" w:type="dxa"/>
            <w:shd w:val="clear" w:color="auto" w:fill="E6E6E6"/>
          </w:tcPr>
          <w:p w:rsidR="00995137" w:rsidRPr="000C1879" w:rsidRDefault="00BA7A7F" w:rsidP="00CD7C00">
            <w:pPr>
              <w:pStyle w:val="ExampleText0"/>
              <w:spacing w:before="60" w:after="60" w:line="240" w:lineRule="auto"/>
              <w:rPr>
                <w:rFonts w:ascii="Arial" w:hAnsi="Arial" w:cs="Arial"/>
                <w:b/>
                <w:bCs/>
                <w:i w:val="0"/>
                <w:iCs/>
                <w:color w:val="auto"/>
              </w:rPr>
            </w:pPr>
            <w:r w:rsidRPr="000C1879">
              <w:rPr>
                <w:rFonts w:ascii="Arial" w:hAnsi="Arial" w:cs="Arial"/>
                <w:b/>
                <w:bCs/>
                <w:i w:val="0"/>
                <w:iCs/>
                <w:color w:val="auto"/>
              </w:rPr>
              <w:t>Outcome 3: Support the affordable, reliable, secure and competitive operation of energy markets for the long term benefit of the Australian community through improving Australia’s energy supply, efficiency, quality, performance and productivity</w:t>
            </w:r>
          </w:p>
        </w:tc>
      </w:tr>
    </w:tbl>
    <w:p w:rsidR="00E77462" w:rsidRPr="000C1879" w:rsidRDefault="00BA7A7F" w:rsidP="002218A5">
      <w:pPr>
        <w:pStyle w:val="Heading4"/>
        <w:rPr>
          <w:color w:val="000000"/>
          <w:sz w:val="20"/>
          <w:bdr w:val="none" w:sz="0" w:space="0" w:color="auto" w:frame="1"/>
        </w:rPr>
      </w:pPr>
      <w:r w:rsidRPr="000C1879">
        <w:rPr>
          <w:sz w:val="20"/>
          <w:bdr w:val="none" w:sz="0" w:space="0" w:color="auto" w:frame="1"/>
        </w:rPr>
        <w:t xml:space="preserve">Linked </w:t>
      </w:r>
      <w:r w:rsidRPr="000C1879">
        <w:rPr>
          <w:color w:val="000000"/>
          <w:sz w:val="20"/>
          <w:bdr w:val="none" w:sz="0" w:space="0" w:color="auto" w:frame="1"/>
        </w:rPr>
        <w:t>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253274" w:rsidTr="000C1879">
        <w:trPr>
          <w:trHeight w:val="113"/>
        </w:trPr>
        <w:tc>
          <w:tcPr>
            <w:tcW w:w="7592" w:type="dxa"/>
            <w:tcBorders>
              <w:top w:val="single" w:sz="4" w:space="0" w:color="auto"/>
              <w:left w:val="single" w:sz="4" w:space="0" w:color="auto"/>
              <w:bottom w:val="dotted" w:sz="4" w:space="0" w:color="auto"/>
              <w:right w:val="single" w:sz="4" w:space="0" w:color="auto"/>
            </w:tcBorders>
            <w:hideMark/>
          </w:tcPr>
          <w:p w:rsidR="000C1879" w:rsidRPr="005A7276" w:rsidRDefault="00BA7A7F">
            <w:pPr>
              <w:pStyle w:val="ExampleText0"/>
              <w:spacing w:before="60" w:after="60" w:line="240" w:lineRule="auto"/>
              <w:rPr>
                <w:rFonts w:cs="Calibri"/>
                <w:b/>
                <w:i w:val="0"/>
                <w:color w:val="auto"/>
                <w:u w:val="single"/>
                <w:bdr w:val="none" w:sz="0" w:space="0" w:color="auto" w:frame="1"/>
                <w:lang w:val="x-none" w:eastAsia="x-none"/>
              </w:rPr>
            </w:pPr>
            <w:r w:rsidRPr="005A7276">
              <w:rPr>
                <w:rFonts w:cs="Calibri"/>
                <w:b/>
                <w:i w:val="0"/>
                <w:color w:val="auto"/>
                <w:u w:val="single"/>
                <w:bdr w:val="none" w:sz="0" w:space="0" w:color="auto" w:frame="1"/>
                <w:lang w:val="x-none" w:eastAsia="x-none"/>
              </w:rPr>
              <w:t>Portfolio agencies</w:t>
            </w:r>
          </w:p>
          <w:p w:rsidR="000C1879" w:rsidRPr="005A7276" w:rsidRDefault="00BA7A7F">
            <w:pPr>
              <w:spacing w:before="60" w:after="60" w:line="240" w:lineRule="auto"/>
              <w:jc w:val="left"/>
              <w:rPr>
                <w:rFonts w:cs="Calibri"/>
                <w:b/>
                <w:bdr w:val="none" w:sz="0" w:space="0" w:color="auto" w:frame="1"/>
                <w:lang w:eastAsia="x-none"/>
              </w:rPr>
            </w:pPr>
            <w:r w:rsidRPr="005A7276">
              <w:rPr>
                <w:rFonts w:cs="Calibri"/>
                <w:b/>
                <w:bdr w:val="none" w:sz="0" w:space="0" w:color="auto" w:frame="1"/>
                <w:lang w:eastAsia="x-none"/>
              </w:rPr>
              <w:t>Australian Renewable Energy Agency</w:t>
            </w:r>
          </w:p>
          <w:p w:rsidR="000C1879" w:rsidRPr="005A7276" w:rsidRDefault="00BA7A7F">
            <w:pPr>
              <w:spacing w:before="60" w:after="60" w:line="240" w:lineRule="auto"/>
              <w:jc w:val="left"/>
              <w:rPr>
                <w:rFonts w:cs="Calibri"/>
                <w:b/>
                <w:bdr w:val="none" w:sz="0" w:space="0" w:color="auto" w:frame="1"/>
                <w:lang w:eastAsia="x-none"/>
              </w:rPr>
            </w:pPr>
            <w:r w:rsidRPr="005A7276">
              <w:rPr>
                <w:rFonts w:cs="Calibri"/>
                <w:b/>
                <w:bdr w:val="none" w:sz="0" w:space="0" w:color="auto" w:frame="1"/>
                <w:lang w:eastAsia="x-none"/>
              </w:rPr>
              <w:t>Clean Energy Finance Corporation</w:t>
            </w:r>
          </w:p>
          <w:p w:rsidR="000C1879" w:rsidRPr="005A7276" w:rsidRDefault="00BA7A7F">
            <w:pPr>
              <w:spacing w:before="60" w:after="60" w:line="240" w:lineRule="auto"/>
              <w:jc w:val="left"/>
              <w:rPr>
                <w:rFonts w:cs="Calibri"/>
                <w:b/>
                <w:bdr w:val="none" w:sz="0" w:space="0" w:color="auto" w:frame="1"/>
                <w:lang w:eastAsia="x-none"/>
              </w:rPr>
            </w:pPr>
            <w:r w:rsidRPr="005A7276">
              <w:rPr>
                <w:rFonts w:cs="Calibri"/>
                <w:b/>
                <w:bdr w:val="none" w:sz="0" w:space="0" w:color="auto" w:frame="1"/>
                <w:lang w:eastAsia="x-none"/>
              </w:rPr>
              <w:t>Clean Energy Regulator</w:t>
            </w:r>
          </w:p>
          <w:p w:rsidR="000C1879" w:rsidRPr="004B0C19" w:rsidRDefault="00BA7A7F">
            <w:pPr>
              <w:spacing w:before="60" w:after="60" w:line="240" w:lineRule="auto"/>
              <w:jc w:val="left"/>
              <w:rPr>
                <w:rFonts w:cs="Calibri"/>
                <w:b/>
                <w:bdr w:val="none" w:sz="0" w:space="0" w:color="auto" w:frame="1"/>
                <w:lang w:eastAsia="x-none"/>
              </w:rPr>
            </w:pPr>
            <w:r w:rsidRPr="005A7276">
              <w:rPr>
                <w:rFonts w:cs="Calibri"/>
                <w:b/>
                <w:bdr w:val="none" w:sz="0" w:space="0" w:color="auto" w:frame="1"/>
                <w:lang w:eastAsia="x-none"/>
              </w:rPr>
              <w:t>Climate Change Authority</w:t>
            </w:r>
          </w:p>
        </w:tc>
      </w:tr>
      <w:tr w:rsidR="00253274" w:rsidTr="000C1879">
        <w:trPr>
          <w:trHeight w:val="113"/>
        </w:trPr>
        <w:tc>
          <w:tcPr>
            <w:tcW w:w="7592" w:type="dxa"/>
            <w:tcBorders>
              <w:top w:val="dotted" w:sz="4" w:space="0" w:color="auto"/>
              <w:left w:val="single" w:sz="4" w:space="0" w:color="auto"/>
              <w:bottom w:val="single" w:sz="2" w:space="0" w:color="auto"/>
              <w:right w:val="single" w:sz="4" w:space="0" w:color="auto"/>
            </w:tcBorders>
            <w:hideMark/>
          </w:tcPr>
          <w:p w:rsidR="000C1879" w:rsidRPr="005A7276" w:rsidRDefault="00BA7A7F">
            <w:pPr>
              <w:spacing w:before="60" w:after="60" w:line="240" w:lineRule="auto"/>
              <w:rPr>
                <w:rFonts w:cs="Calibri"/>
                <w:b/>
                <w:bdr w:val="none" w:sz="0" w:space="0" w:color="auto" w:frame="1"/>
                <w:lang w:val="x-none" w:eastAsia="x-none"/>
              </w:rPr>
            </w:pPr>
            <w:r w:rsidRPr="005A7276">
              <w:rPr>
                <w:rFonts w:cs="Calibri"/>
                <w:b/>
                <w:bdr w:val="none" w:sz="0" w:space="0" w:color="auto" w:frame="1"/>
                <w:lang w:val="x-none" w:eastAsia="x-none"/>
              </w:rPr>
              <w:t>Programs</w:t>
            </w:r>
          </w:p>
          <w:p w:rsidR="000C1879" w:rsidRPr="005A7276" w:rsidRDefault="00BA7A7F">
            <w:pPr>
              <w:spacing w:before="60" w:after="60" w:line="240" w:lineRule="auto"/>
              <w:rPr>
                <w:rFonts w:cs="Calibri"/>
                <w:bdr w:val="none" w:sz="0" w:space="0" w:color="auto" w:frame="1"/>
                <w:lang w:eastAsia="x-none"/>
              </w:rPr>
            </w:pPr>
            <w:r w:rsidRPr="005A7276">
              <w:rPr>
                <w:rFonts w:cs="Calibri"/>
                <w:bdr w:val="none" w:sz="0" w:space="0" w:color="auto" w:frame="1"/>
                <w:lang w:val="x-none" w:eastAsia="x-none"/>
              </w:rPr>
              <w:t xml:space="preserve">Australian </w:t>
            </w:r>
            <w:r w:rsidRPr="005A7276">
              <w:rPr>
                <w:rFonts w:cs="Calibri"/>
                <w:bdr w:val="none" w:sz="0" w:space="0" w:color="auto" w:frame="1"/>
                <w:lang w:eastAsia="x-none"/>
              </w:rPr>
              <w:t>Renewable Energy Agency</w:t>
            </w:r>
          </w:p>
          <w:p w:rsidR="000C1879" w:rsidRPr="005A7276" w:rsidRDefault="00BA7A7F" w:rsidP="000C1879">
            <w:pPr>
              <w:keepLines w:val="0"/>
              <w:numPr>
                <w:ilvl w:val="0"/>
                <w:numId w:val="25"/>
              </w:numPr>
              <w:spacing w:before="60" w:after="60" w:line="240" w:lineRule="auto"/>
              <w:ind w:left="720"/>
              <w:rPr>
                <w:rFonts w:cs="Calibri"/>
                <w:bdr w:val="none" w:sz="0" w:space="0" w:color="auto" w:frame="1"/>
                <w:lang w:val="x-none" w:eastAsia="x-none"/>
              </w:rPr>
            </w:pPr>
            <w:r w:rsidRPr="005A7276">
              <w:rPr>
                <w:rFonts w:cs="Calibri"/>
                <w:bdr w:val="none" w:sz="0" w:space="0" w:color="auto" w:frame="1"/>
                <w:lang w:val="x-none" w:eastAsia="x-none"/>
              </w:rPr>
              <w:t>Program 1</w:t>
            </w:r>
            <w:r w:rsidRPr="005A7276">
              <w:rPr>
                <w:rFonts w:cs="Calibri"/>
                <w:bdr w:val="none" w:sz="0" w:space="0" w:color="auto" w:frame="1"/>
                <w:lang w:eastAsia="x-none"/>
              </w:rPr>
              <w:t>.1 – Australian Renewable Energy Agency</w:t>
            </w:r>
          </w:p>
          <w:p w:rsidR="000C1879" w:rsidRPr="005A7276" w:rsidRDefault="00BA7A7F">
            <w:pPr>
              <w:spacing w:before="60" w:after="60" w:line="240" w:lineRule="auto"/>
              <w:rPr>
                <w:rFonts w:cs="Calibri"/>
                <w:bdr w:val="none" w:sz="0" w:space="0" w:color="auto" w:frame="1"/>
                <w:lang w:val="x-none" w:eastAsia="x-none"/>
              </w:rPr>
            </w:pPr>
            <w:r w:rsidRPr="005A7276">
              <w:rPr>
                <w:rFonts w:cs="Calibri"/>
                <w:bdr w:val="none" w:sz="0" w:space="0" w:color="auto" w:frame="1"/>
                <w:lang w:eastAsia="x-none"/>
              </w:rPr>
              <w:t>Clean Energy Finance Corporation</w:t>
            </w:r>
          </w:p>
          <w:p w:rsidR="000C1879" w:rsidRPr="005A7276" w:rsidRDefault="00BA7A7F" w:rsidP="000C1879">
            <w:pPr>
              <w:keepLines w:val="0"/>
              <w:numPr>
                <w:ilvl w:val="0"/>
                <w:numId w:val="25"/>
              </w:numPr>
              <w:spacing w:before="60" w:after="60" w:line="240" w:lineRule="auto"/>
              <w:ind w:left="720"/>
              <w:rPr>
                <w:rFonts w:cs="Calibri"/>
                <w:bdr w:val="none" w:sz="0" w:space="0" w:color="auto" w:frame="1"/>
                <w:lang w:val="x-none" w:eastAsia="x-none"/>
              </w:rPr>
            </w:pPr>
            <w:r w:rsidRPr="005A7276">
              <w:rPr>
                <w:rFonts w:cs="Calibri"/>
                <w:bdr w:val="none" w:sz="0" w:space="0" w:color="auto" w:frame="1"/>
                <w:lang w:val="x-none" w:eastAsia="x-none"/>
              </w:rPr>
              <w:t>Program 1</w:t>
            </w:r>
            <w:r w:rsidRPr="005A7276">
              <w:rPr>
                <w:rFonts w:cs="Calibri"/>
                <w:bdr w:val="none" w:sz="0" w:space="0" w:color="auto" w:frame="1"/>
                <w:lang w:eastAsia="x-none"/>
              </w:rPr>
              <w:t>.1 – Clean Energy Finance Corporation</w:t>
            </w:r>
          </w:p>
          <w:p w:rsidR="000C1879" w:rsidRPr="005A7276" w:rsidRDefault="00BA7A7F">
            <w:pPr>
              <w:spacing w:before="60" w:after="60" w:line="240" w:lineRule="auto"/>
              <w:rPr>
                <w:rFonts w:cs="Calibri"/>
                <w:bdr w:val="none" w:sz="0" w:space="0" w:color="auto" w:frame="1"/>
                <w:lang w:val="x-none" w:eastAsia="x-none"/>
              </w:rPr>
            </w:pPr>
            <w:r w:rsidRPr="005A7276">
              <w:rPr>
                <w:rFonts w:cs="Calibri"/>
                <w:bdr w:val="none" w:sz="0" w:space="0" w:color="auto" w:frame="1"/>
                <w:lang w:eastAsia="x-none"/>
              </w:rPr>
              <w:t>Clean Energy Regulator</w:t>
            </w:r>
          </w:p>
          <w:p w:rsidR="000C1879" w:rsidRPr="005A7276" w:rsidRDefault="00BA7A7F" w:rsidP="000C1879">
            <w:pPr>
              <w:keepLines w:val="0"/>
              <w:numPr>
                <w:ilvl w:val="0"/>
                <w:numId w:val="25"/>
              </w:numPr>
              <w:spacing w:before="60" w:after="60" w:line="240" w:lineRule="auto"/>
              <w:ind w:left="720"/>
              <w:rPr>
                <w:rFonts w:cs="Calibri"/>
                <w:bdr w:val="none" w:sz="0" w:space="0" w:color="auto" w:frame="1"/>
                <w:lang w:val="x-none" w:eastAsia="x-none"/>
              </w:rPr>
            </w:pPr>
            <w:r w:rsidRPr="005A7276">
              <w:rPr>
                <w:rFonts w:cs="Calibri"/>
                <w:bdr w:val="none" w:sz="0" w:space="0" w:color="auto" w:frame="1"/>
                <w:lang w:val="x-none" w:eastAsia="x-none"/>
              </w:rPr>
              <w:t>Program 1</w:t>
            </w:r>
            <w:r w:rsidRPr="005A7276">
              <w:rPr>
                <w:rFonts w:cs="Calibri"/>
                <w:bdr w:val="none" w:sz="0" w:space="0" w:color="auto" w:frame="1"/>
                <w:lang w:eastAsia="x-none"/>
              </w:rPr>
              <w:t>.1 – Clean Energy Regulator</w:t>
            </w:r>
          </w:p>
          <w:p w:rsidR="000C1879" w:rsidRPr="005A7276" w:rsidRDefault="00BA7A7F">
            <w:pPr>
              <w:spacing w:before="60" w:after="60" w:line="240" w:lineRule="auto"/>
              <w:rPr>
                <w:rFonts w:cs="Calibri"/>
                <w:bdr w:val="none" w:sz="0" w:space="0" w:color="auto" w:frame="1"/>
                <w:lang w:val="x-none" w:eastAsia="x-none"/>
              </w:rPr>
            </w:pPr>
            <w:r w:rsidRPr="005A7276">
              <w:rPr>
                <w:rFonts w:cs="Calibri"/>
                <w:bdr w:val="none" w:sz="0" w:space="0" w:color="auto" w:frame="1"/>
                <w:lang w:eastAsia="x-none"/>
              </w:rPr>
              <w:t>Climate Change Authority</w:t>
            </w:r>
          </w:p>
          <w:p w:rsidR="000C1879" w:rsidRPr="005A7276" w:rsidRDefault="00BA7A7F" w:rsidP="000C1879">
            <w:pPr>
              <w:keepLines w:val="0"/>
              <w:numPr>
                <w:ilvl w:val="0"/>
                <w:numId w:val="25"/>
              </w:numPr>
              <w:spacing w:before="60" w:after="60" w:line="240" w:lineRule="auto"/>
              <w:ind w:left="720"/>
              <w:rPr>
                <w:rFonts w:cs="Calibri"/>
                <w:bdr w:val="none" w:sz="0" w:space="0" w:color="auto" w:frame="1"/>
                <w:lang w:val="x-none" w:eastAsia="x-none"/>
              </w:rPr>
            </w:pPr>
            <w:r w:rsidRPr="005A7276">
              <w:rPr>
                <w:rFonts w:cs="Calibri"/>
                <w:bdr w:val="none" w:sz="0" w:space="0" w:color="auto" w:frame="1"/>
                <w:lang w:val="x-none" w:eastAsia="x-none"/>
              </w:rPr>
              <w:t>Program 1</w:t>
            </w:r>
            <w:r w:rsidRPr="005A7276">
              <w:rPr>
                <w:rFonts w:cs="Calibri"/>
                <w:bdr w:val="none" w:sz="0" w:space="0" w:color="auto" w:frame="1"/>
                <w:lang w:eastAsia="x-none"/>
              </w:rPr>
              <w:t>.1 – Reviewing Climate Change Mitigation Policies</w:t>
            </w:r>
          </w:p>
          <w:p w:rsidR="005A7276" w:rsidRDefault="00BA7A7F" w:rsidP="005A7276">
            <w:pPr>
              <w:spacing w:before="60" w:after="60" w:line="240" w:lineRule="auto"/>
              <w:rPr>
                <w:rFonts w:cs="Calibri"/>
                <w:bdr w:val="none" w:sz="0" w:space="0" w:color="auto" w:frame="1"/>
                <w:lang w:eastAsia="x-none"/>
              </w:rPr>
            </w:pPr>
            <w:r>
              <w:rPr>
                <w:rFonts w:cs="Calibri"/>
                <w:bdr w:val="none" w:sz="0" w:space="0" w:color="auto" w:frame="1"/>
                <w:lang w:eastAsia="x-none"/>
              </w:rPr>
              <w:t>Commonwealth Scientific and Industrial Research Organisation</w:t>
            </w:r>
          </w:p>
          <w:p w:rsidR="000C1879" w:rsidRPr="004B0C19" w:rsidRDefault="00BA7A7F" w:rsidP="004B0C19">
            <w:pPr>
              <w:keepLines w:val="0"/>
              <w:numPr>
                <w:ilvl w:val="0"/>
                <w:numId w:val="25"/>
              </w:numPr>
              <w:spacing w:before="60" w:after="60" w:line="240" w:lineRule="auto"/>
              <w:ind w:left="720"/>
              <w:rPr>
                <w:rFonts w:cs="Calibri"/>
                <w:bdr w:val="none" w:sz="0" w:space="0" w:color="auto" w:frame="1"/>
                <w:lang w:val="x-none" w:eastAsia="x-none"/>
              </w:rPr>
            </w:pPr>
            <w:r w:rsidRPr="005A7276">
              <w:rPr>
                <w:rFonts w:cs="Calibri"/>
                <w:bdr w:val="none" w:sz="0" w:space="0" w:color="auto" w:frame="1"/>
                <w:lang w:val="x-none" w:eastAsia="x-none"/>
              </w:rPr>
              <w:t>Program 1 – Scientific and Industrial Research and Infrastructure</w:t>
            </w:r>
          </w:p>
        </w:tc>
      </w:tr>
      <w:tr w:rsidR="00253274" w:rsidTr="000C1879">
        <w:trPr>
          <w:trHeight w:val="113"/>
        </w:trPr>
        <w:tc>
          <w:tcPr>
            <w:tcW w:w="7592" w:type="dxa"/>
            <w:tcBorders>
              <w:top w:val="single" w:sz="2" w:space="0" w:color="auto"/>
              <w:left w:val="single" w:sz="2" w:space="0" w:color="auto"/>
              <w:bottom w:val="single" w:sz="2" w:space="0" w:color="auto"/>
              <w:right w:val="single" w:sz="2" w:space="0" w:color="auto"/>
            </w:tcBorders>
            <w:hideMark/>
          </w:tcPr>
          <w:p w:rsidR="000C1879" w:rsidRPr="005A7276" w:rsidRDefault="00BA7A7F">
            <w:pPr>
              <w:spacing w:before="60" w:after="60" w:line="240" w:lineRule="auto"/>
              <w:rPr>
                <w:rFonts w:cs="Calibri"/>
                <w:b/>
                <w:bdr w:val="none" w:sz="0" w:space="0" w:color="auto" w:frame="1"/>
                <w:lang w:val="x-none" w:eastAsia="x-none"/>
              </w:rPr>
            </w:pPr>
            <w:r w:rsidRPr="005A7276">
              <w:rPr>
                <w:rFonts w:cs="Calibri"/>
                <w:b/>
                <w:bdr w:val="none" w:sz="0" w:space="0" w:color="auto" w:frame="1"/>
                <w:lang w:val="x-none" w:eastAsia="x-none"/>
              </w:rPr>
              <w:t xml:space="preserve">Contribution to Outcome </w:t>
            </w:r>
            <w:r w:rsidRPr="005A7276">
              <w:rPr>
                <w:rFonts w:cs="Calibri"/>
                <w:b/>
                <w:bdr w:val="none" w:sz="0" w:space="0" w:color="auto" w:frame="1"/>
                <w:lang w:eastAsia="x-none"/>
              </w:rPr>
              <w:t>3</w:t>
            </w:r>
            <w:r w:rsidRPr="005A7276">
              <w:rPr>
                <w:rFonts w:cs="Calibri"/>
                <w:b/>
                <w:bdr w:val="none" w:sz="0" w:space="0" w:color="auto" w:frame="1"/>
                <w:lang w:val="x-none" w:eastAsia="x-none"/>
              </w:rPr>
              <w:t xml:space="preserve"> made by linked programs</w:t>
            </w:r>
          </w:p>
          <w:p w:rsidR="000C1879" w:rsidRPr="00774CF2" w:rsidRDefault="00BA7A7F">
            <w:pPr>
              <w:spacing w:before="60" w:after="60" w:line="240" w:lineRule="auto"/>
              <w:rPr>
                <w:rFonts w:cs="Calibri"/>
                <w:color w:val="FF0000"/>
                <w:bdr w:val="none" w:sz="0" w:space="0" w:color="auto" w:frame="1"/>
                <w:lang w:val="x-none" w:eastAsia="x-none"/>
              </w:rPr>
            </w:pPr>
            <w:r w:rsidRPr="005A7276">
              <w:rPr>
                <w:rFonts w:cs="Arial"/>
                <w:bdr w:val="none" w:sz="0" w:space="0" w:color="auto" w:frame="1"/>
                <w:lang w:val="x-none" w:eastAsia="x-none"/>
              </w:rPr>
              <w:t>The portfolio agencies’ programs contribute to supporting the affordable, reliable, secure and competitive operation</w:t>
            </w:r>
            <w:r>
              <w:rPr>
                <w:rFonts w:cs="Arial"/>
                <w:bdr w:val="none" w:sz="0" w:space="0" w:color="auto" w:frame="1"/>
                <w:lang w:val="x-none" w:eastAsia="x-none"/>
              </w:rPr>
              <w:t xml:space="preserve"> of energy markets for the long</w:t>
            </w:r>
            <w:r>
              <w:rPr>
                <w:rFonts w:cs="Arial"/>
                <w:bdr w:val="none" w:sz="0" w:space="0" w:color="auto" w:frame="1"/>
                <w:lang w:eastAsia="x-none"/>
              </w:rPr>
              <w:t>-</w:t>
            </w:r>
            <w:r w:rsidRPr="005A7276">
              <w:rPr>
                <w:rFonts w:cs="Arial"/>
                <w:bdr w:val="none" w:sz="0" w:space="0" w:color="auto" w:frame="1"/>
                <w:lang w:val="x-none" w:eastAsia="x-none"/>
              </w:rPr>
              <w:t>term benefit of the Australian community through improving Australia’s energy supply, efficiency, quality, performance and productivity.</w:t>
            </w:r>
          </w:p>
        </w:tc>
      </w:tr>
      <w:tr w:rsidR="00253274" w:rsidTr="000C1879">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rsidR="000C1879" w:rsidRPr="005A7276" w:rsidRDefault="00BA7A7F">
            <w:pPr>
              <w:spacing w:before="60" w:after="60" w:line="240" w:lineRule="auto"/>
              <w:jc w:val="left"/>
              <w:rPr>
                <w:rFonts w:cs="Calibri"/>
                <w:bdr w:val="none" w:sz="0" w:space="0" w:color="auto" w:frame="1"/>
              </w:rPr>
            </w:pPr>
            <w:r w:rsidRPr="005A7276">
              <w:rPr>
                <w:rFonts w:cs="Calibri"/>
                <w:b/>
                <w:bdr w:val="none" w:sz="0" w:space="0" w:color="auto" w:frame="1"/>
              </w:rPr>
              <w:t>Australian Competition and Consumer Commission</w:t>
            </w:r>
          </w:p>
        </w:tc>
      </w:tr>
      <w:tr w:rsidR="00253274" w:rsidTr="000C1879">
        <w:trPr>
          <w:trHeight w:val="113"/>
        </w:trPr>
        <w:tc>
          <w:tcPr>
            <w:tcW w:w="7592" w:type="dxa"/>
            <w:tcBorders>
              <w:top w:val="dotted" w:sz="4" w:space="0" w:color="auto"/>
              <w:left w:val="single" w:sz="4" w:space="0" w:color="auto"/>
              <w:bottom w:val="single" w:sz="4" w:space="0" w:color="auto"/>
              <w:right w:val="single" w:sz="4" w:space="0" w:color="auto"/>
            </w:tcBorders>
            <w:hideMark/>
          </w:tcPr>
          <w:p w:rsidR="000C1879" w:rsidRPr="005A7276" w:rsidRDefault="00BA7A7F">
            <w:pPr>
              <w:spacing w:before="60" w:after="60" w:line="240" w:lineRule="auto"/>
              <w:rPr>
                <w:rFonts w:cs="Calibri"/>
                <w:b/>
                <w:bdr w:val="none" w:sz="0" w:space="0" w:color="auto" w:frame="1"/>
              </w:rPr>
            </w:pPr>
            <w:r w:rsidRPr="005A7276">
              <w:rPr>
                <w:rFonts w:cs="Calibri"/>
                <w:b/>
                <w:bdr w:val="none" w:sz="0" w:space="0" w:color="auto" w:frame="1"/>
              </w:rPr>
              <w:t>Program</w:t>
            </w:r>
          </w:p>
          <w:p w:rsidR="000C1879" w:rsidRPr="005A7276" w:rsidRDefault="00BA7A7F" w:rsidP="000C1879">
            <w:pPr>
              <w:keepLines w:val="0"/>
              <w:numPr>
                <w:ilvl w:val="0"/>
                <w:numId w:val="25"/>
              </w:numPr>
              <w:spacing w:before="60" w:after="60" w:line="240" w:lineRule="auto"/>
              <w:ind w:left="720"/>
              <w:rPr>
                <w:rFonts w:cs="Calibri"/>
                <w:bdr w:val="none" w:sz="0" w:space="0" w:color="auto" w:frame="1"/>
              </w:rPr>
            </w:pPr>
            <w:r w:rsidRPr="005A7276">
              <w:rPr>
                <w:rFonts w:cs="Calibri"/>
                <w:bdr w:val="none" w:sz="0" w:space="0" w:color="auto" w:frame="1"/>
              </w:rPr>
              <w:t>Program 1.1 – Australian Competition and Consumer Commission</w:t>
            </w:r>
          </w:p>
          <w:p w:rsidR="000C1879" w:rsidRPr="005A7276" w:rsidRDefault="00BA7A7F" w:rsidP="000C1879">
            <w:pPr>
              <w:keepLines w:val="0"/>
              <w:numPr>
                <w:ilvl w:val="0"/>
                <w:numId w:val="25"/>
              </w:numPr>
              <w:spacing w:before="60" w:after="60" w:line="240" w:lineRule="auto"/>
              <w:ind w:left="720"/>
              <w:rPr>
                <w:rFonts w:cs="Calibri"/>
                <w:bdr w:val="none" w:sz="0" w:space="0" w:color="auto" w:frame="1"/>
              </w:rPr>
            </w:pPr>
            <w:r w:rsidRPr="005A7276">
              <w:rPr>
                <w:rFonts w:cs="Calibri"/>
                <w:bdr w:val="none" w:sz="0" w:space="0" w:color="auto" w:frame="1"/>
              </w:rPr>
              <w:t>Program 1.2 – Australian Energy Regulator</w:t>
            </w:r>
          </w:p>
        </w:tc>
      </w:tr>
      <w:tr w:rsidR="00253274" w:rsidTr="000C1879">
        <w:trPr>
          <w:trHeight w:val="113"/>
        </w:trPr>
        <w:tc>
          <w:tcPr>
            <w:tcW w:w="7592" w:type="dxa"/>
            <w:tcBorders>
              <w:top w:val="single" w:sz="4" w:space="0" w:color="auto"/>
              <w:left w:val="single" w:sz="4" w:space="0" w:color="auto"/>
              <w:bottom w:val="single" w:sz="4" w:space="0" w:color="auto"/>
              <w:right w:val="single" w:sz="4" w:space="0" w:color="auto"/>
            </w:tcBorders>
            <w:hideMark/>
          </w:tcPr>
          <w:p w:rsidR="000C1879" w:rsidRPr="005A7276" w:rsidRDefault="00BA7A7F">
            <w:pPr>
              <w:spacing w:before="60" w:after="60" w:line="240" w:lineRule="auto"/>
              <w:rPr>
                <w:rFonts w:cs="Calibri"/>
                <w:b/>
                <w:bdr w:val="none" w:sz="0" w:space="0" w:color="auto" w:frame="1"/>
              </w:rPr>
            </w:pPr>
            <w:r w:rsidRPr="005A7276">
              <w:rPr>
                <w:rFonts w:cs="Calibri"/>
                <w:b/>
                <w:bdr w:val="none" w:sz="0" w:space="0" w:color="auto" w:frame="1"/>
              </w:rPr>
              <w:t>Contribution to Outcome 3 made by linked programs</w:t>
            </w:r>
          </w:p>
          <w:p w:rsidR="005A7276" w:rsidRPr="005A7276" w:rsidRDefault="00BA7A7F" w:rsidP="005A7276">
            <w:pPr>
              <w:spacing w:before="60" w:after="60" w:line="240" w:lineRule="auto"/>
              <w:rPr>
                <w:rFonts w:cs="Arial"/>
                <w:bdr w:val="none" w:sz="0" w:space="0" w:color="auto" w:frame="1"/>
              </w:rPr>
            </w:pPr>
            <w:r w:rsidRPr="005A7276">
              <w:rPr>
                <w:rFonts w:cs="Arial"/>
                <w:bdr w:val="none" w:sz="0" w:space="0" w:color="auto" w:frame="1"/>
              </w:rPr>
              <w:t>The Australian Competition and Consumer Commission (ACCC) contributes to affordable, reliable, secure and competitive operations of energy markets by monitoring electricity, gas and fuel prices though public reporting, and its authorisation process, which allowed energy companies to cooperate during the COVID-19 pandemic to maintain reliable supply. The ACCC and Australian Energy Regulator (AER) also work collaboratively with the department on the implementation and monitoring of energy market policy, including the Consumer Data Right, the Default Market Offer and Reference Price, and Big Stick Legislation.</w:t>
            </w:r>
          </w:p>
          <w:p w:rsidR="000C1879" w:rsidRPr="00774CF2" w:rsidRDefault="00BA7A7F" w:rsidP="005A7276">
            <w:pPr>
              <w:spacing w:before="60" w:after="60" w:line="240" w:lineRule="auto"/>
              <w:rPr>
                <w:rFonts w:cs="Calibri"/>
                <w:color w:val="FF0000"/>
              </w:rPr>
            </w:pPr>
            <w:r w:rsidRPr="005A7276">
              <w:rPr>
                <w:rFonts w:cs="Arial"/>
                <w:bdr w:val="none" w:sz="0" w:space="0" w:color="auto" w:frame="1"/>
              </w:rPr>
              <w:t>The department works collaboratively with the AER to promote efficient investment, operation and use of energy infrastructure and services for the long-term interests of consumers. This includes through the development and maintenance of consumer services such as the Australian Government’s Energy Made Easy price comparator website. The department facilitates the work streams of the Energy National Cabinet Reform Committee and the Energy Ministers’ Meetings in developing electricity, gas and retail rules which the AER is responsible for enforcing.</w:t>
            </w:r>
          </w:p>
        </w:tc>
      </w:tr>
      <w:tr w:rsidR="00253274" w:rsidTr="000C1879">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rsidR="000C1879" w:rsidRPr="005A7276" w:rsidRDefault="00BA7A7F">
            <w:pPr>
              <w:spacing w:before="60" w:after="60" w:line="240" w:lineRule="auto"/>
              <w:jc w:val="left"/>
              <w:rPr>
                <w:rFonts w:cs="Calibri"/>
                <w:bdr w:val="none" w:sz="0" w:space="0" w:color="auto" w:frame="1"/>
              </w:rPr>
            </w:pPr>
            <w:r w:rsidRPr="005A7276">
              <w:rPr>
                <w:rFonts w:cs="Calibri"/>
                <w:b/>
                <w:bdr w:val="none" w:sz="0" w:space="0" w:color="auto" w:frame="1"/>
              </w:rPr>
              <w:t>Department of Foreign Affairs and Trade</w:t>
            </w:r>
          </w:p>
        </w:tc>
      </w:tr>
      <w:tr w:rsidR="00253274" w:rsidTr="000C1879">
        <w:trPr>
          <w:trHeight w:val="113"/>
        </w:trPr>
        <w:tc>
          <w:tcPr>
            <w:tcW w:w="7592" w:type="dxa"/>
            <w:tcBorders>
              <w:top w:val="dotted" w:sz="4" w:space="0" w:color="auto"/>
              <w:left w:val="single" w:sz="4" w:space="0" w:color="auto"/>
              <w:bottom w:val="single" w:sz="4" w:space="0" w:color="auto"/>
              <w:right w:val="single" w:sz="4" w:space="0" w:color="auto"/>
            </w:tcBorders>
            <w:hideMark/>
          </w:tcPr>
          <w:p w:rsidR="000C1879" w:rsidRPr="005A7276" w:rsidRDefault="00BA7A7F">
            <w:pPr>
              <w:spacing w:before="60" w:after="60" w:line="240" w:lineRule="auto"/>
              <w:rPr>
                <w:rFonts w:cs="Calibri"/>
                <w:b/>
                <w:bdr w:val="none" w:sz="0" w:space="0" w:color="auto" w:frame="1"/>
              </w:rPr>
            </w:pPr>
            <w:r w:rsidRPr="005A7276">
              <w:rPr>
                <w:rFonts w:cs="Calibri"/>
                <w:b/>
                <w:bdr w:val="none" w:sz="0" w:space="0" w:color="auto" w:frame="1"/>
              </w:rPr>
              <w:t>Program</w:t>
            </w:r>
          </w:p>
          <w:p w:rsidR="000C1879" w:rsidRPr="005A7276" w:rsidRDefault="00BA7A7F" w:rsidP="000C1879">
            <w:pPr>
              <w:keepLines w:val="0"/>
              <w:numPr>
                <w:ilvl w:val="0"/>
                <w:numId w:val="25"/>
              </w:numPr>
              <w:spacing w:before="60" w:after="60" w:line="240" w:lineRule="auto"/>
              <w:ind w:left="720"/>
              <w:rPr>
                <w:rFonts w:cs="Calibri"/>
                <w:bdr w:val="none" w:sz="0" w:space="0" w:color="auto" w:frame="1"/>
              </w:rPr>
            </w:pPr>
            <w:r w:rsidRPr="005A7276">
              <w:rPr>
                <w:rFonts w:cs="Calibri"/>
                <w:bdr w:val="none" w:sz="0" w:space="0" w:color="auto" w:frame="1"/>
              </w:rPr>
              <w:t>Program 1.1 – Foreign Affairs and Trade Operations</w:t>
            </w:r>
          </w:p>
        </w:tc>
      </w:tr>
      <w:tr w:rsidR="00253274" w:rsidTr="000C1879">
        <w:trPr>
          <w:trHeight w:val="113"/>
        </w:trPr>
        <w:tc>
          <w:tcPr>
            <w:tcW w:w="7592" w:type="dxa"/>
            <w:tcBorders>
              <w:top w:val="single" w:sz="4" w:space="0" w:color="auto"/>
              <w:left w:val="single" w:sz="4" w:space="0" w:color="auto"/>
              <w:bottom w:val="single" w:sz="4" w:space="0" w:color="auto"/>
              <w:right w:val="single" w:sz="4" w:space="0" w:color="auto"/>
            </w:tcBorders>
            <w:hideMark/>
          </w:tcPr>
          <w:p w:rsidR="000C1879" w:rsidRPr="005A7276" w:rsidRDefault="00BA7A7F">
            <w:pPr>
              <w:spacing w:before="60" w:after="60" w:line="240" w:lineRule="auto"/>
              <w:rPr>
                <w:rFonts w:cs="Calibri"/>
                <w:b/>
                <w:bdr w:val="none" w:sz="0" w:space="0" w:color="auto" w:frame="1"/>
              </w:rPr>
            </w:pPr>
            <w:r w:rsidRPr="005A7276">
              <w:rPr>
                <w:rFonts w:cs="Calibri"/>
                <w:b/>
                <w:bdr w:val="none" w:sz="0" w:space="0" w:color="auto" w:frame="1"/>
              </w:rPr>
              <w:t>Contribution to Outcome 3 made by linked programs</w:t>
            </w:r>
          </w:p>
          <w:p w:rsidR="000C1879" w:rsidRPr="005A7276" w:rsidRDefault="00BA7A7F">
            <w:pPr>
              <w:spacing w:before="60" w:after="60" w:line="240" w:lineRule="auto"/>
              <w:rPr>
                <w:rFonts w:cs="Calibri"/>
                <w:bdr w:val="none" w:sz="0" w:space="0" w:color="auto" w:frame="1"/>
              </w:rPr>
            </w:pPr>
            <w:r w:rsidRPr="005A7276">
              <w:rPr>
                <w:rFonts w:cs="Calibri"/>
                <w:bdr w:val="none" w:sz="0" w:space="0" w:color="auto" w:frame="1"/>
              </w:rPr>
              <w:t>The Department of Foreign Affairs and Trade (DFAT) provides diplomatic support to the department on matters relating to compliance with the International Energy Agency treaty. DFAT and the department also collaborate on promotion of Australian expertise in energy market regulation and operation.</w:t>
            </w:r>
          </w:p>
        </w:tc>
      </w:tr>
      <w:tr w:rsidR="00253274" w:rsidTr="000C1879">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rsidR="000C1879" w:rsidRPr="005A7276" w:rsidRDefault="00BA7A7F">
            <w:pPr>
              <w:spacing w:before="60" w:after="60" w:line="240" w:lineRule="auto"/>
              <w:jc w:val="left"/>
              <w:rPr>
                <w:rFonts w:cs="Calibri"/>
                <w:bdr w:val="none" w:sz="0" w:space="0" w:color="auto" w:frame="1"/>
              </w:rPr>
            </w:pPr>
            <w:r w:rsidRPr="005A7276">
              <w:rPr>
                <w:rFonts w:cs="Calibri"/>
                <w:b/>
                <w:bdr w:val="none" w:sz="0" w:space="0" w:color="auto" w:frame="1"/>
              </w:rPr>
              <w:t>Department of Home Affairs</w:t>
            </w:r>
          </w:p>
        </w:tc>
      </w:tr>
      <w:tr w:rsidR="00253274" w:rsidTr="000C1879">
        <w:trPr>
          <w:trHeight w:val="113"/>
        </w:trPr>
        <w:tc>
          <w:tcPr>
            <w:tcW w:w="7592" w:type="dxa"/>
            <w:tcBorders>
              <w:top w:val="dotted" w:sz="4" w:space="0" w:color="auto"/>
              <w:left w:val="single" w:sz="4" w:space="0" w:color="auto"/>
              <w:bottom w:val="single" w:sz="4" w:space="0" w:color="auto"/>
              <w:right w:val="single" w:sz="4" w:space="0" w:color="auto"/>
            </w:tcBorders>
            <w:hideMark/>
          </w:tcPr>
          <w:p w:rsidR="000C1879" w:rsidRPr="005A7276" w:rsidRDefault="00BA7A7F">
            <w:pPr>
              <w:spacing w:before="60" w:after="60" w:line="240" w:lineRule="auto"/>
              <w:rPr>
                <w:rFonts w:cs="Calibri"/>
                <w:b/>
                <w:bdr w:val="none" w:sz="0" w:space="0" w:color="auto" w:frame="1"/>
              </w:rPr>
            </w:pPr>
            <w:r w:rsidRPr="005A7276">
              <w:rPr>
                <w:rFonts w:cs="Calibri"/>
                <w:b/>
                <w:bdr w:val="none" w:sz="0" w:space="0" w:color="auto" w:frame="1"/>
              </w:rPr>
              <w:t>Programs</w:t>
            </w:r>
          </w:p>
          <w:p w:rsidR="000C1879" w:rsidRPr="005A7276" w:rsidRDefault="00BA7A7F" w:rsidP="000C1879">
            <w:pPr>
              <w:keepLines w:val="0"/>
              <w:numPr>
                <w:ilvl w:val="0"/>
                <w:numId w:val="25"/>
              </w:numPr>
              <w:spacing w:before="60" w:after="60" w:line="240" w:lineRule="auto"/>
              <w:ind w:left="720"/>
              <w:rPr>
                <w:rFonts w:cs="Calibri"/>
                <w:bdr w:val="none" w:sz="0" w:space="0" w:color="auto" w:frame="1"/>
              </w:rPr>
            </w:pPr>
            <w:r w:rsidRPr="005A7276">
              <w:rPr>
                <w:rFonts w:cs="Calibri"/>
                <w:bdr w:val="none" w:sz="0" w:space="0" w:color="auto" w:frame="1"/>
              </w:rPr>
              <w:t xml:space="preserve">Program 1.2 – National Security and Criminal Justice </w:t>
            </w:r>
          </w:p>
          <w:p w:rsidR="000C1879" w:rsidRPr="005A7276" w:rsidRDefault="00BA7A7F" w:rsidP="000C1879">
            <w:pPr>
              <w:keepLines w:val="0"/>
              <w:numPr>
                <w:ilvl w:val="0"/>
                <w:numId w:val="25"/>
              </w:numPr>
              <w:spacing w:before="60" w:after="60" w:line="240" w:lineRule="auto"/>
              <w:ind w:left="720"/>
              <w:rPr>
                <w:rFonts w:cs="Calibri"/>
                <w:bdr w:val="none" w:sz="0" w:space="0" w:color="auto" w:frame="1"/>
              </w:rPr>
            </w:pPr>
            <w:r w:rsidRPr="005A7276">
              <w:rPr>
                <w:rFonts w:cs="Calibri"/>
                <w:bdr w:val="none" w:sz="0" w:space="0" w:color="auto" w:frame="1"/>
              </w:rPr>
              <w:t>Program 3.2 – Border Management</w:t>
            </w:r>
          </w:p>
        </w:tc>
      </w:tr>
      <w:tr w:rsidR="00253274" w:rsidTr="000C1879">
        <w:trPr>
          <w:trHeight w:val="113"/>
        </w:trPr>
        <w:tc>
          <w:tcPr>
            <w:tcW w:w="7592" w:type="dxa"/>
            <w:tcBorders>
              <w:top w:val="single" w:sz="4" w:space="0" w:color="auto"/>
              <w:left w:val="single" w:sz="4" w:space="0" w:color="auto"/>
              <w:bottom w:val="single" w:sz="4" w:space="0" w:color="auto"/>
              <w:right w:val="single" w:sz="4" w:space="0" w:color="auto"/>
            </w:tcBorders>
            <w:hideMark/>
          </w:tcPr>
          <w:p w:rsidR="000C1879" w:rsidRPr="005A7276" w:rsidRDefault="00BA7A7F">
            <w:pPr>
              <w:spacing w:before="60" w:after="60" w:line="240" w:lineRule="auto"/>
              <w:rPr>
                <w:rFonts w:cs="Calibri"/>
                <w:b/>
                <w:bdr w:val="none" w:sz="0" w:space="0" w:color="auto" w:frame="1"/>
              </w:rPr>
            </w:pPr>
            <w:r w:rsidRPr="005A7276">
              <w:rPr>
                <w:rFonts w:cs="Calibri"/>
                <w:b/>
                <w:bdr w:val="none" w:sz="0" w:space="0" w:color="auto" w:frame="1"/>
              </w:rPr>
              <w:t>Contribution to Outcome 3 made by linked programs</w:t>
            </w:r>
          </w:p>
          <w:p w:rsidR="000C1879" w:rsidRPr="005A7276" w:rsidRDefault="00BA7A7F">
            <w:pPr>
              <w:spacing w:before="60" w:after="60" w:line="240" w:lineRule="auto"/>
              <w:rPr>
                <w:rFonts w:cs="Calibri"/>
                <w:bdr w:val="none" w:sz="0" w:space="0" w:color="auto" w:frame="1"/>
              </w:rPr>
            </w:pPr>
            <w:r w:rsidRPr="005A7276">
              <w:rPr>
                <w:rFonts w:cs="Arial"/>
                <w:bdr w:val="none" w:sz="0" w:space="0" w:color="auto" w:frame="1"/>
              </w:rPr>
              <w:t>The Department of Home Affairs and the department work collaboratively on the operation of energy markets through the implementation and enforcement of the Australian Domestic Gas Security Mechanism. The Department of Home Affairs helps manage risks to Australia’s critical energy infrastructure by administering critical infrastructure security legislation, and by engaging with critical infrastructure owners and operators on security issues.</w:t>
            </w:r>
          </w:p>
        </w:tc>
      </w:tr>
      <w:tr w:rsidR="00253274" w:rsidTr="000C1879">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rsidR="000C1879" w:rsidRPr="005A7276" w:rsidRDefault="00BA7A7F">
            <w:pPr>
              <w:spacing w:before="60" w:after="60" w:line="240" w:lineRule="auto"/>
              <w:jc w:val="left"/>
              <w:rPr>
                <w:rFonts w:cs="Calibri"/>
                <w:bdr w:val="none" w:sz="0" w:space="0" w:color="auto" w:frame="1"/>
              </w:rPr>
            </w:pPr>
            <w:r w:rsidRPr="005A7276">
              <w:rPr>
                <w:rFonts w:cs="Calibri"/>
                <w:b/>
                <w:bdr w:val="none" w:sz="0" w:space="0" w:color="auto" w:frame="1"/>
              </w:rPr>
              <w:t>Department of Infrastructure, Transport, Regional Development and Communications</w:t>
            </w:r>
          </w:p>
        </w:tc>
      </w:tr>
      <w:tr w:rsidR="00253274" w:rsidTr="000C1879">
        <w:trPr>
          <w:trHeight w:val="113"/>
        </w:trPr>
        <w:tc>
          <w:tcPr>
            <w:tcW w:w="7592" w:type="dxa"/>
            <w:tcBorders>
              <w:top w:val="dotted" w:sz="4" w:space="0" w:color="auto"/>
              <w:left w:val="single" w:sz="4" w:space="0" w:color="auto"/>
              <w:bottom w:val="single" w:sz="4" w:space="0" w:color="auto"/>
              <w:right w:val="single" w:sz="4" w:space="0" w:color="auto"/>
            </w:tcBorders>
            <w:hideMark/>
          </w:tcPr>
          <w:p w:rsidR="000C1879" w:rsidRPr="005A7276" w:rsidRDefault="00BA7A7F">
            <w:pPr>
              <w:spacing w:before="60" w:after="60" w:line="240" w:lineRule="auto"/>
              <w:rPr>
                <w:rFonts w:cs="Calibri"/>
                <w:b/>
                <w:bdr w:val="none" w:sz="0" w:space="0" w:color="auto" w:frame="1"/>
              </w:rPr>
            </w:pPr>
            <w:r w:rsidRPr="005A7276">
              <w:rPr>
                <w:rFonts w:cs="Calibri"/>
                <w:b/>
                <w:bdr w:val="none" w:sz="0" w:space="0" w:color="auto" w:frame="1"/>
              </w:rPr>
              <w:t>Program</w:t>
            </w:r>
          </w:p>
          <w:p w:rsidR="000C1879" w:rsidRPr="005A7276" w:rsidRDefault="00BA7A7F" w:rsidP="000C1879">
            <w:pPr>
              <w:keepLines w:val="0"/>
              <w:numPr>
                <w:ilvl w:val="0"/>
                <w:numId w:val="25"/>
              </w:numPr>
              <w:spacing w:before="60" w:after="60" w:line="240" w:lineRule="auto"/>
              <w:ind w:left="720"/>
              <w:rPr>
                <w:rFonts w:cs="Calibri"/>
                <w:bdr w:val="none" w:sz="0" w:space="0" w:color="auto" w:frame="1"/>
              </w:rPr>
            </w:pPr>
            <w:r w:rsidRPr="005A7276">
              <w:rPr>
                <w:rFonts w:cs="Calibri"/>
                <w:bdr w:val="none" w:sz="0" w:space="0" w:color="auto" w:frame="1"/>
              </w:rPr>
              <w:t>Program 3.1 – Regional Development</w:t>
            </w:r>
          </w:p>
        </w:tc>
      </w:tr>
      <w:tr w:rsidR="00253274" w:rsidTr="000C1879">
        <w:trPr>
          <w:trHeight w:val="113"/>
        </w:trPr>
        <w:tc>
          <w:tcPr>
            <w:tcW w:w="7592" w:type="dxa"/>
            <w:tcBorders>
              <w:top w:val="single" w:sz="4" w:space="0" w:color="auto"/>
              <w:left w:val="single" w:sz="4" w:space="0" w:color="auto"/>
              <w:bottom w:val="single" w:sz="4" w:space="0" w:color="auto"/>
              <w:right w:val="single" w:sz="4" w:space="0" w:color="auto"/>
            </w:tcBorders>
            <w:hideMark/>
          </w:tcPr>
          <w:p w:rsidR="000C1879" w:rsidRPr="005A7276" w:rsidRDefault="00BA7A7F">
            <w:pPr>
              <w:spacing w:before="60" w:after="60" w:line="240" w:lineRule="auto"/>
              <w:rPr>
                <w:rFonts w:cs="Calibri"/>
                <w:b/>
                <w:bdr w:val="none" w:sz="0" w:space="0" w:color="auto" w:frame="1"/>
              </w:rPr>
            </w:pPr>
            <w:r w:rsidRPr="005A7276">
              <w:rPr>
                <w:rFonts w:cs="Calibri"/>
                <w:b/>
                <w:bdr w:val="none" w:sz="0" w:space="0" w:color="auto" w:frame="1"/>
              </w:rPr>
              <w:t>Contribution to Outcome 3 made by linked programs</w:t>
            </w:r>
          </w:p>
          <w:p w:rsidR="000C1879" w:rsidRPr="005A7276" w:rsidRDefault="00BA7A7F" w:rsidP="000C1879">
            <w:pPr>
              <w:spacing w:before="60" w:after="60" w:line="240" w:lineRule="auto"/>
              <w:rPr>
                <w:rFonts w:cs="Calibri"/>
                <w:bdr w:val="none" w:sz="0" w:space="0" w:color="auto" w:frame="1"/>
              </w:rPr>
            </w:pPr>
            <w:r w:rsidRPr="005A7276">
              <w:rPr>
                <w:rFonts w:cs="Arial"/>
                <w:bdr w:val="none" w:sz="0" w:space="0" w:color="auto" w:frame="1"/>
              </w:rPr>
              <w:t>The department works collaboratively with the Department of Infrastructure, Transport, Regional Development and Communications to ensure that accelerated gas exploration and development in the Beetaloo sub-basin in the Northern Territory includes economic opportunities for local Indigenous communities and local businesses.</w:t>
            </w:r>
          </w:p>
        </w:tc>
      </w:tr>
      <w:tr w:rsidR="00253274" w:rsidTr="000C1879">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rsidR="000C1879" w:rsidRPr="005A7276" w:rsidRDefault="00BA7A7F">
            <w:pPr>
              <w:spacing w:before="60" w:after="60" w:line="240" w:lineRule="auto"/>
              <w:jc w:val="left"/>
              <w:rPr>
                <w:rFonts w:cs="Calibri"/>
                <w:bdr w:val="none" w:sz="0" w:space="0" w:color="auto" w:frame="1"/>
              </w:rPr>
            </w:pPr>
            <w:r w:rsidRPr="005A7276">
              <w:rPr>
                <w:bdr w:val="none" w:sz="0" w:space="0" w:color="auto" w:frame="1"/>
              </w:rPr>
              <w:br w:type="page"/>
            </w:r>
            <w:r w:rsidRPr="005A7276">
              <w:rPr>
                <w:rFonts w:cs="Calibri"/>
                <w:b/>
                <w:bdr w:val="none" w:sz="0" w:space="0" w:color="auto" w:frame="1"/>
              </w:rPr>
              <w:t>Department of the Treasury</w:t>
            </w:r>
          </w:p>
        </w:tc>
      </w:tr>
      <w:tr w:rsidR="00253274" w:rsidTr="000C1879">
        <w:trPr>
          <w:trHeight w:val="113"/>
        </w:trPr>
        <w:tc>
          <w:tcPr>
            <w:tcW w:w="7592" w:type="dxa"/>
            <w:tcBorders>
              <w:top w:val="dotted" w:sz="4" w:space="0" w:color="auto"/>
              <w:left w:val="single" w:sz="4" w:space="0" w:color="auto"/>
              <w:bottom w:val="single" w:sz="4" w:space="0" w:color="auto"/>
              <w:right w:val="single" w:sz="4" w:space="0" w:color="auto"/>
            </w:tcBorders>
            <w:hideMark/>
          </w:tcPr>
          <w:p w:rsidR="000C1879" w:rsidRPr="005A7276" w:rsidRDefault="00BA7A7F">
            <w:pPr>
              <w:spacing w:before="60" w:after="60" w:line="240" w:lineRule="auto"/>
              <w:rPr>
                <w:rFonts w:cs="Calibri"/>
                <w:b/>
                <w:bdr w:val="none" w:sz="0" w:space="0" w:color="auto" w:frame="1"/>
              </w:rPr>
            </w:pPr>
            <w:r w:rsidRPr="005A7276">
              <w:rPr>
                <w:rFonts w:cs="Calibri"/>
                <w:b/>
                <w:bdr w:val="none" w:sz="0" w:space="0" w:color="auto" w:frame="1"/>
              </w:rPr>
              <w:t>Program</w:t>
            </w:r>
          </w:p>
          <w:p w:rsidR="000C1879" w:rsidRPr="005A7276" w:rsidRDefault="00BA7A7F" w:rsidP="000C1879">
            <w:pPr>
              <w:keepLines w:val="0"/>
              <w:numPr>
                <w:ilvl w:val="0"/>
                <w:numId w:val="25"/>
              </w:numPr>
              <w:spacing w:before="60" w:after="60" w:line="240" w:lineRule="auto"/>
              <w:ind w:left="720"/>
              <w:rPr>
                <w:rFonts w:cs="Calibri"/>
                <w:bdr w:val="none" w:sz="0" w:space="0" w:color="auto" w:frame="1"/>
              </w:rPr>
            </w:pPr>
            <w:r w:rsidRPr="005A7276">
              <w:rPr>
                <w:rFonts w:cs="Calibri"/>
                <w:bdr w:val="none" w:sz="0" w:space="0" w:color="auto" w:frame="1"/>
              </w:rPr>
              <w:t>Program 1.1 – Department of the Treasury</w:t>
            </w:r>
          </w:p>
        </w:tc>
      </w:tr>
      <w:tr w:rsidR="00253274" w:rsidTr="000C1879">
        <w:trPr>
          <w:trHeight w:val="113"/>
        </w:trPr>
        <w:tc>
          <w:tcPr>
            <w:tcW w:w="7592" w:type="dxa"/>
            <w:tcBorders>
              <w:top w:val="single" w:sz="4" w:space="0" w:color="auto"/>
              <w:left w:val="single" w:sz="4" w:space="0" w:color="auto"/>
              <w:bottom w:val="single" w:sz="4" w:space="0" w:color="auto"/>
              <w:right w:val="single" w:sz="4" w:space="0" w:color="auto"/>
            </w:tcBorders>
            <w:hideMark/>
          </w:tcPr>
          <w:p w:rsidR="000C1879" w:rsidRPr="005A7276" w:rsidRDefault="00BA7A7F">
            <w:pPr>
              <w:spacing w:before="60" w:after="60" w:line="240" w:lineRule="auto"/>
              <w:rPr>
                <w:rFonts w:cs="Calibri"/>
                <w:b/>
                <w:bdr w:val="none" w:sz="0" w:space="0" w:color="auto" w:frame="1"/>
              </w:rPr>
            </w:pPr>
            <w:r w:rsidRPr="005A7276">
              <w:rPr>
                <w:rFonts w:cs="Calibri"/>
                <w:b/>
                <w:bdr w:val="none" w:sz="0" w:space="0" w:color="auto" w:frame="1"/>
              </w:rPr>
              <w:t>Contribution to Outcome 3 made by linked programs</w:t>
            </w:r>
          </w:p>
          <w:p w:rsidR="000C1879" w:rsidRPr="005A7276" w:rsidRDefault="00BA7A7F" w:rsidP="000C1879">
            <w:pPr>
              <w:spacing w:before="60" w:after="60" w:line="240" w:lineRule="auto"/>
              <w:rPr>
                <w:rFonts w:cs="Calibri"/>
                <w:bdr w:val="none" w:sz="0" w:space="0" w:color="auto" w:frame="1"/>
              </w:rPr>
            </w:pPr>
            <w:r w:rsidRPr="005A7276">
              <w:rPr>
                <w:rFonts w:cs="Arial"/>
                <w:bdr w:val="none" w:sz="0" w:space="0" w:color="auto" w:frame="1"/>
              </w:rPr>
              <w:t>In response to the Productivity Commission’s Inquiry into Data Availability and Use, the Department of the Treasury (Treasury) supports the operations of energy markets through the development and implementation of a consumer data right, creating legal and governance frameworks to support consumer access to energy data, which will promote new energy services, competition and innovation. Treasury also supports the ongoing implementation of Commonwealth energy market policies, including the Default Market Offer and Big Stick Legislation.</w:t>
            </w:r>
          </w:p>
        </w:tc>
      </w:tr>
    </w:tbl>
    <w:p w:rsidR="00FE7C58" w:rsidRPr="00202825" w:rsidRDefault="00FE7C58" w:rsidP="00202825">
      <w:pPr>
        <w:rPr>
          <w:color w:val="FF0000"/>
        </w:rPr>
      </w:pPr>
    </w:p>
    <w:p w:rsidR="00FE7C58" w:rsidRPr="000C1879" w:rsidRDefault="00FE7C58">
      <w:pPr>
        <w:keepLines w:val="0"/>
        <w:spacing w:after="200" w:line="276" w:lineRule="auto"/>
        <w:jc w:val="left"/>
        <w:rPr>
          <w:rFonts w:ascii="Arial" w:hAnsi="Arial"/>
          <w:b/>
          <w:bCs/>
          <w:iCs/>
          <w:vanish/>
          <w:szCs w:val="26"/>
        </w:rPr>
      </w:pPr>
    </w:p>
    <w:p w:rsidR="006F1FDB" w:rsidRDefault="00BA7A7F" w:rsidP="006F1FDB">
      <w:pPr>
        <w:pStyle w:val="Heading5"/>
        <w:keepNext w:val="0"/>
        <w:pageBreakBefore/>
        <w:spacing w:before="0" w:after="120"/>
        <w:rPr>
          <w:color w:val="auto"/>
        </w:rPr>
      </w:pPr>
      <w:bookmarkStart w:id="163" w:name="RG_MARKER_12326"/>
      <w:r>
        <w:rPr>
          <w:rFonts w:ascii="Arial" w:hAnsi="Arial"/>
          <w:b/>
          <w:bCs/>
          <w:iCs/>
          <w:color w:val="auto"/>
          <w:szCs w:val="26"/>
        </w:rPr>
        <w:t>Budgeted expenses for Outcome 3</w:t>
      </w:r>
      <w:bookmarkEnd w:id="163"/>
    </w:p>
    <w:p w:rsidR="006F1FDB" w:rsidRDefault="00BA7A7F" w:rsidP="006F1FDB">
      <w:pPr>
        <w:rPr>
          <w:rFonts w:ascii="Arial" w:hAnsi="Arial" w:cs="Arial"/>
          <w:b/>
        </w:rPr>
      </w:pPr>
      <w:r>
        <w:t xml:space="preserve">This table shows how much the entity intends to spend (on an accrual basis) on achieving the outcome, broken down by program, as well as by Administered and Departmental funding sources. </w:t>
      </w:r>
    </w:p>
    <w:p w:rsidR="006F1FDB" w:rsidRDefault="00BA7A7F" w:rsidP="00424373">
      <w:pPr>
        <w:pStyle w:val="TableHeading"/>
        <w:keepLines/>
        <w:spacing w:before="0"/>
        <w:rPr>
          <w:rFonts w:cs="Arial"/>
        </w:rPr>
      </w:pPr>
      <w:r>
        <w:rPr>
          <w:rFonts w:cs="Arial"/>
        </w:rPr>
        <w:t>Table 2.3.1: Budgeted expenses for Outcome 3</w:t>
      </w:r>
    </w:p>
    <w:tbl>
      <w:tblPr>
        <w:tblStyle w:val="CDMRange1"/>
        <w:tblW w:w="7770" w:type="dxa"/>
        <w:tblLayout w:type="fixed"/>
        <w:tblLook w:val="0600" w:firstRow="0" w:lastRow="0" w:firstColumn="0" w:lastColumn="0" w:noHBand="1" w:noVBand="1"/>
      </w:tblPr>
      <w:tblGrid>
        <w:gridCol w:w="2895"/>
        <w:gridCol w:w="975"/>
        <w:gridCol w:w="975"/>
        <w:gridCol w:w="975"/>
        <w:gridCol w:w="975"/>
        <w:gridCol w:w="975"/>
      </w:tblGrid>
      <w:tr w:rsidR="00253274">
        <w:trPr>
          <w:trHeight w:hRule="exact" w:val="222"/>
        </w:trPr>
        <w:tc>
          <w:tcPr>
            <w:tcW w:w="28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89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89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DADADA"/>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8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DADADA"/>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70" w:type="dxa"/>
            <w:gridSpan w:val="6"/>
            <w:tcBorders>
              <w:top w:val="single" w:sz="4" w:space="0" w:color="000000"/>
              <w:left w:val="nil"/>
              <w:bottom w:val="single" w:sz="4" w:space="0" w:color="000000"/>
              <w:right w:val="nil"/>
              <w:tl2br w:val="nil"/>
              <w:tr2bl w:val="nil"/>
            </w:tcBorders>
            <w:shd w:val="clear" w:color="FFFFFF" w:fill="DADADA"/>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Program 3.1: Supporting reliable, secure and affordable energy</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89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2895" w:type="dxa"/>
            <w:tcBorders>
              <w:top w:val="nil"/>
              <w:left w:val="nil"/>
              <w:bottom w:val="nil"/>
              <w:right w:val="nil"/>
              <w:tl2br w:val="nil"/>
              <w:tr2bl w:val="nil"/>
            </w:tcBorders>
            <w:shd w:val="clear" w:color="auto" w:fill="auto"/>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975" w:type="dxa"/>
            <w:tcBorders>
              <w:top w:val="nil"/>
              <w:left w:val="nil"/>
              <w:bottom w:val="nil"/>
              <w:right w:val="nil"/>
              <w:tl2br w:val="nil"/>
              <w:tr2bl w:val="nil"/>
            </w:tcBorders>
            <w:shd w:val="clear" w:color="auto" w:fill="auto"/>
            <w:tcMar>
              <w:left w:w="135" w:type="dxa"/>
              <w:right w:w="0" w:type="dxa"/>
            </w:tcMa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DADADA"/>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Boosting Australia's Fuel Security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80,000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75,000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Business Energy Advice Program</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3,671</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Consumer Data Right in the Energy Sector</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5,373</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Contribution to the International Energy Agency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Energy and Emissions Reduction – Further Investment in Affordable and Reliable Power</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55,170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Energy Efficiency Programs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Energy Efficient Communities Program</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20,928</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Energy Use Data Model for Better Forecasting</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2,853</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Establish a Renewable Microgrid Incorporating Hydrogen in the Daintree Community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750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16,200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Funding for Refinery Upgrades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39,000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73,000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120,000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Further Support for CopperString 2.0 Project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GEMS National Legislative Framework</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5,832</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5,832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Hotel Energy Uplift Program</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9,941</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Hydrogen Ready Gas Infrastructure Program</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11,700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Improving Cyber Security in the Energy Sector</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International Energy Agency Compliance - Collective Action Response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Micro-grids - Regional and Remote Communities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22,605</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8,202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Portland Aluminium Smelter Program</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19,200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19,200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19,200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19,200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95" w:type="dxa"/>
            <w:tcBorders>
              <w:top w:val="nil"/>
              <w:left w:val="nil"/>
              <w:bottom w:val="nil"/>
              <w:right w:val="nil"/>
              <w:tl2br w:val="nil"/>
              <w:tr2bl w:val="nil"/>
            </w:tcBorders>
            <w:shd w:val="clear" w:color="auto" w:fill="auto"/>
            <w:noWrap/>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Powering Communities Program</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10,228</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95" w:type="dxa"/>
            <w:tcBorders>
              <w:top w:val="nil"/>
              <w:left w:val="nil"/>
              <w:bottom w:val="single" w:sz="4" w:space="0" w:color="000000"/>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Supporting Reliable Energy Infrastructure</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4,077</w:t>
            </w:r>
          </w:p>
        </w:tc>
        <w:tc>
          <w:tcPr>
            <w:tcW w:w="97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bl>
    <w:p w:rsidR="006F1FDB" w:rsidRDefault="00BA7A7F" w:rsidP="00424373">
      <w:pPr>
        <w:pStyle w:val="TableHeading"/>
        <w:keepLines/>
        <w:pageBreakBefore/>
        <w:spacing w:before="0"/>
        <w:rPr>
          <w:bdr w:val="none" w:sz="0" w:space="0" w:color="auto" w:frame="1"/>
        </w:rPr>
      </w:pPr>
      <w:r>
        <w:rPr>
          <w:bdr w:val="none" w:sz="0" w:space="0" w:color="auto" w:frame="1"/>
        </w:rPr>
        <w:t>Table 2.3.1: Budgeted expenses for Outcome 3 (continued)</w:t>
      </w:r>
    </w:p>
    <w:tbl>
      <w:tblPr>
        <w:tblStyle w:val="CDMRange2"/>
        <w:tblW w:w="7770" w:type="dxa"/>
        <w:tblLayout w:type="fixed"/>
        <w:tblLook w:val="0600" w:firstRow="0" w:lastRow="0" w:firstColumn="0" w:lastColumn="0" w:noHBand="1" w:noVBand="1"/>
      </w:tblPr>
      <w:tblGrid>
        <w:gridCol w:w="2895"/>
        <w:gridCol w:w="975"/>
        <w:gridCol w:w="975"/>
        <w:gridCol w:w="975"/>
        <w:gridCol w:w="975"/>
        <w:gridCol w:w="975"/>
      </w:tblGrid>
      <w:tr w:rsidR="00253274">
        <w:trPr>
          <w:trHeight w:hRule="exact" w:val="195"/>
        </w:trPr>
        <w:tc>
          <w:tcPr>
            <w:tcW w:w="28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89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89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DADADA"/>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89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DADADA"/>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Supporting the Port Kembla Power Station</w:t>
            </w:r>
          </w:p>
        </w:tc>
        <w:tc>
          <w:tcPr>
            <w:tcW w:w="97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975" w:type="dxa"/>
            <w:tcBorders>
              <w:top w:val="single" w:sz="4" w:space="0" w:color="000000"/>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Temporary Refinery Production Payment Program</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41,494</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ordinary annual services</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292,772</w:t>
            </w:r>
          </w:p>
        </w:tc>
        <w:tc>
          <w:tcPr>
            <w:tcW w:w="97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290,224</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256,749</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95,652</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25,652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89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Interconnector Funding - delivering reliable and affordable energy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528</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International Energy Agency Compliance - Collective Action Response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9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not requiring appropriation in the budget year</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528</w:t>
            </w:r>
          </w:p>
        </w:tc>
        <w:tc>
          <w:tcPr>
            <w:tcW w:w="97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Fuel Security Service Payment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appropriations</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75" w:type="dxa"/>
            <w:tcBorders>
              <w:top w:val="nil"/>
              <w:left w:val="nil"/>
              <w:bottom w:val="single" w:sz="4" w:space="0" w:color="000000"/>
              <w:right w:val="nil"/>
              <w:tl2br w:val="nil"/>
              <w:tr2bl w:val="nil"/>
            </w:tcBorders>
            <w:shd w:val="clear" w:color="FFFFFF" w:fill="DADADA"/>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293,300</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290,224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256,749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95,652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25,652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101,306</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100,487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73,983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56,264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40,582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2,646</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9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1,544</w:t>
            </w:r>
          </w:p>
        </w:tc>
        <w:tc>
          <w:tcPr>
            <w:tcW w:w="97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2,357</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2,554</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2,914</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2,914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105,496</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103,047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76,537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59,178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43,496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398,796</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393,271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333,286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154,830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69,148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70" w:type="dxa"/>
            <w:gridSpan w:val="6"/>
            <w:tcBorders>
              <w:top w:val="single" w:sz="4" w:space="0" w:color="000000"/>
              <w:left w:val="nil"/>
              <w:bottom w:val="single" w:sz="4" w:space="0" w:color="000000"/>
              <w:right w:val="nil"/>
              <w:tl2br w:val="nil"/>
              <w:tr2bl w:val="nil"/>
            </w:tcBorders>
            <w:shd w:val="clear" w:color="FFFFFF" w:fill="DADADA"/>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Outcome 3 Totals by appropriation type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292,772</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290,224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256,749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95,652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25,652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FFFFFF" w:fill="DADADA"/>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9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528</w:t>
            </w:r>
          </w:p>
        </w:tc>
        <w:tc>
          <w:tcPr>
            <w:tcW w:w="97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293,300</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290,224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256,749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95,652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25,652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DADADA"/>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101,306</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100,487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73,983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56,264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40,582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2,646</w:t>
            </w:r>
          </w:p>
        </w:tc>
        <w:tc>
          <w:tcPr>
            <w:tcW w:w="975" w:type="dxa"/>
            <w:tcBorders>
              <w:top w:val="nil"/>
              <w:left w:val="nil"/>
              <w:bottom w:val="nil"/>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1,544</w:t>
            </w:r>
          </w:p>
        </w:tc>
        <w:tc>
          <w:tcPr>
            <w:tcW w:w="975" w:type="dxa"/>
            <w:tcBorders>
              <w:top w:val="nil"/>
              <w:left w:val="nil"/>
              <w:bottom w:val="single" w:sz="4" w:space="0" w:color="000000"/>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2,357</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2,554</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2,914</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2,914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105,496</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103,047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76,537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59,178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43,496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398,796</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393,271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333,286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154,830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69,148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5"/>
        </w:trPr>
        <w:tc>
          <w:tcPr>
            <w:tcW w:w="28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309</w:t>
            </w:r>
          </w:p>
        </w:tc>
        <w:tc>
          <w:tcPr>
            <w:tcW w:w="975" w:type="dxa"/>
            <w:tcBorders>
              <w:top w:val="single" w:sz="4" w:space="0" w:color="000000"/>
              <w:left w:val="nil"/>
              <w:bottom w:val="single" w:sz="4" w:space="0" w:color="000000"/>
              <w:right w:val="nil"/>
              <w:tl2br w:val="nil"/>
              <w:tr2bl w:val="nil"/>
            </w:tcBorders>
            <w:shd w:val="clear" w:color="FFFFFF" w:fill="DADAD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308</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bl>
    <w:p w:rsidR="00A207B6" w:rsidRPr="004E00FF" w:rsidRDefault="00BA7A7F" w:rsidP="00A677D4">
      <w:pPr>
        <w:spacing w:before="40" w:after="0" w:line="240" w:lineRule="auto"/>
        <w:rPr>
          <w:rFonts w:ascii="Arial" w:hAnsi="Arial" w:cs="Arial"/>
          <w:sz w:val="16"/>
          <w:szCs w:val="16"/>
        </w:rPr>
      </w:pPr>
      <w:r w:rsidRPr="004E00FF">
        <w:rPr>
          <w:rFonts w:ascii="Arial" w:hAnsi="Arial" w:cs="Arial"/>
          <w:sz w:val="16"/>
          <w:szCs w:val="16"/>
        </w:rPr>
        <w:t>Departmental appropriation splits and totals are indicative estimates and may change in the course of the Budget year as government priorities change.</w:t>
      </w:r>
    </w:p>
    <w:p w:rsidR="008419C6" w:rsidRDefault="00BA7A7F" w:rsidP="008419C6">
      <w:pPr>
        <w:pStyle w:val="ChartandTableFootnoteAlpha"/>
        <w:keepNext w:val="0"/>
        <w:keepLines w:val="0"/>
        <w:numPr>
          <w:ilvl w:val="0"/>
          <w:numId w:val="26"/>
        </w:numPr>
        <w:spacing w:line="240" w:lineRule="auto"/>
        <w:ind w:left="284" w:hanging="284"/>
      </w:pPr>
      <w:r>
        <w:t>The financial impact is not for publication (nfp) due to commercial-in-confidence considerations.</w:t>
      </w:r>
    </w:p>
    <w:p w:rsidR="00254A74" w:rsidRPr="008419C6" w:rsidRDefault="00BA7A7F" w:rsidP="008419C6">
      <w:pPr>
        <w:pStyle w:val="ChartandTableFootnoteAlpha"/>
        <w:keepNext w:val="0"/>
        <w:keepLines w:val="0"/>
        <w:numPr>
          <w:ilvl w:val="0"/>
          <w:numId w:val="26"/>
        </w:numPr>
        <w:spacing w:line="240" w:lineRule="auto"/>
        <w:ind w:left="284" w:hanging="284"/>
      </w:pPr>
      <w:r w:rsidRPr="008419C6">
        <w:rPr>
          <w:bdr w:val="none" w:sz="0" w:space="0" w:color="auto" w:frame="1"/>
        </w:rPr>
        <w:t>Expenses not requiring appropriation in the Budget year are made up of depreciation expenses.</w:t>
      </w:r>
    </w:p>
    <w:p w:rsidR="00D86095" w:rsidRDefault="00BA7A7F" w:rsidP="002C19B1">
      <w:pPr>
        <w:pStyle w:val="TableHeading"/>
        <w:keepLines/>
      </w:pPr>
      <w:bookmarkStart w:id="164" w:name="RG_MARKER_11854"/>
      <w:bookmarkStart w:id="165" w:name="RG_MARKER_12115"/>
      <w:r w:rsidRPr="002E3447">
        <w:t>Table 2</w:t>
      </w:r>
      <w:bookmarkEnd w:id="164"/>
      <w:bookmarkEnd w:id="165"/>
      <w:r>
        <w:t>.3</w:t>
      </w:r>
      <w:r w:rsidRPr="002E3447">
        <w:t>.</w:t>
      </w:r>
      <w:r>
        <w:t>2</w:t>
      </w:r>
      <w:r w:rsidRPr="002E3447">
        <w:t xml:space="preserve">: </w:t>
      </w:r>
      <w:r>
        <w:t>Program</w:t>
      </w:r>
      <w:r w:rsidRPr="002E3447">
        <w:t xml:space="preserve"> </w:t>
      </w:r>
      <w:r>
        <w:t xml:space="preserve">components of </w:t>
      </w:r>
      <w:r w:rsidRPr="002E3447">
        <w:t xml:space="preserve">Outcome </w:t>
      </w:r>
      <w:r>
        <w:t>3</w:t>
      </w:r>
    </w:p>
    <w:p w:rsidR="00CB5248" w:rsidRPr="00F767AA" w:rsidRDefault="00BA7A7F" w:rsidP="00F767AA">
      <w:pPr>
        <w:rPr>
          <w:iCs/>
        </w:rPr>
      </w:pPr>
      <w:r>
        <w:rPr>
          <w:iCs/>
        </w:rPr>
        <w:t>Outcome 3 programs are not broken down by components; therefore Table 2.3.2 is not presented.</w:t>
      </w:r>
    </w:p>
    <w:p w:rsidR="00F708EB" w:rsidRPr="00F17F82" w:rsidRDefault="00BA7A7F" w:rsidP="00F17F82">
      <w:pPr>
        <w:pageBreakBefore/>
        <w:spacing w:before="120" w:after="20" w:line="240" w:lineRule="auto"/>
        <w:rPr>
          <w:rFonts w:ascii="Arial" w:hAnsi="Arial" w:cs="Arial"/>
          <w:b/>
        </w:rPr>
      </w:pPr>
      <w:bookmarkStart w:id="166" w:name="RG_MARKER_11855"/>
      <w:bookmarkStart w:id="167" w:name="RG_MARKER_11858"/>
      <w:r w:rsidRPr="00F17F82">
        <w:rPr>
          <w:rFonts w:ascii="Arial" w:hAnsi="Arial" w:cs="Arial"/>
          <w:b/>
        </w:rPr>
        <w:t>Table 2.3.3: Performance criteria for Outcome 3</w:t>
      </w:r>
      <w:bookmarkEnd w:id="166"/>
      <w:bookmarkEnd w:id="167"/>
    </w:p>
    <w:p w:rsidR="006129F7" w:rsidRDefault="00BA7A7F" w:rsidP="004751A5">
      <w:r>
        <w:t>Table 2.3.3 below details the performance criteria for each program associated with Outcome 3. It also summarises how each prog</w:t>
      </w:r>
      <w:r w:rsidR="00EF3EBA">
        <w:t xml:space="preserve">ram is delivered and where </w:t>
      </w:r>
      <w:r>
        <w:t>2022­23 Budget measures have created new programs or materially changed existing programs.</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53274" w:rsidTr="00F2729F">
        <w:trPr>
          <w:trHeight w:val="569"/>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F2729F" w:rsidRDefault="00BA7A7F" w:rsidP="00F2729F">
            <w:pPr>
              <w:pStyle w:val="TableColumnHeadingLeft"/>
            </w:pPr>
            <w:r>
              <w:rPr>
                <w:rFonts w:cs="Arial"/>
                <w:color w:val="000000"/>
                <w:lang w:val="en-US" w:eastAsia="x-none"/>
              </w:rPr>
              <w:t xml:space="preserve">Outcome 3 – </w:t>
            </w:r>
            <w:r>
              <w:rPr>
                <w:rFonts w:cs="Arial"/>
                <w:color w:val="000000"/>
                <w:bdr w:val="none" w:sz="0" w:space="0" w:color="auto" w:frame="1"/>
              </w:rPr>
              <w:t>Support the affordable, reliable, secure and competitive operation of energy markets for the long term benefit of the Australian community through improving Australia’s energy supply, efficiency, quality, performance and productivity</w:t>
            </w:r>
          </w:p>
        </w:tc>
      </w:tr>
      <w:tr w:rsidR="00253274" w:rsidTr="00F2729F">
        <w:trPr>
          <w:trHeight w:val="522"/>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F2729F" w:rsidRDefault="00BA7A7F">
            <w:pPr>
              <w:pStyle w:val="TableTextLeft"/>
              <w:rPr>
                <w:rFonts w:eastAsia="Calibri"/>
              </w:rPr>
            </w:pPr>
            <w:r>
              <w:rPr>
                <w:rFonts w:eastAsia="Calibri"/>
                <w:b/>
              </w:rPr>
              <w:t>Program 3.1 – Supporting reliable, secure and affordable energy</w:t>
            </w:r>
            <w:r>
              <w:rPr>
                <w:rFonts w:eastAsia="Calibri"/>
                <w:b/>
                <w:sz w:val="15"/>
                <w:szCs w:val="15"/>
              </w:rPr>
              <w:t xml:space="preserve"> </w:t>
            </w:r>
          </w:p>
          <w:p w:rsidR="00F2729F" w:rsidRDefault="00BA7A7F" w:rsidP="00F2729F">
            <w:pPr>
              <w:tabs>
                <w:tab w:val="left" w:pos="709"/>
              </w:tabs>
              <w:spacing w:before="60" w:after="60" w:line="240" w:lineRule="auto"/>
              <w:rPr>
                <w:rFonts w:ascii="Arial" w:hAnsi="Arial" w:cs="Arial"/>
                <w:sz w:val="16"/>
                <w:szCs w:val="16"/>
              </w:rPr>
            </w:pPr>
            <w:r>
              <w:rPr>
                <w:rFonts w:ascii="Arial" w:hAnsi="Arial" w:cs="Arial"/>
                <w:sz w:val="16"/>
                <w:szCs w:val="16"/>
              </w:rPr>
              <w:t>This program aims to lead energy market reform to support investment and market outcomes in the long</w:t>
            </w:r>
            <w:r>
              <w:rPr>
                <w:rFonts w:ascii="Cambria Math" w:hAnsi="Cambria Math" w:cs="Cambria Math"/>
                <w:sz w:val="16"/>
                <w:szCs w:val="16"/>
              </w:rPr>
              <w:noBreakHyphen/>
            </w:r>
            <w:r>
              <w:rPr>
                <w:rFonts w:ascii="Arial" w:hAnsi="Arial" w:cs="Arial"/>
                <w:sz w:val="16"/>
                <w:szCs w:val="16"/>
              </w:rPr>
              <w:t xml:space="preserve">term interests of consumers, increase national energy efficiency, and support the security of domestic and international supply chains for electricity, gas and liquid fuel. </w:t>
            </w:r>
          </w:p>
          <w:p w:rsidR="00F2729F" w:rsidRDefault="00BA7A7F" w:rsidP="00F2729F">
            <w:pPr>
              <w:tabs>
                <w:tab w:val="left" w:pos="709"/>
              </w:tabs>
              <w:spacing w:before="60" w:after="60" w:line="240" w:lineRule="auto"/>
              <w:rPr>
                <w:rFonts w:ascii="Arial" w:hAnsi="Arial" w:cs="Arial"/>
                <w:sz w:val="16"/>
                <w:szCs w:val="16"/>
              </w:rPr>
            </w:pPr>
            <w:r>
              <w:rPr>
                <w:rFonts w:ascii="Arial" w:hAnsi="Arial" w:cs="Arial"/>
                <w:sz w:val="16"/>
                <w:szCs w:val="16"/>
              </w:rPr>
              <w:t>The department will measure and report on its</w:t>
            </w:r>
            <w:r w:rsidR="002770DF">
              <w:rPr>
                <w:rFonts w:ascii="Arial" w:hAnsi="Arial" w:cs="Arial"/>
                <w:sz w:val="16"/>
                <w:szCs w:val="16"/>
              </w:rPr>
              <w:t xml:space="preserve"> progress towards the following intended results of the activity:</w:t>
            </w:r>
          </w:p>
          <w:p w:rsidR="00510BBE" w:rsidRDefault="00BA7A7F" w:rsidP="00510BBE">
            <w:pPr>
              <w:pStyle w:val="ListParagraph"/>
              <w:numPr>
                <w:ilvl w:val="0"/>
                <w:numId w:val="27"/>
              </w:numPr>
              <w:tabs>
                <w:tab w:val="left" w:pos="709"/>
              </w:tabs>
              <w:spacing w:before="60" w:after="60" w:line="240" w:lineRule="auto"/>
              <w:jc w:val="left"/>
              <w:rPr>
                <w:rFonts w:eastAsia="Times New Roman" w:cs="Arial"/>
                <w:sz w:val="16"/>
                <w:szCs w:val="16"/>
                <w:lang w:val="en-AU"/>
              </w:rPr>
            </w:pPr>
            <w:r>
              <w:rPr>
                <w:rFonts w:ascii="Arial" w:eastAsia="Times New Roman" w:hAnsi="Arial" w:cs="Arial"/>
                <w:sz w:val="16"/>
                <w:szCs w:val="16"/>
                <w:lang w:val="en-AU"/>
              </w:rPr>
              <w:t>Working with states, territories and industry, to ensure energy affordability, reliability, security and efficiency, including by:</w:t>
            </w:r>
          </w:p>
          <w:p w:rsidR="00F2729F" w:rsidRPr="00510BBE" w:rsidRDefault="00BA7A7F" w:rsidP="00510BBE">
            <w:pPr>
              <w:pStyle w:val="ListParagraph"/>
              <w:numPr>
                <w:ilvl w:val="0"/>
                <w:numId w:val="28"/>
              </w:numPr>
              <w:tabs>
                <w:tab w:val="left" w:pos="709"/>
              </w:tabs>
              <w:spacing w:before="60" w:after="60" w:line="240" w:lineRule="auto"/>
              <w:jc w:val="left"/>
              <w:rPr>
                <w:rFonts w:eastAsia="Times New Roman" w:cs="Arial"/>
                <w:sz w:val="16"/>
                <w:szCs w:val="16"/>
                <w:lang w:val="en-AU"/>
              </w:rPr>
            </w:pPr>
            <w:r w:rsidRPr="00510BBE">
              <w:rPr>
                <w:rFonts w:ascii="Arial" w:eastAsia="Times New Roman" w:hAnsi="Arial" w:cs="Arial"/>
                <w:sz w:val="16"/>
                <w:szCs w:val="16"/>
                <w:lang w:val="en-AU"/>
              </w:rPr>
              <w:t>Increasing competition and consumer empowerment in the energy sector.</w:t>
            </w:r>
          </w:p>
          <w:p w:rsidR="00F2729F" w:rsidRDefault="00BA7A7F" w:rsidP="00510BBE">
            <w:pPr>
              <w:pStyle w:val="ListParagraph"/>
              <w:numPr>
                <w:ilvl w:val="0"/>
                <w:numId w:val="28"/>
              </w:numPr>
              <w:tabs>
                <w:tab w:val="left" w:pos="709"/>
              </w:tabs>
              <w:spacing w:before="60" w:after="60" w:line="240" w:lineRule="auto"/>
              <w:jc w:val="left"/>
              <w:rPr>
                <w:rFonts w:eastAsia="Times New Roman" w:cs="Arial"/>
                <w:sz w:val="16"/>
                <w:szCs w:val="16"/>
                <w:lang w:val="en-AU"/>
              </w:rPr>
            </w:pPr>
            <w:r>
              <w:rPr>
                <w:rFonts w:ascii="Arial" w:eastAsia="Times New Roman" w:hAnsi="Arial" w:cs="Arial"/>
                <w:sz w:val="16"/>
                <w:szCs w:val="16"/>
                <w:lang w:val="en-AU"/>
              </w:rPr>
              <w:t>Improving the stability of the energy system through support for existing generation, investment in energy infrastructure, reforms to National Energy Laws and effective responses to energy emergencies.</w:t>
            </w:r>
          </w:p>
          <w:p w:rsidR="00F2729F" w:rsidRDefault="00BA7A7F" w:rsidP="00510BBE">
            <w:pPr>
              <w:pStyle w:val="ListParagraph"/>
              <w:numPr>
                <w:ilvl w:val="0"/>
                <w:numId w:val="28"/>
              </w:numPr>
              <w:tabs>
                <w:tab w:val="left" w:pos="709"/>
              </w:tabs>
              <w:spacing w:before="60" w:after="60" w:line="240" w:lineRule="auto"/>
              <w:jc w:val="left"/>
              <w:rPr>
                <w:rFonts w:eastAsia="Times New Roman" w:cs="Arial"/>
                <w:sz w:val="16"/>
                <w:szCs w:val="16"/>
                <w:lang w:val="en-AU"/>
              </w:rPr>
            </w:pPr>
            <w:r>
              <w:rPr>
                <w:rFonts w:ascii="Arial" w:eastAsia="Times New Roman" w:hAnsi="Arial" w:cs="Arial"/>
                <w:sz w:val="16"/>
                <w:szCs w:val="16"/>
                <w:lang w:val="en-AU"/>
              </w:rPr>
              <w:t>Encouraging private sector investment in new electricity generation, storage and technology, including new growth opportunities.</w:t>
            </w:r>
          </w:p>
          <w:p w:rsidR="00F2729F" w:rsidRDefault="00BA7A7F" w:rsidP="00510BBE">
            <w:pPr>
              <w:pStyle w:val="ListParagraph"/>
              <w:numPr>
                <w:ilvl w:val="0"/>
                <w:numId w:val="28"/>
              </w:numPr>
              <w:tabs>
                <w:tab w:val="left" w:pos="709"/>
              </w:tabs>
              <w:spacing w:before="60" w:after="60" w:line="240" w:lineRule="auto"/>
              <w:jc w:val="left"/>
              <w:rPr>
                <w:rFonts w:eastAsia="Times New Roman" w:cs="Arial"/>
                <w:sz w:val="16"/>
                <w:szCs w:val="16"/>
                <w:lang w:val="en-AU"/>
              </w:rPr>
            </w:pPr>
            <w:r>
              <w:rPr>
                <w:rFonts w:ascii="Arial" w:eastAsia="Times New Roman" w:hAnsi="Arial" w:cs="Arial"/>
                <w:sz w:val="16"/>
                <w:szCs w:val="16"/>
                <w:lang w:val="en-AU"/>
              </w:rPr>
              <w:t>Strengthening Australia’s liquid fuel security through a market and regulatory framework that increases domestic diesel stocks and supports local refineries.</w:t>
            </w:r>
          </w:p>
          <w:p w:rsidR="00F2729F" w:rsidRPr="00510BBE" w:rsidRDefault="00BA7A7F" w:rsidP="00510BBE">
            <w:pPr>
              <w:pStyle w:val="ListParagraph"/>
              <w:numPr>
                <w:ilvl w:val="0"/>
                <w:numId w:val="28"/>
              </w:numPr>
              <w:tabs>
                <w:tab w:val="left" w:pos="709"/>
              </w:tabs>
              <w:spacing w:before="60" w:after="60" w:line="240" w:lineRule="auto"/>
              <w:jc w:val="left"/>
              <w:rPr>
                <w:rFonts w:eastAsia="Times New Roman" w:cs="Arial"/>
                <w:sz w:val="16"/>
                <w:szCs w:val="16"/>
                <w:lang w:val="en-AU"/>
              </w:rPr>
            </w:pPr>
            <w:r>
              <w:rPr>
                <w:rFonts w:ascii="Arial" w:eastAsia="Times New Roman" w:hAnsi="Arial" w:cs="Arial"/>
                <w:sz w:val="16"/>
                <w:szCs w:val="16"/>
                <w:lang w:val="en-AU"/>
              </w:rPr>
              <w:t>Focusing energy efficiency investment – by governments, business and households – under a set of clearly articulated principles focused on consumer choice, affordability and technology.</w:t>
            </w:r>
          </w:p>
          <w:p w:rsidR="0080753C" w:rsidRPr="00D40AC7" w:rsidRDefault="00BA7A7F" w:rsidP="00536669">
            <w:pPr>
              <w:pStyle w:val="ListParagraph"/>
              <w:numPr>
                <w:ilvl w:val="0"/>
                <w:numId w:val="27"/>
              </w:numPr>
              <w:tabs>
                <w:tab w:val="left" w:pos="709"/>
              </w:tabs>
              <w:spacing w:before="60" w:after="60" w:line="240" w:lineRule="auto"/>
              <w:jc w:val="left"/>
              <w:rPr>
                <w:rFonts w:ascii="Calibri" w:eastAsia="Times New Roman" w:hAnsi="Calibri" w:cs="Times New Roman"/>
                <w:lang w:val="en-AU"/>
              </w:rPr>
            </w:pPr>
            <w:r w:rsidRPr="00F2729F">
              <w:rPr>
                <w:rFonts w:ascii="Arial" w:eastAsia="Times New Roman" w:hAnsi="Arial" w:cs="Arial"/>
                <w:sz w:val="16"/>
                <w:szCs w:val="16"/>
                <w:lang w:val="en-AU"/>
              </w:rPr>
              <w:t xml:space="preserve">Accelerating the development of the wholesale gas market to ensure the affordability of gas through implementing the </w:t>
            </w:r>
            <w:r>
              <w:rPr>
                <w:rFonts w:ascii="Arial" w:eastAsia="Times New Roman" w:hAnsi="Arial" w:cs="Arial"/>
                <w:sz w:val="16"/>
                <w:szCs w:val="16"/>
                <w:lang w:val="en-AU"/>
              </w:rPr>
              <w:t>G</w:t>
            </w:r>
            <w:r w:rsidRPr="00F2729F">
              <w:rPr>
                <w:rFonts w:ascii="Arial" w:eastAsia="Times New Roman" w:hAnsi="Arial" w:cs="Arial"/>
                <w:sz w:val="16"/>
                <w:szCs w:val="16"/>
                <w:lang w:val="en-AU"/>
              </w:rPr>
              <w:t>overnment’s Gas</w:t>
            </w:r>
            <w:r w:rsidRPr="00F2729F">
              <w:rPr>
                <w:rFonts w:ascii="Arial" w:eastAsia="Times New Roman" w:hAnsi="Arial" w:cs="Arial"/>
                <w:sz w:val="16"/>
                <w:szCs w:val="16"/>
                <w:lang w:val="en-AU"/>
              </w:rPr>
              <w:noBreakHyphen/>
              <w:t>Fired Recovery Plan.</w:t>
            </w:r>
          </w:p>
        </w:tc>
      </w:tr>
      <w:tr w:rsidR="00253274" w:rsidTr="00F2729F">
        <w:trPr>
          <w:trHeight w:val="237"/>
        </w:trPr>
        <w:tc>
          <w:tcPr>
            <w:tcW w:w="1560" w:type="dxa"/>
            <w:tcBorders>
              <w:top w:val="single" w:sz="4" w:space="0" w:color="auto"/>
              <w:left w:val="single" w:sz="4" w:space="0" w:color="auto"/>
              <w:bottom w:val="double" w:sz="4" w:space="0" w:color="auto"/>
              <w:right w:val="single" w:sz="4" w:space="0" w:color="auto"/>
            </w:tcBorders>
            <w:hideMark/>
          </w:tcPr>
          <w:p w:rsidR="00F2729F" w:rsidRDefault="00BA7A7F" w:rsidP="00F2729F">
            <w:pPr>
              <w:tabs>
                <w:tab w:val="left" w:pos="709"/>
              </w:tabs>
              <w:spacing w:before="60" w:after="60" w:line="240" w:lineRule="auto"/>
              <w:rPr>
                <w:rFonts w:ascii="Arial" w:hAnsi="Arial" w:cs="Arial"/>
                <w:b/>
                <w:sz w:val="16"/>
                <w:szCs w:val="16"/>
              </w:rPr>
            </w:pPr>
            <w:r>
              <w:rPr>
                <w:rFonts w:ascii="Arial" w:hAnsi="Arial" w:cs="Arial"/>
                <w:b/>
                <w:sz w:val="16"/>
                <w:szCs w:val="16"/>
              </w:rPr>
              <w:t>Key Activities (a)</w:t>
            </w:r>
          </w:p>
        </w:tc>
        <w:tc>
          <w:tcPr>
            <w:tcW w:w="6236" w:type="dxa"/>
            <w:gridSpan w:val="2"/>
            <w:tcBorders>
              <w:top w:val="single" w:sz="4" w:space="0" w:color="auto"/>
              <w:left w:val="single" w:sz="4" w:space="0" w:color="auto"/>
              <w:bottom w:val="double" w:sz="4" w:space="0" w:color="auto"/>
              <w:right w:val="single" w:sz="4" w:space="0" w:color="auto"/>
            </w:tcBorders>
            <w:hideMark/>
          </w:tcPr>
          <w:p w:rsidR="00F2729F" w:rsidRDefault="00BA7A7F" w:rsidP="00F2729F">
            <w:pPr>
              <w:tabs>
                <w:tab w:val="left" w:pos="709"/>
              </w:tabs>
              <w:spacing w:before="60" w:after="60" w:line="240" w:lineRule="auto"/>
              <w:rPr>
                <w:rFonts w:ascii="Arial" w:hAnsi="Arial" w:cs="Arial"/>
                <w:sz w:val="16"/>
                <w:szCs w:val="16"/>
              </w:rPr>
            </w:pPr>
            <w:r>
              <w:rPr>
                <w:rFonts w:ascii="Arial" w:hAnsi="Arial" w:cs="Arial"/>
                <w:sz w:val="16"/>
                <w:szCs w:val="16"/>
              </w:rPr>
              <w:t>Activity 4.1: Supporting reliable, secure and affordable energy</w:t>
            </w:r>
          </w:p>
        </w:tc>
      </w:tr>
      <w:tr w:rsidR="00253274" w:rsidTr="00F2729F">
        <w:trPr>
          <w:trHeight w:val="258"/>
        </w:trPr>
        <w:tc>
          <w:tcPr>
            <w:tcW w:w="1560" w:type="dxa"/>
            <w:tcBorders>
              <w:top w:val="double" w:sz="4" w:space="0" w:color="auto"/>
              <w:left w:val="single" w:sz="4" w:space="0" w:color="auto"/>
              <w:bottom w:val="single" w:sz="4" w:space="0" w:color="auto"/>
              <w:right w:val="single" w:sz="4" w:space="0" w:color="auto"/>
            </w:tcBorders>
          </w:tcPr>
          <w:p w:rsidR="00F2729F" w:rsidRDefault="00BA7A7F">
            <w:pPr>
              <w:pStyle w:val="TableTextBase"/>
              <w:rPr>
                <w:rFonts w:eastAsia="Calibri"/>
                <w:b/>
                <w:sz w:val="16"/>
                <w:szCs w:val="16"/>
              </w:rPr>
            </w:pPr>
            <w:r>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F2729F" w:rsidRDefault="00BA7A7F">
            <w:pPr>
              <w:pStyle w:val="TableTextBase"/>
              <w:rPr>
                <w:rFonts w:eastAsia="Calibri"/>
                <w:b/>
                <w:sz w:val="16"/>
                <w:szCs w:val="16"/>
              </w:rPr>
            </w:pPr>
            <w:r>
              <w:rPr>
                <w:rFonts w:eastAsia="Calibri"/>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F2729F" w:rsidRDefault="00BA7A7F">
            <w:pPr>
              <w:pStyle w:val="TableTextBase"/>
              <w:rPr>
                <w:rFonts w:eastAsia="Calibri"/>
                <w:b/>
                <w:sz w:val="16"/>
                <w:szCs w:val="16"/>
              </w:rPr>
            </w:pPr>
            <w:r>
              <w:rPr>
                <w:rFonts w:eastAsia="Calibri"/>
                <w:b/>
                <w:sz w:val="16"/>
                <w:szCs w:val="16"/>
              </w:rPr>
              <w:t>Expected Performance Results</w:t>
            </w:r>
          </w:p>
        </w:tc>
      </w:tr>
      <w:tr w:rsidR="00253274" w:rsidTr="00A3022C">
        <w:trPr>
          <w:trHeight w:val="642"/>
        </w:trPr>
        <w:tc>
          <w:tcPr>
            <w:tcW w:w="1560" w:type="dxa"/>
            <w:vMerge w:val="restart"/>
            <w:tcBorders>
              <w:top w:val="single" w:sz="4" w:space="0" w:color="auto"/>
              <w:left w:val="single" w:sz="4" w:space="0" w:color="auto"/>
              <w:right w:val="single" w:sz="4" w:space="0" w:color="auto"/>
            </w:tcBorders>
          </w:tcPr>
          <w:p w:rsidR="00F2729F" w:rsidRDefault="00BA7A7F">
            <w:pPr>
              <w:pStyle w:val="TableTextBase"/>
              <w:rPr>
                <w:rFonts w:eastAsia="Calibri"/>
                <w:sz w:val="16"/>
                <w:szCs w:val="16"/>
              </w:rPr>
            </w:pPr>
            <w:r>
              <w:rPr>
                <w:rFonts w:eastAsia="Calibri"/>
                <w:sz w:val="16"/>
                <w:szCs w:val="16"/>
              </w:rPr>
              <w:t xml:space="preserve">Current year </w:t>
            </w:r>
          </w:p>
          <w:p w:rsidR="00F2729F" w:rsidRDefault="00BA7A7F">
            <w:pPr>
              <w:pStyle w:val="TableTextBase"/>
              <w:rPr>
                <w:rFonts w:eastAsia="Calibri"/>
                <w:sz w:val="16"/>
                <w:szCs w:val="16"/>
              </w:rPr>
            </w:pPr>
            <w:r>
              <w:rPr>
                <w:rFonts w:eastAsia="Calibri"/>
                <w:sz w:val="16"/>
                <w:szCs w:val="16"/>
              </w:rPr>
              <w:t>2021–22</w:t>
            </w:r>
          </w:p>
        </w:tc>
        <w:tc>
          <w:tcPr>
            <w:tcW w:w="3118" w:type="dxa"/>
            <w:tcBorders>
              <w:top w:val="single" w:sz="4" w:space="0" w:color="auto"/>
              <w:left w:val="single" w:sz="4" w:space="0" w:color="auto"/>
              <w:bottom w:val="dotted" w:sz="4" w:space="0" w:color="auto"/>
              <w:right w:val="single" w:sz="4" w:space="0" w:color="auto"/>
            </w:tcBorders>
            <w:hideMark/>
          </w:tcPr>
          <w:p w:rsidR="00F2729F" w:rsidRDefault="00BA7A7F">
            <w:pPr>
              <w:pStyle w:val="TableTextBase"/>
              <w:rPr>
                <w:rFonts w:eastAsia="Calibri"/>
                <w:sz w:val="16"/>
                <w:szCs w:val="16"/>
              </w:rPr>
            </w:pPr>
            <w:r>
              <w:rPr>
                <w:rFonts w:eastAsia="Calibri"/>
                <w:sz w:val="16"/>
                <w:szCs w:val="16"/>
              </w:rPr>
              <w:t>Lower energy prices</w:t>
            </w:r>
          </w:p>
        </w:tc>
        <w:tc>
          <w:tcPr>
            <w:tcW w:w="3118" w:type="dxa"/>
            <w:tcBorders>
              <w:top w:val="single" w:sz="4" w:space="0" w:color="auto"/>
              <w:left w:val="single" w:sz="4" w:space="0" w:color="auto"/>
              <w:bottom w:val="dotted" w:sz="4" w:space="0" w:color="auto"/>
              <w:right w:val="single" w:sz="4" w:space="0" w:color="auto"/>
            </w:tcBorders>
          </w:tcPr>
          <w:p w:rsidR="00016165" w:rsidRPr="001F1639" w:rsidRDefault="00BA7A7F" w:rsidP="00016165">
            <w:pPr>
              <w:pStyle w:val="TableTextBase"/>
              <w:rPr>
                <w:rFonts w:eastAsia="Calibri"/>
                <w:sz w:val="16"/>
                <w:szCs w:val="16"/>
              </w:rPr>
            </w:pPr>
            <w:r w:rsidRPr="001F1639">
              <w:rPr>
                <w:rFonts w:eastAsia="Calibri"/>
                <w:sz w:val="16"/>
                <w:szCs w:val="16"/>
              </w:rPr>
              <w:t>Work to maintain wholesale price &lt; $70 per MWh in the National Electricity Market</w:t>
            </w:r>
          </w:p>
          <w:p w:rsidR="00F2729F" w:rsidRPr="001F1639" w:rsidRDefault="00F2729F">
            <w:pPr>
              <w:pStyle w:val="TableTextBase"/>
              <w:rPr>
                <w:rFonts w:eastAsia="Calibri"/>
                <w:sz w:val="16"/>
                <w:szCs w:val="16"/>
              </w:rPr>
            </w:pPr>
          </w:p>
          <w:p w:rsidR="00F2729F" w:rsidRPr="001F1639" w:rsidRDefault="00BA7A7F">
            <w:pPr>
              <w:pStyle w:val="TableTextBase"/>
              <w:rPr>
                <w:rFonts w:eastAsia="Calibri"/>
                <w:sz w:val="16"/>
                <w:szCs w:val="16"/>
              </w:rPr>
            </w:pPr>
            <w:r w:rsidRPr="001F1639">
              <w:rPr>
                <w:rFonts w:eastAsia="Calibri"/>
                <w:sz w:val="16"/>
                <w:szCs w:val="16"/>
              </w:rPr>
              <w:t>Domestic gas market prices lower than liquefied natural gas (LNG) netback price.</w:t>
            </w:r>
          </w:p>
          <w:p w:rsidR="00F2729F" w:rsidRPr="001F1639" w:rsidRDefault="00F2729F">
            <w:pPr>
              <w:pStyle w:val="TableTextBase"/>
              <w:rPr>
                <w:rFonts w:eastAsia="Calibri"/>
                <w:sz w:val="16"/>
                <w:szCs w:val="16"/>
              </w:rPr>
            </w:pPr>
          </w:p>
          <w:p w:rsidR="00784E79" w:rsidRPr="001F1639" w:rsidRDefault="00BA7A7F" w:rsidP="00784E79">
            <w:pPr>
              <w:pStyle w:val="TableTextBase"/>
              <w:rPr>
                <w:rFonts w:eastAsia="Calibri"/>
                <w:sz w:val="16"/>
                <w:szCs w:val="16"/>
              </w:rPr>
            </w:pPr>
            <w:r w:rsidRPr="001F1639">
              <w:rPr>
                <w:rFonts w:eastAsia="Calibri"/>
                <w:sz w:val="16"/>
                <w:szCs w:val="16"/>
              </w:rPr>
              <w:t>Result:</w:t>
            </w:r>
            <w:r w:rsidRPr="001F1639">
              <w:rPr>
                <w:rFonts w:eastAsia="Calibri"/>
                <w:i/>
                <w:color w:val="31849B"/>
                <w:sz w:val="16"/>
                <w:szCs w:val="16"/>
              </w:rPr>
              <w:t xml:space="preserve"> </w:t>
            </w:r>
            <w:r w:rsidRPr="001F1639">
              <w:rPr>
                <w:rFonts w:eastAsia="Calibri"/>
                <w:sz w:val="16"/>
                <w:szCs w:val="16"/>
              </w:rPr>
              <w:t>On track overall.</w:t>
            </w:r>
          </w:p>
          <w:p w:rsidR="00F2729F" w:rsidRPr="001F1639" w:rsidRDefault="00BA7A7F" w:rsidP="00784E79">
            <w:pPr>
              <w:pStyle w:val="TableTextBase"/>
              <w:rPr>
                <w:rFonts w:eastAsia="Calibri" w:cs="Times New Roman"/>
                <w:sz w:val="16"/>
                <w:szCs w:val="16"/>
              </w:rPr>
            </w:pPr>
            <w:r w:rsidRPr="001F1639">
              <w:rPr>
                <w:rFonts w:eastAsia="Calibri"/>
                <w:sz w:val="16"/>
                <w:szCs w:val="16"/>
              </w:rPr>
              <w:t>Achieved for gas prices for the period 1 July to 30 December 2021.</w:t>
            </w:r>
          </w:p>
        </w:tc>
      </w:tr>
      <w:tr w:rsidR="00253274" w:rsidTr="00A3022C">
        <w:trPr>
          <w:trHeight w:val="642"/>
        </w:trPr>
        <w:tc>
          <w:tcPr>
            <w:tcW w:w="1560" w:type="dxa"/>
            <w:vMerge/>
            <w:tcBorders>
              <w:left w:val="single" w:sz="4" w:space="0" w:color="auto"/>
              <w:bottom w:val="dotted" w:sz="4" w:space="0" w:color="auto"/>
              <w:right w:val="single" w:sz="4" w:space="0" w:color="auto"/>
            </w:tcBorders>
          </w:tcPr>
          <w:p w:rsidR="00F2729F" w:rsidRDefault="00F2729F">
            <w:pPr>
              <w:pStyle w:val="TableTextBase"/>
              <w:rPr>
                <w:rFonts w:eastAsia="Calibri"/>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F2729F" w:rsidRDefault="00BA7A7F">
            <w:pPr>
              <w:pStyle w:val="TableTextBase"/>
              <w:rPr>
                <w:rFonts w:eastAsia="Calibri"/>
                <w:sz w:val="16"/>
                <w:szCs w:val="16"/>
              </w:rPr>
            </w:pPr>
            <w:r>
              <w:rPr>
                <w:rFonts w:eastAsia="Calibri"/>
                <w:sz w:val="16"/>
                <w:szCs w:val="16"/>
              </w:rPr>
              <w:t>The liquid fuel market is in supply-demand balance</w:t>
            </w:r>
          </w:p>
        </w:tc>
        <w:tc>
          <w:tcPr>
            <w:tcW w:w="3118" w:type="dxa"/>
            <w:tcBorders>
              <w:top w:val="single" w:sz="4" w:space="0" w:color="auto"/>
              <w:left w:val="single" w:sz="4" w:space="0" w:color="auto"/>
              <w:bottom w:val="dotted" w:sz="4" w:space="0" w:color="auto"/>
              <w:right w:val="single" w:sz="4" w:space="0" w:color="auto"/>
            </w:tcBorders>
          </w:tcPr>
          <w:p w:rsidR="00F2729F" w:rsidRPr="001F1639" w:rsidRDefault="00BA7A7F">
            <w:pPr>
              <w:pStyle w:val="TableTextBase"/>
              <w:rPr>
                <w:rFonts w:eastAsia="Calibri"/>
                <w:sz w:val="16"/>
                <w:szCs w:val="16"/>
              </w:rPr>
            </w:pPr>
            <w:r w:rsidRPr="001F1639">
              <w:rPr>
                <w:rFonts w:eastAsia="Calibri"/>
                <w:sz w:val="16"/>
                <w:szCs w:val="16"/>
              </w:rPr>
              <w:t>The Liquid Fuel Emergency Act is not triggered.</w:t>
            </w:r>
          </w:p>
          <w:p w:rsidR="00F2729F" w:rsidRPr="001F1639" w:rsidRDefault="00F2729F">
            <w:pPr>
              <w:pStyle w:val="TableTextBase"/>
              <w:rPr>
                <w:rFonts w:eastAsia="Calibri"/>
                <w:sz w:val="16"/>
                <w:szCs w:val="16"/>
              </w:rPr>
            </w:pPr>
          </w:p>
          <w:p w:rsidR="00F2729F" w:rsidRPr="001F1639" w:rsidRDefault="00BA7A7F" w:rsidP="00784E79">
            <w:pPr>
              <w:pStyle w:val="TableTextBase"/>
              <w:rPr>
                <w:rFonts w:eastAsia="Calibri" w:cs="Times New Roman"/>
                <w:sz w:val="16"/>
                <w:szCs w:val="16"/>
              </w:rPr>
            </w:pPr>
            <w:r w:rsidRPr="001F1639">
              <w:rPr>
                <w:rFonts w:eastAsia="Calibri"/>
                <w:sz w:val="16"/>
                <w:szCs w:val="16"/>
              </w:rPr>
              <w:t>Result: On track. This had not been triggered during the period 1July to 30 December 2021.</w:t>
            </w:r>
          </w:p>
        </w:tc>
      </w:tr>
      <w:tr w:rsidR="00253274" w:rsidTr="00F2729F">
        <w:trPr>
          <w:trHeight w:val="100"/>
        </w:trPr>
        <w:tc>
          <w:tcPr>
            <w:tcW w:w="1560" w:type="dxa"/>
            <w:tcBorders>
              <w:top w:val="single" w:sz="4" w:space="0" w:color="auto"/>
              <w:left w:val="single" w:sz="4" w:space="0" w:color="auto"/>
              <w:bottom w:val="dotted" w:sz="4" w:space="0" w:color="auto"/>
              <w:right w:val="single" w:sz="4" w:space="0" w:color="auto"/>
            </w:tcBorders>
          </w:tcPr>
          <w:p w:rsidR="00F2729F" w:rsidRDefault="00BA7A7F">
            <w:pPr>
              <w:pStyle w:val="TableTextBase"/>
              <w:rPr>
                <w:rFonts w:eastAsia="Calibri"/>
                <w:b/>
                <w:sz w:val="16"/>
                <w:szCs w:val="16"/>
              </w:rPr>
            </w:pPr>
            <w:r>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F2729F" w:rsidRDefault="00BA7A7F">
            <w:pPr>
              <w:pStyle w:val="TableTextBase"/>
              <w:rPr>
                <w:rFonts w:eastAsia="Calibri"/>
                <w:b/>
                <w:sz w:val="16"/>
                <w:szCs w:val="16"/>
              </w:rPr>
            </w:pPr>
            <w:r>
              <w:rPr>
                <w:rFonts w:eastAsia="Calibri"/>
                <w:b/>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rsidR="00F2729F" w:rsidRDefault="00BA7A7F">
            <w:pPr>
              <w:pStyle w:val="TableTextBase"/>
              <w:rPr>
                <w:rFonts w:eastAsia="Calibri"/>
                <w:b/>
                <w:sz w:val="16"/>
                <w:szCs w:val="16"/>
              </w:rPr>
            </w:pPr>
            <w:r>
              <w:rPr>
                <w:rFonts w:eastAsia="Calibri"/>
                <w:b/>
                <w:sz w:val="16"/>
                <w:szCs w:val="16"/>
              </w:rPr>
              <w:t>Planned Performance Results</w:t>
            </w:r>
          </w:p>
        </w:tc>
      </w:tr>
      <w:tr w:rsidR="00253274" w:rsidTr="00F2729F">
        <w:trPr>
          <w:trHeight w:val="100"/>
        </w:trPr>
        <w:tc>
          <w:tcPr>
            <w:tcW w:w="1560" w:type="dxa"/>
            <w:vMerge w:val="restart"/>
            <w:tcBorders>
              <w:top w:val="single" w:sz="4" w:space="0" w:color="auto"/>
              <w:left w:val="single" w:sz="4" w:space="0" w:color="auto"/>
              <w:bottom w:val="dotted" w:sz="4" w:space="0" w:color="auto"/>
              <w:right w:val="single" w:sz="4" w:space="0" w:color="auto"/>
            </w:tcBorders>
            <w:hideMark/>
          </w:tcPr>
          <w:p w:rsidR="00F2729F" w:rsidRDefault="00BA7A7F">
            <w:pPr>
              <w:pStyle w:val="TableTextBase"/>
              <w:rPr>
                <w:rFonts w:eastAsia="Calibri"/>
                <w:sz w:val="16"/>
                <w:szCs w:val="16"/>
              </w:rPr>
            </w:pPr>
            <w:r>
              <w:rPr>
                <w:rFonts w:eastAsia="Calibri"/>
                <w:sz w:val="16"/>
                <w:szCs w:val="16"/>
              </w:rPr>
              <w:t>Budget Year 2022–23</w:t>
            </w:r>
          </w:p>
        </w:tc>
        <w:tc>
          <w:tcPr>
            <w:tcW w:w="3118" w:type="dxa"/>
            <w:tcBorders>
              <w:top w:val="single" w:sz="4" w:space="0" w:color="auto"/>
              <w:left w:val="single" w:sz="4" w:space="0" w:color="auto"/>
              <w:bottom w:val="dotted" w:sz="4" w:space="0" w:color="auto"/>
              <w:right w:val="single" w:sz="4" w:space="0" w:color="auto"/>
            </w:tcBorders>
            <w:hideMark/>
          </w:tcPr>
          <w:p w:rsidR="00F2729F" w:rsidRDefault="00BA7A7F">
            <w:pPr>
              <w:pStyle w:val="TableTextBase"/>
              <w:rPr>
                <w:rFonts w:eastAsia="Calibri"/>
                <w:sz w:val="16"/>
                <w:szCs w:val="16"/>
              </w:rPr>
            </w:pPr>
            <w:r>
              <w:rPr>
                <w:rFonts w:eastAsia="Calibri"/>
                <w:sz w:val="16"/>
                <w:szCs w:val="16"/>
              </w:rPr>
              <w:t>Australia’s security of supply of quality liquid fuels</w:t>
            </w:r>
          </w:p>
        </w:tc>
        <w:tc>
          <w:tcPr>
            <w:tcW w:w="3118" w:type="dxa"/>
            <w:tcBorders>
              <w:top w:val="single" w:sz="4" w:space="0" w:color="auto"/>
              <w:left w:val="single" w:sz="4" w:space="0" w:color="auto"/>
              <w:bottom w:val="dotted" w:sz="4" w:space="0" w:color="auto"/>
              <w:right w:val="single" w:sz="4" w:space="0" w:color="auto"/>
            </w:tcBorders>
            <w:hideMark/>
          </w:tcPr>
          <w:p w:rsidR="00F2729F" w:rsidRDefault="00BA7A7F" w:rsidP="00F2729F">
            <w:pPr>
              <w:pStyle w:val="TableTextBase"/>
              <w:tabs>
                <w:tab w:val="center" w:pos="1451"/>
              </w:tabs>
              <w:rPr>
                <w:rFonts w:eastAsia="Calibri"/>
                <w:sz w:val="16"/>
                <w:szCs w:val="16"/>
              </w:rPr>
            </w:pPr>
            <w:r>
              <w:rPr>
                <w:rFonts w:eastAsia="Calibri"/>
                <w:sz w:val="16"/>
                <w:szCs w:val="16"/>
              </w:rPr>
              <w:t>Average days of stocks of petrol, diesel and jet fuel that meet the Australian fuel quality standards are not lower than the 2018 and 2019 average, and by 2024-25 are 40% higher than the 2018 and 2019 average for diesel</w:t>
            </w:r>
          </w:p>
        </w:tc>
      </w:tr>
      <w:tr w:rsidR="00253274" w:rsidTr="00F2729F">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2729F" w:rsidRDefault="00F2729F">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tcPr>
          <w:p w:rsidR="00F2729F" w:rsidRDefault="00BA7A7F">
            <w:pPr>
              <w:pStyle w:val="TableTextBase"/>
              <w:rPr>
                <w:rFonts w:eastAsia="Calibri"/>
                <w:sz w:val="16"/>
                <w:szCs w:val="16"/>
              </w:rPr>
            </w:pPr>
            <w:r>
              <w:rPr>
                <w:rFonts w:eastAsia="Calibri"/>
                <w:sz w:val="16"/>
                <w:szCs w:val="16"/>
              </w:rPr>
              <w:t>Lower energy prices</w:t>
            </w:r>
          </w:p>
          <w:p w:rsidR="00F2729F" w:rsidRDefault="00F2729F">
            <w:pPr>
              <w:jc w:val="center"/>
              <w:rPr>
                <w:sz w:val="16"/>
                <w:szCs w:val="16"/>
              </w:rPr>
            </w:pPr>
          </w:p>
        </w:tc>
        <w:tc>
          <w:tcPr>
            <w:tcW w:w="3118" w:type="dxa"/>
            <w:tcBorders>
              <w:top w:val="single" w:sz="4" w:space="0" w:color="auto"/>
              <w:left w:val="single" w:sz="4" w:space="0" w:color="auto"/>
              <w:bottom w:val="dotted" w:sz="4" w:space="0" w:color="auto"/>
              <w:right w:val="single" w:sz="4" w:space="0" w:color="auto"/>
            </w:tcBorders>
          </w:tcPr>
          <w:p w:rsidR="00F2729F" w:rsidRDefault="00BA7A7F">
            <w:pPr>
              <w:pStyle w:val="TableTextBase"/>
              <w:rPr>
                <w:rFonts w:eastAsia="Calibri"/>
                <w:sz w:val="16"/>
                <w:szCs w:val="16"/>
              </w:rPr>
            </w:pPr>
            <w:r>
              <w:rPr>
                <w:rFonts w:eastAsia="Calibri"/>
                <w:sz w:val="16"/>
                <w:szCs w:val="16"/>
              </w:rPr>
              <w:t>Work to m</w:t>
            </w:r>
            <w:r w:rsidRPr="001F1639">
              <w:rPr>
                <w:rFonts w:eastAsia="Calibri"/>
                <w:sz w:val="16"/>
                <w:szCs w:val="16"/>
              </w:rPr>
              <w:t>aintain wholesale price &lt; $70 per MWh in the National Electricity Market</w:t>
            </w:r>
          </w:p>
          <w:p w:rsidR="00F2729F" w:rsidRDefault="00F2729F">
            <w:pPr>
              <w:pStyle w:val="TableTextBase"/>
              <w:rPr>
                <w:rFonts w:eastAsia="Calibri"/>
                <w:sz w:val="16"/>
                <w:szCs w:val="16"/>
              </w:rPr>
            </w:pPr>
          </w:p>
          <w:p w:rsidR="00F2729F" w:rsidRDefault="00BA7A7F">
            <w:pPr>
              <w:pStyle w:val="TableTextBase"/>
              <w:rPr>
                <w:rFonts w:eastAsia="Calibri"/>
                <w:sz w:val="16"/>
                <w:szCs w:val="16"/>
              </w:rPr>
            </w:pPr>
            <w:r>
              <w:rPr>
                <w:rFonts w:eastAsia="Calibri"/>
                <w:sz w:val="16"/>
                <w:szCs w:val="16"/>
              </w:rPr>
              <w:t>Domestic gas market prices lower than liquefied natural gas (LNG) netback price)</w:t>
            </w:r>
          </w:p>
        </w:tc>
      </w:tr>
      <w:tr w:rsidR="00253274" w:rsidTr="00F2729F">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2729F" w:rsidRDefault="00F2729F">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F2729F" w:rsidRDefault="00BA7A7F">
            <w:pPr>
              <w:pStyle w:val="TableTextBase"/>
              <w:rPr>
                <w:rFonts w:eastAsia="Calibri"/>
                <w:sz w:val="16"/>
                <w:szCs w:val="16"/>
              </w:rPr>
            </w:pPr>
            <w:r>
              <w:rPr>
                <w:rFonts w:eastAsia="Calibri"/>
                <w:sz w:val="16"/>
                <w:szCs w:val="16"/>
              </w:rPr>
              <w:t>Change in average Mega Joules (MJ) per m2 consumed by office buildings as they obtain successive Building Energy Efficiency Certificates (BEECs) under the Commercial Building Disclosure (CBD) program</w:t>
            </w:r>
          </w:p>
        </w:tc>
        <w:tc>
          <w:tcPr>
            <w:tcW w:w="3118" w:type="dxa"/>
            <w:tcBorders>
              <w:top w:val="single" w:sz="4" w:space="0" w:color="auto"/>
              <w:left w:val="single" w:sz="4" w:space="0" w:color="auto"/>
              <w:bottom w:val="dotted" w:sz="4" w:space="0" w:color="auto"/>
              <w:right w:val="single" w:sz="4" w:space="0" w:color="auto"/>
            </w:tcBorders>
            <w:hideMark/>
          </w:tcPr>
          <w:p w:rsidR="00F2729F" w:rsidRDefault="00BA7A7F">
            <w:pPr>
              <w:pStyle w:val="TableTextBase"/>
              <w:rPr>
                <w:rFonts w:eastAsia="Calibri"/>
                <w:sz w:val="16"/>
                <w:szCs w:val="16"/>
              </w:rPr>
            </w:pPr>
            <w:r>
              <w:rPr>
                <w:rFonts w:eastAsia="Calibri"/>
                <w:sz w:val="16"/>
                <w:szCs w:val="16"/>
              </w:rPr>
              <w:t>Reduction in MJ per m2 consumed across all office buildings rated in the current period, compared with their previous BEECs under the CBD program</w:t>
            </w:r>
          </w:p>
        </w:tc>
      </w:tr>
      <w:tr w:rsidR="00253274" w:rsidTr="00F2729F">
        <w:trPr>
          <w:trHeight w:val="491"/>
        </w:trPr>
        <w:tc>
          <w:tcPr>
            <w:tcW w:w="1560" w:type="dxa"/>
            <w:tcBorders>
              <w:top w:val="single" w:sz="4" w:space="0" w:color="auto"/>
              <w:left w:val="single" w:sz="4" w:space="0" w:color="auto"/>
              <w:bottom w:val="dotted" w:sz="4" w:space="0" w:color="auto"/>
              <w:right w:val="single" w:sz="4" w:space="0" w:color="auto"/>
            </w:tcBorders>
            <w:hideMark/>
          </w:tcPr>
          <w:p w:rsidR="00F2729F" w:rsidRDefault="00BA7A7F">
            <w:pPr>
              <w:pStyle w:val="TableTextBase"/>
              <w:rPr>
                <w:rFonts w:eastAsia="Calibri"/>
                <w:sz w:val="16"/>
                <w:szCs w:val="16"/>
              </w:rPr>
            </w:pPr>
            <w:r>
              <w:rPr>
                <w:rFonts w:eastAsia="Calibri"/>
                <w:sz w:val="16"/>
                <w:szCs w:val="16"/>
              </w:rPr>
              <w:t xml:space="preserve">Forward Estimates </w:t>
            </w:r>
          </w:p>
          <w:p w:rsidR="00F2729F" w:rsidRDefault="00BA7A7F">
            <w:pPr>
              <w:pStyle w:val="TableTextBase"/>
              <w:rPr>
                <w:rFonts w:eastAsia="Calibri"/>
                <w:b/>
                <w:sz w:val="16"/>
                <w:szCs w:val="16"/>
              </w:rPr>
            </w:pPr>
            <w:r>
              <w:rPr>
                <w:rFonts w:eastAsia="Calibri"/>
                <w:sz w:val="16"/>
                <w:szCs w:val="16"/>
              </w:rPr>
              <w:t>2023–26</w:t>
            </w:r>
          </w:p>
        </w:tc>
        <w:tc>
          <w:tcPr>
            <w:tcW w:w="3118" w:type="dxa"/>
            <w:tcBorders>
              <w:top w:val="single" w:sz="4" w:space="0" w:color="auto"/>
              <w:left w:val="single" w:sz="4" w:space="0" w:color="auto"/>
              <w:bottom w:val="dotted" w:sz="4" w:space="0" w:color="auto"/>
              <w:right w:val="single" w:sz="4" w:space="0" w:color="auto"/>
            </w:tcBorders>
            <w:hideMark/>
          </w:tcPr>
          <w:p w:rsidR="00F2729F" w:rsidRDefault="00BA7A7F">
            <w:pPr>
              <w:pStyle w:val="TableTextBase"/>
              <w:rPr>
                <w:rFonts w:eastAsia="Calibri"/>
                <w:b/>
                <w:color w:val="0070C0"/>
                <w:sz w:val="16"/>
                <w:szCs w:val="16"/>
              </w:rPr>
            </w:pPr>
            <w:r>
              <w:rPr>
                <w:rFonts w:eastAsia="Calibri"/>
                <w:sz w:val="16"/>
                <w:szCs w:val="16"/>
              </w:rPr>
              <w:t>As per 2022–23</w:t>
            </w:r>
          </w:p>
        </w:tc>
        <w:tc>
          <w:tcPr>
            <w:tcW w:w="3118" w:type="dxa"/>
            <w:tcBorders>
              <w:top w:val="single" w:sz="4" w:space="0" w:color="auto"/>
              <w:left w:val="single" w:sz="4" w:space="0" w:color="auto"/>
              <w:bottom w:val="dotted" w:sz="4" w:space="0" w:color="auto"/>
              <w:right w:val="single" w:sz="4" w:space="0" w:color="auto"/>
            </w:tcBorders>
            <w:hideMark/>
          </w:tcPr>
          <w:p w:rsidR="00F2729F" w:rsidRDefault="00BA7A7F">
            <w:pPr>
              <w:pStyle w:val="TableTextBase"/>
              <w:rPr>
                <w:rFonts w:eastAsia="Calibri"/>
                <w:b/>
                <w:color w:val="0070C0"/>
                <w:sz w:val="16"/>
                <w:szCs w:val="16"/>
              </w:rPr>
            </w:pPr>
            <w:r>
              <w:rPr>
                <w:rFonts w:eastAsia="Calibri"/>
                <w:sz w:val="16"/>
                <w:szCs w:val="16"/>
              </w:rPr>
              <w:t>As per 2022–23</w:t>
            </w:r>
          </w:p>
        </w:tc>
      </w:tr>
      <w:tr w:rsidR="00253274" w:rsidTr="00F2729F">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F2729F" w:rsidRDefault="00BA7A7F">
            <w:pPr>
              <w:pStyle w:val="TableTextBase"/>
              <w:rPr>
                <w:rFonts w:eastAsia="Cambria" w:cs="Times New Roman"/>
                <w:bCs/>
                <w:iCs/>
                <w:color w:val="0070C0"/>
                <w:spacing w:val="-6"/>
                <w:sz w:val="16"/>
                <w:szCs w:val="16"/>
                <w:lang w:val="x-none"/>
              </w:rPr>
            </w:pPr>
            <w:r>
              <w:rPr>
                <w:rFonts w:eastAsia="Calibri"/>
                <w:sz w:val="16"/>
                <w:szCs w:val="16"/>
              </w:rPr>
              <w:t>Material changes to Program 3.1 resulting from 2022–23 Budget Measures</w:t>
            </w:r>
            <w:r w:rsidRPr="00352DE5">
              <w:rPr>
                <w:rFonts w:eastAsia="Calibri"/>
                <w:sz w:val="16"/>
                <w:szCs w:val="16"/>
              </w:rPr>
              <w:t>:</w:t>
            </w:r>
            <w:r w:rsidRPr="00352DE5">
              <w:rPr>
                <w:rStyle w:val="BodyTextChar"/>
                <w:rFonts w:ascii="Arial" w:eastAsia="Calibri" w:hAnsi="Arial" w:cs="Arial"/>
                <w:bCs/>
                <w:iCs/>
                <w:color w:val="365F91"/>
                <w:spacing w:val="-6"/>
                <w:sz w:val="16"/>
                <w:szCs w:val="16"/>
              </w:rPr>
              <w:t xml:space="preserve"> </w:t>
            </w:r>
            <w:r w:rsidRPr="00352DE5">
              <w:rPr>
                <w:rStyle w:val="BodyTextChar"/>
                <w:rFonts w:ascii="Arial" w:eastAsia="Calibri" w:hAnsi="Arial" w:cs="Arial"/>
                <w:bCs/>
                <w:iCs/>
                <w:spacing w:val="-6"/>
                <w:sz w:val="16"/>
                <w:szCs w:val="16"/>
              </w:rPr>
              <w:t>Nil</w:t>
            </w:r>
          </w:p>
        </w:tc>
      </w:tr>
    </w:tbl>
    <w:p w:rsidR="004751A5" w:rsidRPr="00F2729F" w:rsidRDefault="00BA7A7F" w:rsidP="004751A5">
      <w:pPr>
        <w:pStyle w:val="ChartandTableFootnote"/>
        <w:numPr>
          <w:ilvl w:val="0"/>
          <w:numId w:val="29"/>
        </w:numPr>
        <w:spacing w:before="40"/>
        <w:ind w:left="284" w:hanging="284"/>
        <w:contextualSpacing/>
        <w:rPr>
          <w:color w:val="auto"/>
          <w:bdr w:val="none" w:sz="0" w:space="0" w:color="auto" w:frame="1"/>
          <w:lang w:val="en-AU"/>
        </w:rPr>
      </w:pPr>
      <w:r w:rsidRPr="00F2729F">
        <w:rPr>
          <w:color w:val="auto"/>
          <w:bdr w:val="none" w:sz="0" w:space="0" w:color="auto" w:frame="1"/>
          <w:lang w:val="en-AU"/>
        </w:rPr>
        <w:t>In line with the Department of Finance guidelines, the department’s performance measures relate directly to its purposes and key activities, representing a mix of qualitative and quantitative measures that provide a basis for an assessment of outputs, efficiency and effectiveness over time. The department is committed to continuous improvement and any refinements to performance criteria will be reflected in the 2022–23 Corporate Plan. As a leader in national policy for complex and multi-faceted areas such as the promotion of science, technology, engineering and mathematics (STEM); Australia’s resource development potential; supporting a secure, reliable and affordable energy sector; and supporting innovative and competitive businesses, industries and regions, the department has included measures which highlight where Australia, as a nation, stands. While the department contributes significantly to these measures, there are often many other factors at play which may affect the achievement of some of these measures. However, the department believes the measures above are important to track as a means to continually develop and improve its policies for the benefit of all Australians.</w:t>
      </w:r>
    </w:p>
    <w:p w:rsidR="0010774B" w:rsidRPr="00032FD2" w:rsidRDefault="00BA7A7F" w:rsidP="00032FD2">
      <w:pPr>
        <w:pStyle w:val="Heading2"/>
        <w:pageBreakBefore/>
        <w:spacing w:after="120"/>
        <w:rPr>
          <w:b/>
          <w:sz w:val="26"/>
          <w:szCs w:val="26"/>
        </w:rPr>
      </w:pPr>
      <w:bookmarkStart w:id="168" w:name="RG_MARKER_11700"/>
      <w:bookmarkStart w:id="169" w:name="RG_MARKER_11714"/>
      <w:bookmarkStart w:id="170" w:name="RG_MARKER_12264"/>
      <w:r w:rsidRPr="00032FD2">
        <w:rPr>
          <w:b/>
          <w:sz w:val="26"/>
          <w:szCs w:val="26"/>
        </w:rPr>
        <w:t>Section 3</w:t>
      </w:r>
      <w:bookmarkStart w:id="171" w:name="_Toc449255782"/>
      <w:bookmarkStart w:id="172" w:name="_Toc446237038"/>
      <w:bookmarkStart w:id="173" w:name="_Toc436625460"/>
      <w:bookmarkStart w:id="174" w:name="_Toc436624159"/>
      <w:bookmarkEnd w:id="168"/>
      <w:bookmarkEnd w:id="169"/>
      <w:bookmarkEnd w:id="170"/>
      <w:r w:rsidRPr="00032FD2">
        <w:rPr>
          <w:b/>
          <w:sz w:val="26"/>
          <w:szCs w:val="26"/>
        </w:rPr>
        <w:t xml:space="preserve">: </w:t>
      </w:r>
      <w:bookmarkEnd w:id="171"/>
      <w:bookmarkEnd w:id="172"/>
      <w:bookmarkEnd w:id="173"/>
      <w:bookmarkEnd w:id="174"/>
      <w:r w:rsidRPr="00032FD2">
        <w:rPr>
          <w:b/>
          <w:sz w:val="26"/>
          <w:szCs w:val="26"/>
        </w:rPr>
        <w:t>Budgeted financial statements</w:t>
      </w:r>
    </w:p>
    <w:p w:rsidR="0010774B" w:rsidRPr="001143CC" w:rsidRDefault="00BA7A7F" w:rsidP="00F45FE2">
      <w:r w:rsidRPr="0010774B">
        <w:t xml:space="preserve">Section 3 presents </w:t>
      </w:r>
      <w:r>
        <w:t xml:space="preserve">budgeted financial statements which provide a comprehensive snapshot of entity finances for </w:t>
      </w:r>
      <w:r w:rsidRPr="001143CC">
        <w:t xml:space="preserve">the </w:t>
      </w:r>
      <w:r w:rsidR="00743A76" w:rsidRPr="001143CC">
        <w:t xml:space="preserve">2022-23 </w:t>
      </w:r>
      <w:r w:rsidRPr="001143CC">
        <w:t>Budget year, including the impact of budget measures and resourcing on financial statements.</w:t>
      </w:r>
    </w:p>
    <w:p w:rsidR="007B0256" w:rsidRPr="001143CC" w:rsidRDefault="00BA7A7F" w:rsidP="004F6D9C">
      <w:pPr>
        <w:pStyle w:val="Heading3"/>
        <w:rPr>
          <w:smallCaps w:val="0"/>
          <w:sz w:val="22"/>
          <w:szCs w:val="22"/>
        </w:rPr>
      </w:pPr>
      <w:bookmarkStart w:id="175" w:name="_Toc210703218"/>
      <w:bookmarkStart w:id="176" w:name="_Toc190682533"/>
      <w:bookmarkStart w:id="177" w:name="_Toc190682316"/>
      <w:r w:rsidRPr="001143CC">
        <w:rPr>
          <w:smallCaps w:val="0"/>
          <w:sz w:val="22"/>
          <w:szCs w:val="22"/>
        </w:rPr>
        <w:t>3.1</w:t>
      </w:r>
      <w:r w:rsidRPr="001143CC">
        <w:rPr>
          <w:smallCaps w:val="0"/>
          <w:sz w:val="22"/>
          <w:szCs w:val="22"/>
        </w:rPr>
        <w:tab/>
      </w:r>
      <w:bookmarkEnd w:id="175"/>
      <w:bookmarkEnd w:id="176"/>
      <w:bookmarkEnd w:id="177"/>
      <w:r w:rsidRPr="001143CC">
        <w:rPr>
          <w:smallCaps w:val="0"/>
          <w:sz w:val="22"/>
          <w:szCs w:val="22"/>
        </w:rPr>
        <w:t xml:space="preserve"> Budgeted financial statements</w:t>
      </w:r>
    </w:p>
    <w:p w:rsidR="00274F27" w:rsidRPr="001143CC" w:rsidRDefault="00BA7A7F" w:rsidP="00274F27">
      <w:pPr>
        <w:pStyle w:val="Heading4"/>
        <w:spacing w:before="0"/>
        <w:rPr>
          <w:i/>
          <w:sz w:val="20"/>
        </w:rPr>
      </w:pPr>
      <w:r w:rsidRPr="001143CC">
        <w:rPr>
          <w:sz w:val="20"/>
        </w:rPr>
        <w:t>3.1.1</w:t>
      </w:r>
      <w:r w:rsidRPr="001143CC">
        <w:rPr>
          <w:sz w:val="20"/>
        </w:rPr>
        <w:tab/>
        <w:t>Differences between entity resourcing and financial statements</w:t>
      </w:r>
    </w:p>
    <w:p w:rsidR="00274F27" w:rsidRPr="001143CC" w:rsidRDefault="00BA7A7F" w:rsidP="007172EC">
      <w:pPr>
        <w:spacing w:after="120"/>
        <w:rPr>
          <w:rStyle w:val="BookTitle"/>
          <w:iCs/>
        </w:rPr>
      </w:pPr>
      <w:r w:rsidRPr="001143CC">
        <w:t>There are no material differences between the entity resources table and the financial statements.</w:t>
      </w:r>
    </w:p>
    <w:p w:rsidR="00274F27" w:rsidRPr="001143CC" w:rsidRDefault="00BA7A7F" w:rsidP="00DD130E">
      <w:pPr>
        <w:pStyle w:val="Heading4"/>
        <w:rPr>
          <w:i/>
          <w:sz w:val="20"/>
        </w:rPr>
      </w:pPr>
      <w:r w:rsidRPr="001143CC">
        <w:rPr>
          <w:sz w:val="20"/>
        </w:rPr>
        <w:t>3.1.2</w:t>
      </w:r>
      <w:r w:rsidRPr="001143CC">
        <w:rPr>
          <w:sz w:val="20"/>
        </w:rPr>
        <w:tab/>
        <w:t xml:space="preserve">Explanatory notes and analysis of budgeted financial statements </w:t>
      </w:r>
    </w:p>
    <w:p w:rsidR="00274F27" w:rsidRPr="001143CC" w:rsidRDefault="00BA7A7F" w:rsidP="00326CF4">
      <w:pPr>
        <w:rPr>
          <w:rFonts w:ascii="Arial" w:hAnsi="Arial" w:cs="Arial"/>
          <w:b/>
        </w:rPr>
      </w:pPr>
      <w:r w:rsidRPr="001143CC">
        <w:rPr>
          <w:rFonts w:ascii="Arial" w:hAnsi="Arial" w:cs="Arial"/>
          <w:b/>
        </w:rPr>
        <w:t>Dep</w:t>
      </w:r>
      <w:r w:rsidR="00BB17E4" w:rsidRPr="001143CC">
        <w:rPr>
          <w:rFonts w:ascii="Arial" w:hAnsi="Arial" w:cs="Arial"/>
          <w:b/>
        </w:rPr>
        <w:t>artmental Financial Statements</w:t>
      </w:r>
    </w:p>
    <w:p w:rsidR="00BB17E4" w:rsidRPr="001143CC" w:rsidRDefault="00BA7A7F" w:rsidP="0069460E">
      <w:pPr>
        <w:spacing w:before="60" w:after="60" w:line="240" w:lineRule="auto"/>
        <w:rPr>
          <w:rFonts w:cs="Arial"/>
          <w:b/>
        </w:rPr>
      </w:pPr>
      <w:r w:rsidRPr="001143CC">
        <w:rPr>
          <w:rFonts w:cs="Arial"/>
          <w:b/>
        </w:rPr>
        <w:t>Budgeted Departmental Income Statement</w:t>
      </w:r>
    </w:p>
    <w:p w:rsidR="00BB17E4" w:rsidRPr="001143CC" w:rsidRDefault="00BA7A7F" w:rsidP="007172EC">
      <w:pPr>
        <w:spacing w:after="120"/>
      </w:pPr>
      <w:r w:rsidRPr="001143CC">
        <w:t>The statement shows the estimated net cost of services for the department.</w:t>
      </w:r>
    </w:p>
    <w:p w:rsidR="00BB17E4" w:rsidRPr="001143CC" w:rsidRDefault="00BA7A7F" w:rsidP="007172EC">
      <w:pPr>
        <w:spacing w:after="120"/>
      </w:pPr>
      <w:r w:rsidRPr="001143CC">
        <w:t>The budgeted net cost to the department</w:t>
      </w:r>
      <w:r w:rsidR="00925BF8" w:rsidRPr="001143CC">
        <w:t xml:space="preserve"> for delivering its programs in </w:t>
      </w:r>
      <w:r w:rsidR="00743A76" w:rsidRPr="001143CC">
        <w:t>2022-23</w:t>
      </w:r>
      <w:r w:rsidR="00925BF8" w:rsidRPr="001143CC">
        <w:t xml:space="preserve"> is $</w:t>
      </w:r>
      <w:r w:rsidRPr="001143CC">
        <w:t>762.1</w:t>
      </w:r>
      <w:r w:rsidR="00BA7265" w:rsidRPr="001143CC">
        <w:t xml:space="preserve"> </w:t>
      </w:r>
      <w:r w:rsidR="00925BF8" w:rsidRPr="001143CC">
        <w:t xml:space="preserve">million. </w:t>
      </w:r>
    </w:p>
    <w:p w:rsidR="00925BF8" w:rsidRPr="001143CC" w:rsidRDefault="00BA7A7F" w:rsidP="0069460E">
      <w:pPr>
        <w:spacing w:before="60" w:after="60" w:line="240" w:lineRule="auto"/>
        <w:rPr>
          <w:rFonts w:cs="Arial"/>
          <w:b/>
        </w:rPr>
      </w:pPr>
      <w:r w:rsidRPr="001143CC">
        <w:rPr>
          <w:rFonts w:cs="Arial"/>
          <w:b/>
        </w:rPr>
        <w:t>Expenses</w:t>
      </w:r>
    </w:p>
    <w:p w:rsidR="00925BF8" w:rsidRPr="001143CC" w:rsidRDefault="00BA7A7F" w:rsidP="007172EC">
      <w:pPr>
        <w:spacing w:after="120"/>
      </w:pPr>
      <w:r w:rsidRPr="001143CC">
        <w:t xml:space="preserve">Total departmental expenses </w:t>
      </w:r>
      <w:r w:rsidR="00C93333" w:rsidRPr="001143CC">
        <w:t xml:space="preserve">budgeted for in </w:t>
      </w:r>
      <w:r w:rsidR="00743A76" w:rsidRPr="001143CC">
        <w:t xml:space="preserve">2022-23 </w:t>
      </w:r>
      <w:r w:rsidR="00C93333" w:rsidRPr="001143CC">
        <w:t>are $</w:t>
      </w:r>
      <w:r w:rsidR="00BA7265" w:rsidRPr="001143CC">
        <w:t>841.4</w:t>
      </w:r>
      <w:r w:rsidRPr="001143CC">
        <w:t xml:space="preserve"> million, comprising $</w:t>
      </w:r>
      <w:r w:rsidR="00BA7265" w:rsidRPr="001143CC">
        <w:t>430.3</w:t>
      </w:r>
      <w:r w:rsidRPr="001143CC">
        <w:t> mil</w:t>
      </w:r>
      <w:r w:rsidR="00C93333" w:rsidRPr="001143CC">
        <w:t>lion for employee expenses, $</w:t>
      </w:r>
      <w:r w:rsidR="00BA7265" w:rsidRPr="001143CC">
        <w:t>324.9</w:t>
      </w:r>
      <w:r w:rsidR="00C93333" w:rsidRPr="001143CC">
        <w:t> million for suppliers, $</w:t>
      </w:r>
      <w:r w:rsidR="00BA7265" w:rsidRPr="001143CC">
        <w:t>76.3</w:t>
      </w:r>
      <w:r w:rsidRPr="001143CC">
        <w:t xml:space="preserve"> million for dep</w:t>
      </w:r>
      <w:r w:rsidR="00C93333" w:rsidRPr="001143CC">
        <w:t>reciation and amortisation, $</w:t>
      </w:r>
      <w:r w:rsidR="00BA7265" w:rsidRPr="001143CC">
        <w:t>6.8</w:t>
      </w:r>
      <w:r w:rsidR="00C93333" w:rsidRPr="001143CC">
        <w:t> million for grants and $</w:t>
      </w:r>
      <w:r w:rsidR="00BA7265" w:rsidRPr="001143CC">
        <w:t>3.</w:t>
      </w:r>
      <w:r w:rsidR="00111BDB" w:rsidRPr="001143CC">
        <w:t>2</w:t>
      </w:r>
      <w:r w:rsidR="00CD15FC" w:rsidRPr="001143CC">
        <w:t> </w:t>
      </w:r>
      <w:r w:rsidRPr="001143CC">
        <w:t>million for finance costs</w:t>
      </w:r>
      <w:r w:rsidR="00111BDB" w:rsidRPr="001143CC">
        <w:t xml:space="preserve"> and other expenses</w:t>
      </w:r>
      <w:r w:rsidRPr="001143CC">
        <w:t>.</w:t>
      </w:r>
    </w:p>
    <w:p w:rsidR="00925BF8" w:rsidRPr="001143CC" w:rsidRDefault="00BA7A7F" w:rsidP="0069460E">
      <w:pPr>
        <w:spacing w:before="60" w:after="60" w:line="240" w:lineRule="auto"/>
        <w:rPr>
          <w:rFonts w:cs="Arial"/>
          <w:b/>
        </w:rPr>
      </w:pPr>
      <w:r w:rsidRPr="001143CC">
        <w:rPr>
          <w:rFonts w:cs="Arial"/>
          <w:b/>
        </w:rPr>
        <w:t>Income</w:t>
      </w:r>
    </w:p>
    <w:p w:rsidR="00925BF8" w:rsidRPr="001143CC" w:rsidRDefault="00BA7A7F" w:rsidP="007172EC">
      <w:pPr>
        <w:spacing w:after="120"/>
      </w:pPr>
      <w:r w:rsidRPr="001143CC">
        <w:t>Total departmental own</w:t>
      </w:r>
      <w:r w:rsidRPr="001143CC">
        <w:noBreakHyphen/>
        <w:t>source income</w:t>
      </w:r>
      <w:r w:rsidR="00C01451" w:rsidRPr="001143CC">
        <w:t xml:space="preserve"> budgeted for in </w:t>
      </w:r>
      <w:r w:rsidR="00743A76" w:rsidRPr="001143CC">
        <w:t>2022-23 i</w:t>
      </w:r>
      <w:r w:rsidRPr="001143CC">
        <w:t>s $78.6 million, comprising $69.3 million from sales of goods an</w:t>
      </w:r>
      <w:r w:rsidR="00CD4E9A" w:rsidRPr="001143CC">
        <w:t xml:space="preserve">d </w:t>
      </w:r>
      <w:r w:rsidRPr="001143CC">
        <w:t>rendering of services, $2.8 million from rental income and $</w:t>
      </w:r>
      <w:r w:rsidR="00432F08" w:rsidRPr="001143CC">
        <w:t xml:space="preserve">6.5 </w:t>
      </w:r>
      <w:r w:rsidRPr="001143CC">
        <w:t>million from other independent sources.</w:t>
      </w:r>
    </w:p>
    <w:p w:rsidR="0081522F" w:rsidRPr="001143CC" w:rsidRDefault="00BA7A7F" w:rsidP="007172EC">
      <w:pPr>
        <w:spacing w:after="120"/>
      </w:pPr>
      <w:r w:rsidRPr="001143CC">
        <w:t xml:space="preserve">Revenue from government for </w:t>
      </w:r>
      <w:r w:rsidR="00743A76" w:rsidRPr="001143CC">
        <w:t xml:space="preserve">2022-23 </w:t>
      </w:r>
      <w:r w:rsidRPr="001143CC">
        <w:t>is budgeted at $</w:t>
      </w:r>
      <w:r w:rsidR="00432F08" w:rsidRPr="001143CC">
        <w:t>715.4</w:t>
      </w:r>
      <w:r w:rsidRPr="001143CC">
        <w:t xml:space="preserve"> million.</w:t>
      </w:r>
    </w:p>
    <w:p w:rsidR="0081522F" w:rsidRPr="001143CC" w:rsidRDefault="00BA7A7F" w:rsidP="0069460E">
      <w:pPr>
        <w:spacing w:before="60" w:after="60" w:line="240" w:lineRule="auto"/>
        <w:rPr>
          <w:rFonts w:cs="Arial"/>
          <w:b/>
        </w:rPr>
      </w:pPr>
      <w:r w:rsidRPr="001143CC">
        <w:rPr>
          <w:rFonts w:cs="Arial"/>
          <w:b/>
        </w:rPr>
        <w:t>Budgeted Departmental Balance Sheet</w:t>
      </w:r>
    </w:p>
    <w:p w:rsidR="0081522F" w:rsidRPr="001143CC" w:rsidRDefault="00BA7A7F" w:rsidP="007172EC">
      <w:pPr>
        <w:spacing w:after="120"/>
      </w:pPr>
      <w:r w:rsidRPr="001143CC">
        <w:t>The statement shows the estimated end of year position for departmental assets and liabilities.</w:t>
      </w:r>
    </w:p>
    <w:p w:rsidR="0081522F" w:rsidRPr="001143CC" w:rsidRDefault="00BA7A7F" w:rsidP="0069460E">
      <w:pPr>
        <w:spacing w:before="60" w:after="60" w:line="240" w:lineRule="auto"/>
        <w:rPr>
          <w:rFonts w:cs="Arial"/>
          <w:b/>
        </w:rPr>
      </w:pPr>
      <w:r w:rsidRPr="001143CC">
        <w:rPr>
          <w:rFonts w:cs="Arial"/>
          <w:b/>
        </w:rPr>
        <w:t>Assets</w:t>
      </w:r>
    </w:p>
    <w:p w:rsidR="0081522F" w:rsidRPr="001143CC" w:rsidRDefault="00BA7A7F" w:rsidP="007172EC">
      <w:pPr>
        <w:spacing w:after="120"/>
      </w:pPr>
      <w:r w:rsidRPr="001143CC">
        <w:t>Total departmental asse</w:t>
      </w:r>
      <w:r w:rsidR="00C01451" w:rsidRPr="001143CC">
        <w:t xml:space="preserve">ts budgeted for </w:t>
      </w:r>
      <w:r w:rsidR="00743A76" w:rsidRPr="001143CC">
        <w:t xml:space="preserve">2022-23 </w:t>
      </w:r>
      <w:r w:rsidRPr="001143CC">
        <w:t>are $</w:t>
      </w:r>
      <w:r w:rsidR="00432F08" w:rsidRPr="001143CC">
        <w:t>668.8</w:t>
      </w:r>
      <w:r w:rsidR="00C01451" w:rsidRPr="001143CC">
        <w:t> million,</w:t>
      </w:r>
      <w:r w:rsidRPr="001143CC">
        <w:t xml:space="preserve"> comprising $</w:t>
      </w:r>
      <w:r w:rsidR="00432F08" w:rsidRPr="001143CC">
        <w:t>516.0</w:t>
      </w:r>
      <w:r w:rsidR="00C01451" w:rsidRPr="001143CC">
        <w:t> million</w:t>
      </w:r>
      <w:r w:rsidRPr="001143CC">
        <w:t xml:space="preserve"> non</w:t>
      </w:r>
      <w:r w:rsidRPr="001143CC">
        <w:noBreakHyphen/>
        <w:t>financial assets and $</w:t>
      </w:r>
      <w:r w:rsidR="00432F08" w:rsidRPr="001143CC">
        <w:t>152.8</w:t>
      </w:r>
      <w:r w:rsidRPr="001143CC">
        <w:t> million financial assets.</w:t>
      </w:r>
    </w:p>
    <w:p w:rsidR="000E58D7" w:rsidRPr="001143CC" w:rsidRDefault="00BA7A7F" w:rsidP="007172EC">
      <w:pPr>
        <w:spacing w:after="120"/>
      </w:pPr>
      <w:r w:rsidRPr="001143CC">
        <w:t>No</w:t>
      </w:r>
      <w:r w:rsidR="0042145B" w:rsidRPr="001143CC">
        <w:t>n</w:t>
      </w:r>
      <w:r w:rsidR="0042145B" w:rsidRPr="001143CC">
        <w:softHyphen/>
      </w:r>
      <w:r w:rsidRPr="001143CC">
        <w:noBreakHyphen/>
        <w:t>financial assets include $</w:t>
      </w:r>
      <w:r w:rsidR="00432F08" w:rsidRPr="001143CC">
        <w:t>335.3</w:t>
      </w:r>
      <w:r w:rsidRPr="001143CC">
        <w:t xml:space="preserve"> mill</w:t>
      </w:r>
      <w:r w:rsidR="00CD4E9A" w:rsidRPr="001143CC">
        <w:t>io</w:t>
      </w:r>
      <w:r w:rsidRPr="001143CC">
        <w:t>n for land and buildings, $</w:t>
      </w:r>
      <w:r w:rsidR="00791521" w:rsidRPr="001143CC">
        <w:t>126.5</w:t>
      </w:r>
      <w:r w:rsidRPr="001143CC">
        <w:t> million for intangibles, $</w:t>
      </w:r>
      <w:r w:rsidR="00791521" w:rsidRPr="001143CC">
        <w:t>43.9</w:t>
      </w:r>
      <w:r w:rsidRPr="001143CC">
        <w:t> million for pro</w:t>
      </w:r>
      <w:r w:rsidR="00CD4E9A" w:rsidRPr="001143CC">
        <w:t>perty, plant and</w:t>
      </w:r>
      <w:r w:rsidRPr="001143CC">
        <w:t xml:space="preserve"> equipment, $</w:t>
      </w:r>
      <w:r w:rsidR="00791521" w:rsidRPr="001143CC">
        <w:t xml:space="preserve">2.1 </w:t>
      </w:r>
      <w:r w:rsidRPr="001143CC">
        <w:t>million for inventories</w:t>
      </w:r>
      <w:r w:rsidR="0002540E" w:rsidRPr="001143CC">
        <w:t>,</w:t>
      </w:r>
      <w:r w:rsidRPr="001143CC">
        <w:t xml:space="preserve"> and $</w:t>
      </w:r>
      <w:r w:rsidR="00791521" w:rsidRPr="001143CC">
        <w:t>8.2</w:t>
      </w:r>
      <w:r w:rsidRPr="001143CC">
        <w:t xml:space="preserve"> million in other assets. </w:t>
      </w:r>
      <w:r w:rsidR="0042145B" w:rsidRPr="001143CC">
        <w:t>Fi</w:t>
      </w:r>
      <w:r w:rsidRPr="001143CC">
        <w:t>nancial assets consist of $</w:t>
      </w:r>
      <w:r w:rsidR="00791521" w:rsidRPr="001143CC">
        <w:t xml:space="preserve">109.8 </w:t>
      </w:r>
      <w:r w:rsidRPr="001143CC">
        <w:t>million for receivables, $</w:t>
      </w:r>
      <w:r w:rsidR="00791521" w:rsidRPr="001143CC">
        <w:t>28.9</w:t>
      </w:r>
      <w:r w:rsidRPr="001143CC">
        <w:t> million for cash, and $14.1</w:t>
      </w:r>
      <w:r w:rsidR="0002540E" w:rsidRPr="001143CC">
        <w:t xml:space="preserve"> million in other financial assets.</w:t>
      </w:r>
    </w:p>
    <w:p w:rsidR="0002540E" w:rsidRPr="001143CC" w:rsidRDefault="00BA7A7F" w:rsidP="005F2ED1">
      <w:pPr>
        <w:spacing w:before="60" w:after="60" w:line="240" w:lineRule="auto"/>
        <w:rPr>
          <w:rFonts w:cs="Arial"/>
          <w:b/>
        </w:rPr>
      </w:pPr>
      <w:r w:rsidRPr="001143CC">
        <w:rPr>
          <w:rFonts w:cs="Arial"/>
          <w:b/>
        </w:rPr>
        <w:t>Liabilities</w:t>
      </w:r>
    </w:p>
    <w:p w:rsidR="0002540E" w:rsidRPr="001143CC" w:rsidRDefault="00BA7A7F" w:rsidP="005F2ED1">
      <w:pPr>
        <w:spacing w:before="60" w:after="60" w:line="240" w:lineRule="auto"/>
      </w:pPr>
      <w:r w:rsidRPr="005F2ED1">
        <w:rPr>
          <w:rFonts w:cs="Arial"/>
        </w:rPr>
        <w:t>Total</w:t>
      </w:r>
      <w:r w:rsidRPr="005F2ED1">
        <w:t xml:space="preserve"> </w:t>
      </w:r>
      <w:r w:rsidRPr="001143CC">
        <w:t xml:space="preserve">departmental liabilities </w:t>
      </w:r>
      <w:r w:rsidR="0042145B" w:rsidRPr="001143CC">
        <w:t xml:space="preserve">budgeted for in </w:t>
      </w:r>
      <w:r w:rsidR="00743A76" w:rsidRPr="001143CC">
        <w:t xml:space="preserve">2022-23 </w:t>
      </w:r>
      <w:r w:rsidRPr="001143CC">
        <w:t>are $</w:t>
      </w:r>
      <w:r w:rsidR="00791521" w:rsidRPr="001143CC">
        <w:t xml:space="preserve">444.6 </w:t>
      </w:r>
      <w:r w:rsidR="0042145B" w:rsidRPr="001143CC">
        <w:t>million,</w:t>
      </w:r>
      <w:r w:rsidRPr="001143CC">
        <w:t xml:space="preserve"> comprising $</w:t>
      </w:r>
      <w:r w:rsidR="00791521" w:rsidRPr="001143CC">
        <w:t>250.2</w:t>
      </w:r>
      <w:r w:rsidRPr="001143CC">
        <w:t> million in interest</w:t>
      </w:r>
      <w:r w:rsidRPr="001143CC">
        <w:noBreakHyphen/>
        <w:t>bearing liabilities, $129</w:t>
      </w:r>
      <w:r w:rsidR="00791521" w:rsidRPr="001143CC">
        <w:t>.9</w:t>
      </w:r>
      <w:r w:rsidR="00CD4E9A" w:rsidRPr="001143CC">
        <w:t> </w:t>
      </w:r>
      <w:r w:rsidRPr="001143CC">
        <w:t>million in provisions and $64.5 million in payables.</w:t>
      </w:r>
    </w:p>
    <w:p w:rsidR="00F12CE8" w:rsidRPr="001143CC" w:rsidRDefault="00BA7A7F" w:rsidP="0069460E">
      <w:pPr>
        <w:spacing w:before="60" w:after="60" w:line="240" w:lineRule="auto"/>
        <w:rPr>
          <w:rFonts w:cs="Arial"/>
          <w:b/>
        </w:rPr>
      </w:pPr>
      <w:r w:rsidRPr="001143CC">
        <w:rPr>
          <w:rFonts w:cs="Arial"/>
          <w:b/>
        </w:rPr>
        <w:t>Statement of Changes in Equity – Summary of movement</w:t>
      </w:r>
    </w:p>
    <w:p w:rsidR="00F12CE8" w:rsidRPr="001143CC" w:rsidRDefault="00BA7A7F" w:rsidP="007172EC">
      <w:pPr>
        <w:spacing w:after="120"/>
      </w:pPr>
      <w:r w:rsidRPr="001143CC">
        <w:t>The statement shows the expected movement of equity during the budget year.</w:t>
      </w:r>
    </w:p>
    <w:p w:rsidR="0002540E" w:rsidRPr="001143CC" w:rsidRDefault="00BA7A7F" w:rsidP="00B378E8">
      <w:pPr>
        <w:spacing w:before="60" w:after="60" w:line="240" w:lineRule="auto"/>
        <w:rPr>
          <w:rFonts w:cs="Arial"/>
          <w:b/>
        </w:rPr>
      </w:pPr>
      <w:r w:rsidRPr="001143CC">
        <w:rPr>
          <w:rFonts w:cs="Arial"/>
          <w:b/>
        </w:rPr>
        <w:t>Budgeted Departmental Statement of Cash Flows</w:t>
      </w:r>
    </w:p>
    <w:p w:rsidR="0002540E" w:rsidRPr="001143CC" w:rsidRDefault="00BA7A7F" w:rsidP="007172EC">
      <w:pPr>
        <w:spacing w:after="120"/>
      </w:pPr>
      <w:r w:rsidRPr="001143CC">
        <w:t>The statement provides information on estimates of the extent and nature of cash flows by categorising the expected cash flows against operating, investing and financing activities.</w:t>
      </w:r>
    </w:p>
    <w:p w:rsidR="00F12CE8" w:rsidRPr="00326CF4" w:rsidRDefault="00BA7A7F" w:rsidP="00326CF4">
      <w:pPr>
        <w:rPr>
          <w:rFonts w:ascii="Arial" w:hAnsi="Arial" w:cs="Arial"/>
          <w:b/>
        </w:rPr>
      </w:pPr>
      <w:r w:rsidRPr="001143CC">
        <w:rPr>
          <w:rFonts w:ascii="Arial" w:hAnsi="Arial" w:cs="Arial"/>
          <w:b/>
        </w:rPr>
        <w:t>Administered Financial Statements</w:t>
      </w:r>
    </w:p>
    <w:p w:rsidR="00274F27" w:rsidRPr="00B2573C" w:rsidRDefault="00BA7A7F" w:rsidP="0069460E">
      <w:pPr>
        <w:spacing w:before="60" w:after="60" w:line="240" w:lineRule="auto"/>
        <w:rPr>
          <w:rFonts w:cs="Arial"/>
          <w:b/>
        </w:rPr>
      </w:pPr>
      <w:r w:rsidRPr="00B2573C">
        <w:rPr>
          <w:rFonts w:cs="Arial"/>
          <w:b/>
        </w:rPr>
        <w:t>Schedule of Budgeted Income and Expenses</w:t>
      </w:r>
    </w:p>
    <w:p w:rsidR="00F12CE8" w:rsidRDefault="00BA7A7F" w:rsidP="00B322DE">
      <w:pPr>
        <w:spacing w:after="120"/>
      </w:pPr>
      <w:r>
        <w:t>The schedule shows the estimated income and expenses for programs administered by the department on behalf of the Government.</w:t>
      </w:r>
    </w:p>
    <w:p w:rsidR="00F12CE8" w:rsidRPr="00B2573C" w:rsidRDefault="00BA7A7F" w:rsidP="0069460E">
      <w:pPr>
        <w:spacing w:before="60" w:after="60" w:line="240" w:lineRule="auto"/>
        <w:rPr>
          <w:rFonts w:cs="Arial"/>
          <w:b/>
        </w:rPr>
      </w:pPr>
      <w:r w:rsidRPr="00B2573C">
        <w:rPr>
          <w:rFonts w:cs="Arial"/>
          <w:b/>
        </w:rPr>
        <w:t>Expenses</w:t>
      </w:r>
    </w:p>
    <w:p w:rsidR="00F12CE8" w:rsidRPr="00BC3172" w:rsidRDefault="00BA7A7F" w:rsidP="00B322DE">
      <w:pPr>
        <w:spacing w:after="120"/>
      </w:pPr>
      <w:r>
        <w:t xml:space="preserve">Total administered expenses </w:t>
      </w:r>
      <w:r w:rsidR="0042145B">
        <w:t xml:space="preserve">budgeted </w:t>
      </w:r>
      <w:r w:rsidR="0042145B" w:rsidRPr="005213C5">
        <w:t xml:space="preserve">for in </w:t>
      </w:r>
      <w:r w:rsidR="00743A76" w:rsidRPr="005213C5">
        <w:t xml:space="preserve">2022-23 </w:t>
      </w:r>
      <w:r w:rsidRPr="005213C5">
        <w:t>are $</w:t>
      </w:r>
      <w:r w:rsidR="00CD1170" w:rsidRPr="005213C5">
        <w:t>4.3</w:t>
      </w:r>
      <w:r w:rsidR="0042145B" w:rsidRPr="005213C5">
        <w:t> billion, repr</w:t>
      </w:r>
      <w:r w:rsidRPr="005213C5">
        <w:t>esented by $</w:t>
      </w:r>
      <w:r w:rsidR="00DB01E6" w:rsidRPr="005213C5">
        <w:t>1.7</w:t>
      </w:r>
      <w:r w:rsidRPr="005213C5">
        <w:t> billion in payments to corporate entities, $</w:t>
      </w:r>
      <w:r w:rsidR="005213C5" w:rsidRPr="005213C5">
        <w:t>2.0</w:t>
      </w:r>
      <w:r w:rsidRPr="005213C5">
        <w:t> billion in grants</w:t>
      </w:r>
      <w:r w:rsidR="005213C5" w:rsidRPr="005213C5">
        <w:t xml:space="preserve"> and subsidies</w:t>
      </w:r>
      <w:r w:rsidRPr="005213C5">
        <w:t>, $</w:t>
      </w:r>
      <w:r w:rsidR="00DB01E6" w:rsidRPr="005213C5">
        <w:t>5</w:t>
      </w:r>
      <w:r w:rsidR="005213C5" w:rsidRPr="005213C5">
        <w:t xml:space="preserve">67.4 </w:t>
      </w:r>
      <w:r w:rsidRPr="005213C5">
        <w:t>million in suppliers</w:t>
      </w:r>
      <w:r w:rsidR="005213C5" w:rsidRPr="005213C5">
        <w:t>, $8.8 million in employee benefits</w:t>
      </w:r>
      <w:r w:rsidRPr="005213C5">
        <w:t>, $</w:t>
      </w:r>
      <w:r w:rsidR="005213C5" w:rsidRPr="005213C5">
        <w:t>2.9 million in write</w:t>
      </w:r>
      <w:r w:rsidR="005213C5" w:rsidRPr="005213C5">
        <w:noBreakHyphen/>
        <w:t xml:space="preserve">downs and </w:t>
      </w:r>
      <w:r w:rsidRPr="005213C5">
        <w:t>impairments</w:t>
      </w:r>
      <w:r w:rsidR="005213C5" w:rsidRPr="005213C5">
        <w:t xml:space="preserve"> and depreciation and amortisation,</w:t>
      </w:r>
      <w:r w:rsidR="00CD4E9A" w:rsidRPr="005213C5">
        <w:t xml:space="preserve"> and</w:t>
      </w:r>
      <w:r w:rsidR="005213C5" w:rsidRPr="005213C5">
        <w:t xml:space="preserve"> $0.2 million in </w:t>
      </w:r>
      <w:r w:rsidR="005213C5" w:rsidRPr="00BC3172">
        <w:t>finance costs.</w:t>
      </w:r>
    </w:p>
    <w:p w:rsidR="000078DB" w:rsidRPr="00BC3172" w:rsidRDefault="00BA7A7F" w:rsidP="0069460E">
      <w:pPr>
        <w:spacing w:before="60" w:after="60" w:line="240" w:lineRule="auto"/>
        <w:rPr>
          <w:rFonts w:cs="Arial"/>
          <w:b/>
        </w:rPr>
      </w:pPr>
      <w:r w:rsidRPr="00BC3172">
        <w:rPr>
          <w:rFonts w:cs="Arial"/>
          <w:b/>
        </w:rPr>
        <w:t>Income</w:t>
      </w:r>
    </w:p>
    <w:p w:rsidR="00274F27" w:rsidRDefault="00BA7A7F" w:rsidP="00EC0D83">
      <w:pPr>
        <w:spacing w:after="120"/>
      </w:pPr>
      <w:r w:rsidRPr="00BC3172">
        <w:t>Total administered income</w:t>
      </w:r>
      <w:r w:rsidR="0075328D" w:rsidRPr="00BC3172">
        <w:t xml:space="preserve"> budgeted for in </w:t>
      </w:r>
      <w:r w:rsidR="00743A76" w:rsidRPr="00BC3172">
        <w:t xml:space="preserve">2022-23 </w:t>
      </w:r>
      <w:r w:rsidRPr="00BC3172">
        <w:t>is $</w:t>
      </w:r>
      <w:r w:rsidR="004B61EC" w:rsidRPr="00BC3172">
        <w:t>1.4 billion</w:t>
      </w:r>
      <w:r w:rsidRPr="00BC3172">
        <w:t>, represented by $</w:t>
      </w:r>
      <w:r w:rsidR="004B61EC" w:rsidRPr="00BC3172">
        <w:t>1.2 billion</w:t>
      </w:r>
      <w:r w:rsidRPr="00BC3172">
        <w:t xml:space="preserve"> in royalties, $</w:t>
      </w:r>
      <w:r w:rsidR="004B61EC" w:rsidRPr="00BC3172">
        <w:t>172.5</w:t>
      </w:r>
      <w:r w:rsidRPr="00BC3172">
        <w:t> million in dividends,</w:t>
      </w:r>
      <w:r w:rsidR="000F25BC" w:rsidRPr="00BC3172">
        <w:t xml:space="preserve"> $56.9 million in fees from regulatory services,</w:t>
      </w:r>
      <w:r w:rsidRPr="00BC3172">
        <w:t xml:space="preserve"> $</w:t>
      </w:r>
      <w:r w:rsidR="000F25BC" w:rsidRPr="00BC3172">
        <w:t>10.5</w:t>
      </w:r>
      <w:r w:rsidRPr="00BC3172">
        <w:t> million in interest, $</w:t>
      </w:r>
      <w:r w:rsidR="000F25BC" w:rsidRPr="00BC3172">
        <w:t>9.9</w:t>
      </w:r>
      <w:r>
        <w:t> million in other non-taxation revenue</w:t>
      </w:r>
      <w:r w:rsidRPr="00BC3172">
        <w:t xml:space="preserve"> and $</w:t>
      </w:r>
      <w:r w:rsidR="00BC3172" w:rsidRPr="00BC3172">
        <w:t>5.2</w:t>
      </w:r>
      <w:r w:rsidRPr="00BC3172">
        <w:t xml:space="preserve"> million in </w:t>
      </w:r>
      <w:r w:rsidR="00BC3172" w:rsidRPr="00BC3172">
        <w:t>fees</w:t>
      </w:r>
      <w:r w:rsidRPr="00BC3172">
        <w:t>.</w:t>
      </w:r>
    </w:p>
    <w:p w:rsidR="000078DB" w:rsidRPr="00B2573C" w:rsidRDefault="00BA7A7F" w:rsidP="00115E89">
      <w:pPr>
        <w:spacing w:before="60" w:after="60" w:line="240" w:lineRule="auto"/>
        <w:rPr>
          <w:rFonts w:cs="Arial"/>
          <w:b/>
        </w:rPr>
      </w:pPr>
      <w:r w:rsidRPr="00B2573C">
        <w:rPr>
          <w:rFonts w:cs="Arial"/>
          <w:b/>
        </w:rPr>
        <w:t>Schedule of Budgeted Assets and Liabilities</w:t>
      </w:r>
    </w:p>
    <w:p w:rsidR="000078DB" w:rsidRDefault="00BA7A7F" w:rsidP="00B322DE">
      <w:pPr>
        <w:spacing w:after="120"/>
      </w:pPr>
      <w:r>
        <w:t>The schedule shows the estimated end of year position for assets and liabilities administered by the department on behalf of the Government.</w:t>
      </w:r>
    </w:p>
    <w:p w:rsidR="000078DB" w:rsidRPr="00B2573C" w:rsidRDefault="00BA7A7F" w:rsidP="0069460E">
      <w:pPr>
        <w:spacing w:before="60" w:after="60" w:line="240" w:lineRule="auto"/>
        <w:rPr>
          <w:rFonts w:cs="Arial"/>
          <w:b/>
        </w:rPr>
      </w:pPr>
      <w:r w:rsidRPr="00B2573C">
        <w:rPr>
          <w:rFonts w:cs="Arial"/>
          <w:b/>
        </w:rPr>
        <w:t>Assets</w:t>
      </w:r>
    </w:p>
    <w:p w:rsidR="00681C5F" w:rsidRDefault="00BA7A7F" w:rsidP="00B322DE">
      <w:pPr>
        <w:spacing w:after="120"/>
      </w:pPr>
      <w:r>
        <w:t xml:space="preserve">Total administered assets budgeted for </w:t>
      </w:r>
      <w:r w:rsidRPr="001E603C">
        <w:t xml:space="preserve">in </w:t>
      </w:r>
      <w:r w:rsidR="00A66578" w:rsidRPr="001E603C">
        <w:t xml:space="preserve">2022-23 </w:t>
      </w:r>
      <w:r w:rsidRPr="001E603C">
        <w:t>are $29.</w:t>
      </w:r>
      <w:r w:rsidR="000F3ACC" w:rsidRPr="001E603C">
        <w:t>8</w:t>
      </w:r>
      <w:r w:rsidRPr="001E603C">
        <w:t> billion, represented by $2</w:t>
      </w:r>
      <w:r>
        <w:t>3.9 billion in investments, $5.8</w:t>
      </w:r>
      <w:r w:rsidRPr="001E603C">
        <w:t xml:space="preserve"> billio</w:t>
      </w:r>
      <w:r w:rsidR="00CD4E9A" w:rsidRPr="001E603C">
        <w:t>n</w:t>
      </w:r>
      <w:r>
        <w:t xml:space="preserve"> in cash and receivables</w:t>
      </w:r>
      <w:r w:rsidR="001E603C" w:rsidRPr="001E603C">
        <w:t>, $99.6 million in accrued revenue,</w:t>
      </w:r>
      <w:r w:rsidR="001E603C">
        <w:t xml:space="preserve"> and</w:t>
      </w:r>
      <w:r>
        <w:t xml:space="preserve"> </w:t>
      </w:r>
      <w:r w:rsidR="001E603C">
        <w:t xml:space="preserve"> </w:t>
      </w:r>
      <w:r w:rsidR="001E603C" w:rsidRPr="001E603C">
        <w:t>$12.7 million</w:t>
      </w:r>
      <w:r w:rsidR="001E603C">
        <w:t xml:space="preserve"> in </w:t>
      </w:r>
      <w:r>
        <w:t>non</w:t>
      </w:r>
      <w:r>
        <w:noBreakHyphen/>
        <w:t>financial assets</w:t>
      </w:r>
      <w:r w:rsidR="001E603C">
        <w:t>.</w:t>
      </w:r>
      <w:r>
        <w:t xml:space="preserve"> </w:t>
      </w:r>
    </w:p>
    <w:p w:rsidR="00681C5F" w:rsidRPr="00B2573C" w:rsidRDefault="00BA7A7F" w:rsidP="0069460E">
      <w:pPr>
        <w:spacing w:before="60" w:after="60" w:line="240" w:lineRule="auto"/>
        <w:rPr>
          <w:rFonts w:cs="Arial"/>
          <w:b/>
        </w:rPr>
      </w:pPr>
      <w:r w:rsidRPr="00B2573C">
        <w:rPr>
          <w:rFonts w:cs="Arial"/>
          <w:b/>
        </w:rPr>
        <w:t>Liabilities</w:t>
      </w:r>
    </w:p>
    <w:p w:rsidR="00681C5F" w:rsidRDefault="00BA7A7F" w:rsidP="00EC0D83">
      <w:pPr>
        <w:spacing w:after="120"/>
      </w:pPr>
      <w:r>
        <w:t xml:space="preserve">Total </w:t>
      </w:r>
      <w:r w:rsidRPr="001143CC">
        <w:t xml:space="preserve">administered liabilities budgeted for in </w:t>
      </w:r>
      <w:r w:rsidR="00A66578" w:rsidRPr="001143CC">
        <w:t xml:space="preserve">2022-23 </w:t>
      </w:r>
      <w:r w:rsidRPr="001143CC">
        <w:t>are $</w:t>
      </w:r>
      <w:r w:rsidR="004B61EC" w:rsidRPr="001143CC">
        <w:t>451.5</w:t>
      </w:r>
      <w:r w:rsidRPr="001143CC">
        <w:t xml:space="preserve"> </w:t>
      </w:r>
      <w:r w:rsidR="004B61EC" w:rsidRPr="001143CC">
        <w:t>million</w:t>
      </w:r>
      <w:r w:rsidRPr="001143CC">
        <w:t>, represented by $</w:t>
      </w:r>
      <w:r w:rsidR="004B61EC" w:rsidRPr="001143CC">
        <w:t>366.8</w:t>
      </w:r>
      <w:r w:rsidRPr="001143CC">
        <w:t> million in provisions, $</w:t>
      </w:r>
      <w:r w:rsidR="004B61EC" w:rsidRPr="001143CC">
        <w:t xml:space="preserve">81.6 </w:t>
      </w:r>
      <w:r w:rsidRPr="001143CC">
        <w:t>million in payables and $3.1 million in interest</w:t>
      </w:r>
      <w:r w:rsidRPr="001143CC">
        <w:noBreakHyphen/>
        <w:t>bearing liabilities.</w:t>
      </w:r>
    </w:p>
    <w:p w:rsidR="00681C5F" w:rsidRPr="00B2573C" w:rsidRDefault="00BA7A7F" w:rsidP="0069460E">
      <w:pPr>
        <w:spacing w:before="60" w:after="60" w:line="240" w:lineRule="auto"/>
        <w:rPr>
          <w:rFonts w:cs="Arial"/>
          <w:b/>
        </w:rPr>
      </w:pPr>
      <w:r w:rsidRPr="00B2573C">
        <w:rPr>
          <w:rFonts w:cs="Arial"/>
          <w:b/>
        </w:rPr>
        <w:t>Schedule of Budget Administered Cash Flows</w:t>
      </w:r>
    </w:p>
    <w:p w:rsidR="00681C5F" w:rsidRPr="00681C5F" w:rsidRDefault="00BA7A7F" w:rsidP="00B322DE">
      <w:pPr>
        <w:spacing w:after="120"/>
      </w:pPr>
      <w:r>
        <w:t xml:space="preserve">The schedule shows the estimated cash receipts and payments administered by the department on behalf of the Government. </w:t>
      </w:r>
    </w:p>
    <w:p w:rsidR="007B0256" w:rsidRPr="00D6217C" w:rsidRDefault="00BA7A7F" w:rsidP="006E56D7">
      <w:pPr>
        <w:pStyle w:val="Heading3"/>
        <w:pageBreakBefore/>
        <w:rPr>
          <w:rStyle w:val="BookTitle"/>
          <w:i w:val="0"/>
          <w:spacing w:val="0"/>
          <w:sz w:val="22"/>
          <w:szCs w:val="22"/>
        </w:rPr>
      </w:pPr>
      <w:bookmarkStart w:id="178" w:name="RG_MARKER_11739"/>
      <w:bookmarkStart w:id="179" w:name="RG_MARKER_11774"/>
      <w:r w:rsidRPr="00D6217C">
        <w:rPr>
          <w:smallCaps w:val="0"/>
          <w:sz w:val="22"/>
          <w:szCs w:val="22"/>
        </w:rPr>
        <w:t>3.2</w:t>
      </w:r>
      <w:bookmarkEnd w:id="178"/>
      <w:bookmarkEnd w:id="179"/>
      <w:r w:rsidRPr="00D6217C">
        <w:rPr>
          <w:smallCaps w:val="0"/>
          <w:sz w:val="22"/>
          <w:szCs w:val="22"/>
        </w:rPr>
        <w:tab/>
        <w:t>Budgeted financial statements tables</w:t>
      </w:r>
    </w:p>
    <w:p w:rsidR="007B0256" w:rsidRDefault="00BA7A7F" w:rsidP="00B61DC9">
      <w:pPr>
        <w:pStyle w:val="TableHeading"/>
        <w:keepLines/>
        <w:spacing w:before="240"/>
      </w:pPr>
      <w:bookmarkStart w:id="180" w:name="RG_MARKER_11718"/>
      <w:bookmarkStart w:id="181" w:name="RG_MARKER_11727"/>
      <w:bookmarkStart w:id="182" w:name="RG_MARKER_12146"/>
      <w:r>
        <w:t>Table 3.1</w:t>
      </w:r>
      <w:bookmarkEnd w:id="180"/>
      <w:bookmarkEnd w:id="181"/>
      <w:bookmarkEnd w:id="182"/>
      <w:r w:rsidRPr="00803533">
        <w:t xml:space="preserve">: Comprehensive income statement </w:t>
      </w:r>
      <w:r>
        <w:t xml:space="preserve">(showing net cost of services) </w:t>
      </w:r>
      <w:r w:rsidRPr="00803533">
        <w:t xml:space="preserve">for the period ended </w:t>
      </w:r>
      <w:r>
        <w:t>30 June</w:t>
      </w:r>
    </w:p>
    <w:tbl>
      <w:tblPr>
        <w:tblStyle w:val="CDMRange1"/>
        <w:tblW w:w="8010" w:type="dxa"/>
        <w:tblLayout w:type="fixed"/>
        <w:tblLook w:val="0600" w:firstRow="0" w:lastRow="0" w:firstColumn="0" w:lastColumn="0" w:noHBand="1" w:noVBand="1"/>
      </w:tblPr>
      <w:tblGrid>
        <w:gridCol w:w="2760"/>
        <w:gridCol w:w="1050"/>
        <w:gridCol w:w="1050"/>
        <w:gridCol w:w="1050"/>
        <w:gridCol w:w="1050"/>
        <w:gridCol w:w="1050"/>
      </w:tblGrid>
      <w:tr w:rsidR="00253274">
        <w:trPr>
          <w:trHeight w:val="225"/>
        </w:trPr>
        <w:tc>
          <w:tcPr>
            <w:tcW w:w="27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50" w:type="dxa"/>
            <w:tcBorders>
              <w:top w:val="single" w:sz="4" w:space="0" w:color="000000"/>
              <w:left w:val="nil"/>
              <w:bottom w:val="nil"/>
              <w:right w:val="nil"/>
              <w:tl2br w:val="nil"/>
              <w:tr2bl w:val="nil"/>
            </w:tcBorders>
            <w:shd w:val="clear" w:color="FFFFFF" w:fill="D9D9D9"/>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D9D9D9"/>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D9D9D9"/>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D9D9D9"/>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418,937</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430,257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367,868</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367,871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350,435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327,203</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324,878</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263,026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211,331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192,147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7,308</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6,800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5,500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5,550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76,344</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76,263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65,504</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65,560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65,210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3,284</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3,060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2,730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2,438</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833,216</w:t>
            </w:r>
          </w:p>
        </w:tc>
        <w:tc>
          <w:tcPr>
            <w:tcW w:w="105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841,398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704,768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652,890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615,236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87,291</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69,287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63,588</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58,148</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56,726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3,377</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2,823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2,922</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3,029</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3,120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8,890</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6,465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5,547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5,550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99,558</w:t>
            </w:r>
          </w:p>
        </w:tc>
        <w:tc>
          <w:tcPr>
            <w:tcW w:w="105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78,575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72,057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66,727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65,396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670</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675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670</w:t>
            </w:r>
          </w:p>
        </w:tc>
        <w:tc>
          <w:tcPr>
            <w:tcW w:w="105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675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100,228</w:t>
            </w:r>
          </w:p>
        </w:tc>
        <w:tc>
          <w:tcPr>
            <w:tcW w:w="105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79,250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72,737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67,407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66,076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(732,988)</w:t>
            </w:r>
          </w:p>
        </w:tc>
        <w:tc>
          <w:tcPr>
            <w:tcW w:w="1050" w:type="dxa"/>
            <w:tcBorders>
              <w:top w:val="single" w:sz="4" w:space="0" w:color="000000"/>
              <w:left w:val="nil"/>
              <w:bottom w:val="single" w:sz="4" w:space="0" w:color="000000"/>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(762,148)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(632,031)</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(585,483)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(549,160)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664,471</w:t>
            </w:r>
          </w:p>
        </w:tc>
        <w:tc>
          <w:tcPr>
            <w:tcW w:w="105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715,411</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596,948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551,202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515,784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 Australian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(68,517)</w:t>
            </w:r>
          </w:p>
        </w:tc>
        <w:tc>
          <w:tcPr>
            <w:tcW w:w="1050" w:type="dxa"/>
            <w:tcBorders>
              <w:top w:val="single" w:sz="4" w:space="0" w:color="000000"/>
              <w:left w:val="nil"/>
              <w:bottom w:val="single" w:sz="4" w:space="0" w:color="000000"/>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(46,737)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(35,083)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(34,281)</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(33,376)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other comprehensive income </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760"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attributable to the Australian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(68,517)</w:t>
            </w:r>
          </w:p>
        </w:tc>
        <w:tc>
          <w:tcPr>
            <w:tcW w:w="1050" w:type="dxa"/>
            <w:tcBorders>
              <w:top w:val="single" w:sz="4" w:space="0" w:color="000000"/>
              <w:left w:val="nil"/>
              <w:bottom w:val="single" w:sz="4" w:space="0" w:color="000000"/>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(46,737)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(35,083)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(34,281)</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(33,376)</w:t>
            </w:r>
          </w:p>
        </w:tc>
      </w:tr>
    </w:tbl>
    <w:p w:rsidR="00A97F7D" w:rsidRPr="00B73CC0" w:rsidRDefault="00BA7A7F" w:rsidP="00B73CC0">
      <w:pPr>
        <w:pStyle w:val="TableHeading"/>
        <w:keepLines/>
        <w:pageBreakBefore/>
        <w:spacing w:before="240"/>
        <w:rPr>
          <w:bdr w:val="none" w:sz="0" w:space="0" w:color="auto" w:frame="1"/>
        </w:rPr>
      </w:pPr>
      <w:r>
        <w:rPr>
          <w:bdr w:val="none" w:sz="0" w:space="0" w:color="auto" w:frame="1"/>
        </w:rPr>
        <w:t xml:space="preserve">Table 3.1: Comprehensive income statement (showing net cost of services) </w:t>
      </w:r>
      <w:r>
        <w:rPr>
          <w:bdr w:val="none" w:sz="0" w:space="0" w:color="auto" w:frame="1"/>
        </w:rPr>
        <w:br/>
        <w:t>for the period ended 30 June (continued)</w:t>
      </w:r>
    </w:p>
    <w:tbl>
      <w:tblPr>
        <w:tblStyle w:val="CDMRange2"/>
        <w:tblW w:w="8010" w:type="dxa"/>
        <w:tblLayout w:type="fixed"/>
        <w:tblLook w:val="0600" w:firstRow="0" w:lastRow="0" w:firstColumn="0" w:lastColumn="0" w:noHBand="1" w:noVBand="1"/>
      </w:tblPr>
      <w:tblGrid>
        <w:gridCol w:w="2760"/>
        <w:gridCol w:w="1050"/>
        <w:gridCol w:w="1050"/>
        <w:gridCol w:w="1050"/>
        <w:gridCol w:w="1050"/>
        <w:gridCol w:w="1050"/>
      </w:tblGrid>
      <w:tr w:rsidR="00253274">
        <w:trPr>
          <w:trHeight w:hRule="exact" w:val="225"/>
        </w:trPr>
        <w:tc>
          <w:tcPr>
            <w:tcW w:w="4860" w:type="dxa"/>
            <w:gridSpan w:val="3"/>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50" w:type="dxa"/>
            <w:tcBorders>
              <w:top w:val="single" w:sz="4" w:space="0" w:color="000000"/>
              <w:left w:val="nil"/>
              <w:bottom w:val="nil"/>
              <w:right w:val="nil"/>
              <w:tl2br w:val="nil"/>
              <w:tr2bl w:val="nil"/>
            </w:tcBorders>
            <w:shd w:val="clear" w:color="FFFFFF" w:fill="D9D9D9"/>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D9D9D9"/>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D9D9D9"/>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D9D9D9"/>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0"/>
        </w:trPr>
        <w:tc>
          <w:tcPr>
            <w:tcW w:w="276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excluding depreciation/ amortisation expenses previously funded through revenue appropriations, depreciation on ROU assets, principal repayments on leased assets</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(21,059)</w:t>
            </w:r>
          </w:p>
        </w:tc>
        <w:tc>
          <w:tcPr>
            <w:tcW w:w="1050" w:type="dxa"/>
            <w:tcBorders>
              <w:top w:val="single" w:sz="4" w:space="0" w:color="000000"/>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270</w:t>
            </w:r>
          </w:p>
        </w:tc>
        <w:tc>
          <w:tcPr>
            <w:tcW w:w="1050" w:type="dxa"/>
            <w:tcBorders>
              <w:top w:val="single" w:sz="4" w:space="0" w:color="000000"/>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single" w:sz="4" w:space="0" w:color="000000"/>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single" w:sz="4" w:space="0" w:color="000000"/>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76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expenses previously funded through revenue appropriations (a)</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(42,680)</w:t>
            </w:r>
          </w:p>
        </w:tc>
        <w:tc>
          <w:tcPr>
            <w:tcW w:w="1050" w:type="dxa"/>
            <w:tcBorders>
              <w:top w:val="nil"/>
              <w:left w:val="nil"/>
              <w:bottom w:val="nil"/>
              <w:right w:val="nil"/>
              <w:tl2br w:val="nil"/>
              <w:tr2bl w:val="nil"/>
            </w:tcBorders>
            <w:shd w:val="clear" w:color="FFFFFF" w:fill="D9D9D9"/>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(42,680)</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(32,781)</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(32,781)</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(32,781)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expenses for ROU assets (b)</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(33,664)</w:t>
            </w:r>
          </w:p>
        </w:tc>
        <w:tc>
          <w:tcPr>
            <w:tcW w:w="1050" w:type="dxa"/>
            <w:tcBorders>
              <w:top w:val="nil"/>
              <w:left w:val="nil"/>
              <w:bottom w:val="nil"/>
              <w:right w:val="nil"/>
              <w:tl2br w:val="nil"/>
              <w:tr2bl w:val="nil"/>
            </w:tcBorders>
            <w:shd w:val="clear" w:color="FFFFFF" w:fill="D9D9D9"/>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(33,583)</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(32,723)</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(32,779)</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(32,429)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less: principal repayments on leased assets (b)</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(28,886)</w:t>
            </w:r>
          </w:p>
        </w:tc>
        <w:tc>
          <w:tcPr>
            <w:tcW w:w="1050" w:type="dxa"/>
            <w:tcBorders>
              <w:top w:val="nil"/>
              <w:left w:val="nil"/>
              <w:bottom w:val="single" w:sz="4" w:space="0" w:color="000000"/>
              <w:right w:val="nil"/>
              <w:tl2br w:val="nil"/>
              <w:tr2bl w:val="nil"/>
            </w:tcBorders>
            <w:shd w:val="clear" w:color="FFFFFF" w:fill="D9D9D9"/>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(29,256)</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(30,421)</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(31,279)</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(31,834)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760" w:type="dxa"/>
            <w:tcBorders>
              <w:top w:val="nil"/>
              <w:left w:val="nil"/>
              <w:bottom w:val="single" w:sz="4" w:space="0" w:color="000000"/>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 as per the statement of comprehensive income</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(68,517)</w:t>
            </w:r>
          </w:p>
        </w:tc>
        <w:tc>
          <w:tcPr>
            <w:tcW w:w="1050" w:type="dxa"/>
            <w:tcBorders>
              <w:top w:val="single" w:sz="4" w:space="0" w:color="000000"/>
              <w:left w:val="nil"/>
              <w:bottom w:val="single" w:sz="4" w:space="0" w:color="000000"/>
              <w:right w:val="nil"/>
              <w:tl2br w:val="nil"/>
              <w:tr2bl w:val="nil"/>
            </w:tcBorders>
            <w:shd w:val="clear" w:color="FFFFFF" w:fill="D9D9D9"/>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(46,737)</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(35,083)</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(34,281)</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(33,376)</w:t>
            </w:r>
          </w:p>
        </w:tc>
      </w:tr>
    </w:tbl>
    <w:p w:rsidR="00BC3714" w:rsidRDefault="00BA7A7F" w:rsidP="00D92A54">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51F9E" w:rsidRDefault="00BA7A7F" w:rsidP="007D1949">
      <w:pPr>
        <w:pStyle w:val="ChartandTableFootnoteAlpha"/>
        <w:keepNext w:val="0"/>
        <w:keepLines w:val="0"/>
        <w:numPr>
          <w:ilvl w:val="0"/>
          <w:numId w:val="30"/>
        </w:numPr>
        <w:spacing w:line="240" w:lineRule="auto"/>
      </w:pPr>
      <w:r w:rsidRPr="00551F9E">
        <w:t>From 2010-11, the Government introduced net cash appropriation arrangement</w:t>
      </w:r>
      <w:r>
        <w:t>s</w:t>
      </w:r>
      <w:r w:rsidRPr="00551F9E">
        <w:t xml:space="preserve"> </w:t>
      </w:r>
      <w:r>
        <w:t xml:space="preserve">where Bill 1 revenue appropriations for the depreciation/amortisation expenses of non-corporate </w:t>
      </w:r>
      <w:r w:rsidRPr="00551F9E">
        <w:t xml:space="preserve">Commonwealth entities </w:t>
      </w:r>
      <w:r>
        <w:t xml:space="preserve">were replaced </w:t>
      </w:r>
      <w:r w:rsidRPr="00551F9E">
        <w:t xml:space="preserve">with a separate </w:t>
      </w:r>
      <w:r>
        <w:t xml:space="preserve">capital budget (the </w:t>
      </w:r>
      <w:r w:rsidRPr="00551F9E">
        <w:t>Departmental Capital Budget</w:t>
      </w:r>
      <w:r>
        <w:t>,</w:t>
      </w:r>
      <w:r w:rsidRPr="00551F9E">
        <w:t xml:space="preserve"> </w:t>
      </w:r>
      <w:r>
        <w:t xml:space="preserve">or </w:t>
      </w:r>
      <w:r w:rsidRPr="00551F9E">
        <w:t xml:space="preserve">DCB) </w:t>
      </w:r>
      <w:r>
        <w:t xml:space="preserve">provided through Bill 1 equity appropriations. </w:t>
      </w:r>
      <w:r w:rsidRPr="00551F9E">
        <w:t xml:space="preserve">For information regarding DCB, </w:t>
      </w:r>
      <w:r>
        <w:t xml:space="preserve">please </w:t>
      </w:r>
      <w:r w:rsidRPr="00551F9E">
        <w:t>refer to Table 3.5 Departmental Capital Budget Statement.</w:t>
      </w:r>
    </w:p>
    <w:p w:rsidR="00BC3714" w:rsidRPr="00BC3714" w:rsidRDefault="00BA7A7F" w:rsidP="00BC3714">
      <w:pPr>
        <w:pStyle w:val="ChartandTableFootnoteAlpha"/>
        <w:keepNext w:val="0"/>
        <w:keepLines w:val="0"/>
        <w:numPr>
          <w:ilvl w:val="0"/>
          <w:numId w:val="30"/>
        </w:numPr>
        <w:spacing w:line="240" w:lineRule="auto"/>
      </w:pPr>
      <w:r>
        <w:t>Applies leases under AASB 16 Leases.</w:t>
      </w:r>
    </w:p>
    <w:p w:rsidR="007B0256" w:rsidRDefault="00BA7A7F" w:rsidP="00FB13E8">
      <w:pPr>
        <w:pStyle w:val="TableHeading"/>
        <w:keepLines/>
        <w:pageBreakBefore/>
        <w:spacing w:before="240"/>
      </w:pPr>
      <w:bookmarkStart w:id="183" w:name="RG_MARKER_11724"/>
      <w:bookmarkStart w:id="184" w:name="RG_MARKER_12182"/>
      <w:r>
        <w:t>Table 3.2</w:t>
      </w:r>
      <w:bookmarkEnd w:id="183"/>
      <w:bookmarkEnd w:id="184"/>
      <w:r w:rsidRPr="00803533">
        <w:t xml:space="preserve">: </w:t>
      </w:r>
      <w:r>
        <w:t xml:space="preserve">Budgeted departmental balance sheet </w:t>
      </w:r>
      <w:r w:rsidRPr="00803533">
        <w:t>(</w:t>
      </w:r>
      <w:r>
        <w:t>as at 30 June</w:t>
      </w:r>
      <w:r w:rsidRPr="00803533">
        <w:t>)</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253274">
        <w:trPr>
          <w:trHeigh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FFFFFF" w:fill="D9D9D9"/>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D9D9D9"/>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9D9D9"/>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D9D9D9"/>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28,797</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28,862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28,873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28,911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28,949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89,506</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109,823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109,364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109,438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109,425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Accrued Revenue</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36,861</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14,091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14,091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14,091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14,091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155,164</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152,776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152,328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152,440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152,465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363,651</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335,277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303,821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280,655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248,034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41,913</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43,907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39,423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33,636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27,881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101,604</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126,536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144,109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154,907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161,795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2,118</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2,118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2,118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2,118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2,118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8,170</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8,170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8,170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8,170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8,170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517,456</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516,008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497,641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479,486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447,998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672,620</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668,784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649,969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631,926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600,463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54,783</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54,713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54,713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54,713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54,713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695</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10,221</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9,063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8,848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8,960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8,985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65,699</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64,471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64,256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64,368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64,393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275,567</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250,176</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222,599</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202,471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171,950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275,567</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250,176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222,599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202,471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171,950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126,964</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126,964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126,964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126,964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126,964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2,941</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2,941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2,941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2,941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2,941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129,905</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129,905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129,905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129,905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129,905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471,171</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444,552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416,760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396,744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366,248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201,449</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224,232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233,209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235,182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234,215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668,185</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737,705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781,765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818,019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850,428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20,432</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20,432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20,432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20,432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20,432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 deficit)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(487,168)</w:t>
            </w:r>
          </w:p>
        </w:tc>
        <w:tc>
          <w:tcPr>
            <w:tcW w:w="1080" w:type="dxa"/>
            <w:tcBorders>
              <w:top w:val="nil"/>
              <w:left w:val="nil"/>
              <w:bottom w:val="single" w:sz="4" w:space="0" w:color="000000"/>
              <w:right w:val="nil"/>
              <w:tl2br w:val="nil"/>
              <w:tr2bl w:val="nil"/>
            </w:tcBorders>
            <w:shd w:val="clear" w:color="FFFFFF" w:fill="D9D9D9"/>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(533,905)</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(568,988)</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(603,269)</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(636,645)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201,449</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224,232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233,209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235,182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234,215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201,449</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224,232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233,209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235,182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234,215</w:t>
            </w:r>
          </w:p>
        </w:tc>
      </w:tr>
    </w:tbl>
    <w:p w:rsidR="008C1F17" w:rsidRDefault="00BA7A7F" w:rsidP="001C5D04">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8C1F17" w:rsidRPr="001C5D04" w:rsidRDefault="00BA7A7F" w:rsidP="001C5D04">
      <w:pPr>
        <w:spacing w:after="2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Pr="00B05F4C">
        <w:rPr>
          <w:rFonts w:ascii="Arial" w:eastAsia="Calibri" w:hAnsi="Arial" w:cs="Arial"/>
          <w:sz w:val="16"/>
          <w:szCs w:val="16"/>
          <w:bdr w:val="none" w:sz="0" w:space="0" w:color="auto" w:frame="1"/>
        </w:rPr>
        <w:t>Equity</w:t>
      </w:r>
      <w:r>
        <w:rPr>
          <w:rFonts w:ascii="Arial" w:eastAsia="Calibri" w:hAnsi="Arial" w:cs="Arial"/>
          <w:sz w:val="16"/>
          <w:szCs w:val="16"/>
          <w:bdr w:val="none" w:sz="0" w:space="0" w:color="auto" w:frame="1"/>
        </w:rPr>
        <w:t>’</w:t>
      </w:r>
      <w:r w:rsidRPr="00B05F4C">
        <w:rPr>
          <w:rFonts w:ascii="Arial" w:eastAsia="Calibri" w:hAnsi="Arial" w:cs="Arial"/>
          <w:sz w:val="16"/>
          <w:szCs w:val="16"/>
          <w:bdr w:val="none" w:sz="0" w:space="0" w:color="auto" w:frame="1"/>
        </w:rPr>
        <w:t xml:space="preserve"> is the residual interest in assets after deduction of liabilities.</w:t>
      </w:r>
    </w:p>
    <w:p w:rsidR="007B0256" w:rsidRDefault="00BA7A7F" w:rsidP="00714DA2">
      <w:pPr>
        <w:pStyle w:val="TableHeading"/>
        <w:keepLines/>
        <w:pageBreakBefore/>
        <w:spacing w:before="240"/>
      </w:pPr>
      <w:bookmarkStart w:id="185" w:name="RG_MARKER_11722"/>
      <w:bookmarkStart w:id="186" w:name="RG_MARKER_12106"/>
      <w:r>
        <w:t>Table 3.3</w:t>
      </w:r>
      <w:bookmarkEnd w:id="185"/>
      <w:bookmarkEnd w:id="186"/>
      <w:r w:rsidRPr="00803533">
        <w:t xml:space="preserve">: </w:t>
      </w:r>
      <w:r>
        <w:t>Departmental statement of changes in equity – summary of movement (Budget year 2022­23)</w:t>
      </w:r>
    </w:p>
    <w:tbl>
      <w:tblPr>
        <w:tblStyle w:val="CDMRange1"/>
        <w:tblW w:w="7635" w:type="dxa"/>
        <w:tblLayout w:type="fixed"/>
        <w:tblLook w:val="0600" w:firstRow="0" w:lastRow="0" w:firstColumn="0" w:lastColumn="0" w:noHBand="1" w:noVBand="1"/>
      </w:tblPr>
      <w:tblGrid>
        <w:gridCol w:w="3540"/>
        <w:gridCol w:w="1005"/>
        <w:gridCol w:w="1005"/>
        <w:gridCol w:w="1080"/>
        <w:gridCol w:w="1005"/>
      </w:tblGrid>
      <w:tr w:rsidR="00253274">
        <w:trPr>
          <w:trHeight w:val="795"/>
        </w:trPr>
        <w:tc>
          <w:tcPr>
            <w:tcW w:w="35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Retained earnings</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Asset revaluation reserve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Contributed equity/ capital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 equity</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(487,168)</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20,432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668,185</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201,449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(487,168)</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20,432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668,185</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201,449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(46,737)</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(46,737)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(46,737)</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(46,737)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0"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Attributable to the Australian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Government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(46,737)</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(46,737)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236"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0"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39,114</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39,114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0"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30,406</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30,406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69,520</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69,520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 30 June 2023</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(533,905)</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20,432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737,705</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224,232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0" w:type="dxa"/>
            <w:tcBorders>
              <w:top w:val="nil"/>
              <w:left w:val="nil"/>
              <w:bottom w:val="single" w:sz="4" w:space="0" w:color="000000"/>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 the Australian Government</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(533,905)</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20,432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737,705</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224,232</w:t>
            </w:r>
          </w:p>
        </w:tc>
      </w:tr>
    </w:tbl>
    <w:p w:rsidR="0096698E" w:rsidRPr="00320FDF" w:rsidRDefault="00BA7A7F" w:rsidP="00320FDF">
      <w:pPr>
        <w:spacing w:before="4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7B0256" w:rsidRDefault="00BA7A7F" w:rsidP="00A00063">
      <w:pPr>
        <w:pStyle w:val="TableHeading"/>
        <w:keepLines/>
        <w:pageBreakBefore/>
        <w:spacing w:before="240"/>
      </w:pPr>
      <w:bookmarkStart w:id="187" w:name="RG_MARKER_11728"/>
      <w:bookmarkStart w:id="188" w:name="RG_MARKER_12138"/>
      <w:r>
        <w:t>Table 3</w:t>
      </w:r>
      <w:bookmarkEnd w:id="187"/>
      <w:bookmarkEnd w:id="188"/>
      <w:r w:rsidRPr="00803533">
        <w:t>.</w:t>
      </w:r>
      <w:r>
        <w:t>4</w:t>
      </w:r>
      <w:r w:rsidRPr="00803533">
        <w:t xml:space="preserve">: </w:t>
      </w:r>
      <w:r>
        <w:t>Budgeted departmental statement of cash flows (for the period ended 30 June</w:t>
      </w:r>
      <w:r w:rsidRPr="00803533">
        <w:t>)</w:t>
      </w:r>
    </w:p>
    <w:tbl>
      <w:tblPr>
        <w:tblStyle w:val="CDMRange1"/>
        <w:tblW w:w="7875" w:type="dxa"/>
        <w:tblLayout w:type="fixed"/>
        <w:tblLook w:val="0600" w:firstRow="0" w:lastRow="0" w:firstColumn="0" w:lastColumn="0" w:noHBand="1" w:noVBand="1"/>
      </w:tblPr>
      <w:tblGrid>
        <w:gridCol w:w="2700"/>
        <w:gridCol w:w="1035"/>
        <w:gridCol w:w="1035"/>
        <w:gridCol w:w="1035"/>
        <w:gridCol w:w="1035"/>
        <w:gridCol w:w="1035"/>
      </w:tblGrid>
      <w:tr w:rsidR="00253274">
        <w:trPr>
          <w:trHeight w:val="225"/>
        </w:trPr>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35" w:type="dxa"/>
            <w:tcBorders>
              <w:top w:val="single" w:sz="4" w:space="0" w:color="000000"/>
              <w:left w:val="nil"/>
              <w:bottom w:val="nil"/>
              <w:right w:val="nil"/>
              <w:tl2br w:val="nil"/>
              <w:tr2bl w:val="nil"/>
            </w:tcBorders>
            <w:shd w:val="clear" w:color="FFFFFF" w:fill="D9D9D9"/>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35" w:type="dxa"/>
            <w:tcBorders>
              <w:top w:val="nil"/>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35" w:type="dxa"/>
            <w:tcBorders>
              <w:top w:val="nil"/>
              <w:left w:val="nil"/>
              <w:bottom w:val="nil"/>
              <w:right w:val="nil"/>
              <w:tl2br w:val="nil"/>
              <w:tr2bl w:val="nil"/>
            </w:tcBorders>
            <w:shd w:val="clear" w:color="FFFFFF" w:fill="D9D9D9"/>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35" w:type="dxa"/>
            <w:tcBorders>
              <w:top w:val="nil"/>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35" w:type="dxa"/>
            <w:tcBorders>
              <w:top w:val="nil"/>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35" w:type="dxa"/>
            <w:tcBorders>
              <w:top w:val="nil"/>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35" w:type="dxa"/>
            <w:tcBorders>
              <w:top w:val="nil"/>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35" w:type="dxa"/>
            <w:tcBorders>
              <w:top w:val="nil"/>
              <w:left w:val="nil"/>
              <w:bottom w:val="nil"/>
              <w:right w:val="nil"/>
              <w:tl2br w:val="nil"/>
              <w:tr2bl w:val="nil"/>
            </w:tcBorders>
            <w:shd w:val="clear" w:color="FFFFFF" w:fill="D9D9D9"/>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35" w:type="dxa"/>
            <w:tcBorders>
              <w:top w:val="nil"/>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35" w:type="dxa"/>
            <w:tcBorders>
              <w:top w:val="nil"/>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FFFFFF" w:fill="D9D9D9"/>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D9D9D9"/>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3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784,551</w:t>
            </w:r>
          </w:p>
        </w:tc>
        <w:tc>
          <w:tcPr>
            <w:tcW w:w="103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793,711</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665,593</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615,187</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575,643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92,758</w:t>
            </w:r>
          </w:p>
        </w:tc>
        <w:tc>
          <w:tcPr>
            <w:tcW w:w="103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72,110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66,510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61,177</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59,846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32,543</w:t>
            </w:r>
          </w:p>
        </w:tc>
        <w:tc>
          <w:tcPr>
            <w:tcW w:w="103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29,624</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20,231</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17,055</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16,215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6,092</w:t>
            </w:r>
          </w:p>
        </w:tc>
        <w:tc>
          <w:tcPr>
            <w:tcW w:w="1035"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5,307</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5,332</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5,662</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5,575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915,944</w:t>
            </w:r>
          </w:p>
        </w:tc>
        <w:tc>
          <w:tcPr>
            <w:tcW w:w="1035"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900,752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757,666</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699,081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657,279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418,937</w:t>
            </w:r>
          </w:p>
        </w:tc>
        <w:tc>
          <w:tcPr>
            <w:tcW w:w="103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430,257</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367,868</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367,871</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350,435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356,916</w:t>
            </w:r>
          </w:p>
        </w:tc>
        <w:tc>
          <w:tcPr>
            <w:tcW w:w="103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353,897</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281,627</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227,706</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207,682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7,308</w:t>
            </w:r>
          </w:p>
        </w:tc>
        <w:tc>
          <w:tcPr>
            <w:tcW w:w="103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6,800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5,500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5,550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transferred to the OPA</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92,758</w:t>
            </w:r>
          </w:p>
        </w:tc>
        <w:tc>
          <w:tcPr>
            <w:tcW w:w="103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72,110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66,510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61,177</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59,846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3,284</w:t>
            </w:r>
          </w:p>
        </w:tc>
        <w:tc>
          <w:tcPr>
            <w:tcW w:w="103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3,060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2,730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2,438</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1035"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879,343</w:t>
            </w:r>
          </w:p>
        </w:tc>
        <w:tc>
          <w:tcPr>
            <w:tcW w:w="1035"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866,264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724,375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664,882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625,407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70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36,601</w:t>
            </w:r>
          </w:p>
        </w:tc>
        <w:tc>
          <w:tcPr>
            <w:tcW w:w="1035"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34,488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33,291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34,199</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31,872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Purchase of property, plant,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equipment and intangibles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67,841</w:t>
            </w:r>
          </w:p>
        </w:tc>
        <w:tc>
          <w:tcPr>
            <w:tcW w:w="103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70,950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44,293</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36,254</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32,409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67,841</w:t>
            </w:r>
          </w:p>
        </w:tc>
        <w:tc>
          <w:tcPr>
            <w:tcW w:w="1035"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70,950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44,293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36,254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32,409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investing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(67,841)</w:t>
            </w:r>
          </w:p>
        </w:tc>
        <w:tc>
          <w:tcPr>
            <w:tcW w:w="1035" w:type="dxa"/>
            <w:tcBorders>
              <w:top w:val="single" w:sz="4" w:space="0" w:color="000000"/>
              <w:left w:val="nil"/>
              <w:bottom w:val="single" w:sz="4" w:space="0" w:color="000000"/>
              <w:right w:val="nil"/>
              <w:tl2br w:val="nil"/>
              <w:tr2bl w:val="nil"/>
            </w:tcBorders>
            <w:shd w:val="clear" w:color="FFFFFF" w:fill="D9D9D9"/>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(70,950)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(44,293)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(36,254)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(32,409)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3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35"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0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Appropriations – contributed equity</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60,318</w:t>
            </w:r>
          </w:p>
        </w:tc>
        <w:tc>
          <w:tcPr>
            <w:tcW w:w="1035"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65,783</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41,434</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33,372</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32,409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60,318</w:t>
            </w:r>
          </w:p>
        </w:tc>
        <w:tc>
          <w:tcPr>
            <w:tcW w:w="1035"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65,783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41,434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33,372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32,409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used</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28,886</w:t>
            </w:r>
          </w:p>
        </w:tc>
        <w:tc>
          <w:tcPr>
            <w:tcW w:w="1035"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29,256</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30,421</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31,279</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31,834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28,886</w:t>
            </w:r>
          </w:p>
        </w:tc>
        <w:tc>
          <w:tcPr>
            <w:tcW w:w="1035"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29,256</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30,421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31,279</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31,834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financing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31,432</w:t>
            </w:r>
          </w:p>
        </w:tc>
        <w:tc>
          <w:tcPr>
            <w:tcW w:w="1035"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36,527</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11,013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2,093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575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 held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192</w:t>
            </w:r>
          </w:p>
        </w:tc>
        <w:tc>
          <w:tcPr>
            <w:tcW w:w="1035"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0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 beginning of the reporting period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28,605</w:t>
            </w:r>
          </w:p>
        </w:tc>
        <w:tc>
          <w:tcPr>
            <w:tcW w:w="1035"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28,797</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28,862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28,873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28,911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nil"/>
              <w:left w:val="nil"/>
              <w:bottom w:val="single" w:sz="4" w:space="0" w:color="000000"/>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the end of the reporting period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28,797</w:t>
            </w:r>
          </w:p>
        </w:tc>
        <w:tc>
          <w:tcPr>
            <w:tcW w:w="1035"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28,862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28,873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28,911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28,949</w:t>
            </w:r>
          </w:p>
        </w:tc>
      </w:tr>
    </w:tbl>
    <w:p w:rsidR="006C1216" w:rsidRDefault="00BA7A7F" w:rsidP="00856166">
      <w:pPr>
        <w:spacing w:before="4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7B0256" w:rsidRDefault="00BA7A7F" w:rsidP="00976C28">
      <w:pPr>
        <w:pStyle w:val="TableHeading"/>
        <w:keepLines/>
        <w:pageBreakBefore/>
        <w:spacing w:before="240" w:after="120"/>
      </w:pPr>
      <w:bookmarkStart w:id="189" w:name="RG_MARKER_11726"/>
      <w:bookmarkStart w:id="190" w:name="RG_MARKER_11783"/>
      <w:r>
        <w:t>Table 3</w:t>
      </w:r>
      <w:bookmarkEnd w:id="189"/>
      <w:bookmarkEnd w:id="190"/>
      <w:r w:rsidRPr="00803533">
        <w:t>.</w:t>
      </w:r>
      <w:r>
        <w:t>5</w:t>
      </w:r>
      <w:r w:rsidRPr="00803533">
        <w:t xml:space="preserve">: </w:t>
      </w:r>
      <w:r>
        <w:t>Departmental capital budget statement (for the period ended 30 June)</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253274">
        <w:trPr>
          <w:trHeight w:hRule="exac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49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capital budget – Appropriation Bill No. 1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27,432</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30,406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28,238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28,460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28,655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injections – Appropriation Bill No. 2</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36,328</w:t>
            </w:r>
          </w:p>
        </w:tc>
        <w:tc>
          <w:tcPr>
            <w:tcW w:w="1080"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39,114</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15,822</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7,794</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63,760</w:t>
            </w:r>
          </w:p>
        </w:tc>
        <w:tc>
          <w:tcPr>
            <w:tcW w:w="108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69,520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44,060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36,254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32,409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31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Purchase of non-financial assets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63,760</w:t>
            </w:r>
          </w:p>
        </w:tc>
        <w:tc>
          <w:tcPr>
            <w:tcW w:w="1080" w:type="dxa"/>
            <w:tcBorders>
              <w:top w:val="nil"/>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69,520</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44,060</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36,254</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32,409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63,760</w:t>
            </w:r>
          </w:p>
        </w:tc>
        <w:tc>
          <w:tcPr>
            <w:tcW w:w="108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69,520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44,060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36,254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32,409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39,182</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40,544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16,055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7,794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 DCB (b)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28,659</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30,406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28,238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28,460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28,655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67,841</w:t>
            </w:r>
          </w:p>
        </w:tc>
        <w:tc>
          <w:tcPr>
            <w:tcW w:w="108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70,950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44,293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36,254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32,409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49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USED TO ACQUIRE ASSETS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 ASSET MOVEMENT TABLE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85,693</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74,815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47,137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47,405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33,722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(17,852)</w:t>
            </w:r>
          </w:p>
        </w:tc>
        <w:tc>
          <w:tcPr>
            <w:tcW w:w="1080" w:type="dxa"/>
            <w:tcBorders>
              <w:top w:val="nil"/>
              <w:left w:val="nil"/>
              <w:bottom w:val="single" w:sz="4" w:space="0" w:color="000000"/>
              <w:right w:val="nil"/>
              <w:tl2br w:val="nil"/>
              <w:tr2bl w:val="nil"/>
            </w:tcBorders>
            <w:shd w:val="clear" w:color="FFFFFF" w:fill="D9D9D9"/>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(3,865)</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(2,844)</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(11,151)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(1,313)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67,841</w:t>
            </w:r>
          </w:p>
        </w:tc>
        <w:tc>
          <w:tcPr>
            <w:tcW w:w="1080"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70,950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44,293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36,254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32,409</w:t>
            </w:r>
          </w:p>
        </w:tc>
      </w:tr>
    </w:tbl>
    <w:p w:rsidR="00C25129" w:rsidRDefault="00BA7A7F" w:rsidP="009C4964">
      <w:pPr>
        <w:spacing w:before="40" w:after="0" w:line="240" w:lineRule="auto"/>
        <w:ind w:left="142" w:hanging="142"/>
        <w:jc w:val="left"/>
        <w:rPr>
          <w:rFonts w:ascii="Arial" w:hAnsi="Arial" w:cs="Arial"/>
          <w:sz w:val="16"/>
          <w:szCs w:val="16"/>
        </w:rPr>
      </w:pPr>
      <w:r>
        <w:rPr>
          <w:rFonts w:ascii="Arial" w:hAnsi="Arial" w:cs="Arial"/>
          <w:sz w:val="16"/>
          <w:szCs w:val="16"/>
        </w:rPr>
        <w:t>Prepared on Australian Accounting Standards basis.</w:t>
      </w:r>
    </w:p>
    <w:p w:rsidR="00C25129" w:rsidRPr="004E1274" w:rsidRDefault="00BA7A7F" w:rsidP="00B620FB">
      <w:pPr>
        <w:pStyle w:val="ListParagraph"/>
        <w:keepLines/>
        <w:numPr>
          <w:ilvl w:val="0"/>
          <w:numId w:val="31"/>
        </w:numPr>
        <w:spacing w:after="0" w:line="240" w:lineRule="auto"/>
        <w:jc w:val="left"/>
        <w:rPr>
          <w:rFonts w:eastAsia="Times New Roman" w:cs="Arial"/>
          <w:sz w:val="16"/>
          <w:szCs w:val="16"/>
          <w:lang w:val="en-AU"/>
        </w:rPr>
      </w:pPr>
      <w:r w:rsidRPr="004E1274">
        <w:rPr>
          <w:rFonts w:ascii="Arial" w:eastAsia="Times New Roman" w:hAnsi="Arial" w:cs="Arial"/>
          <w:sz w:val="16"/>
          <w:szCs w:val="16"/>
          <w:lang w:val="en-AU"/>
        </w:rPr>
        <w:t xml:space="preserve">Includes both current </w:t>
      </w:r>
      <w:r>
        <w:rPr>
          <w:rFonts w:ascii="Arial" w:eastAsia="Times New Roman" w:hAnsi="Arial" w:cs="Arial"/>
          <w:sz w:val="16"/>
          <w:szCs w:val="16"/>
          <w:lang w:val="en-AU"/>
        </w:rPr>
        <w:t>Bill 2</w:t>
      </w:r>
      <w:r w:rsidRPr="004E1274">
        <w:rPr>
          <w:rFonts w:ascii="Arial" w:eastAsia="Times New Roman" w:hAnsi="Arial" w:cs="Arial"/>
          <w:sz w:val="16"/>
          <w:szCs w:val="16"/>
          <w:lang w:val="en-AU"/>
        </w:rPr>
        <w:t xml:space="preserve"> and prior Act 2/4/6 appropriations.</w:t>
      </w:r>
    </w:p>
    <w:p w:rsidR="00C25129" w:rsidRDefault="00BA7A7F" w:rsidP="00B620FB">
      <w:pPr>
        <w:pStyle w:val="ListParagraph"/>
        <w:keepLines/>
        <w:numPr>
          <w:ilvl w:val="0"/>
          <w:numId w:val="31"/>
        </w:numPr>
        <w:spacing w:after="0" w:line="240" w:lineRule="auto"/>
        <w:jc w:val="left"/>
        <w:rPr>
          <w:rFonts w:eastAsia="Times New Roman" w:cs="Arial"/>
          <w:sz w:val="16"/>
          <w:szCs w:val="16"/>
          <w:lang w:val="en-AU"/>
        </w:rPr>
      </w:pPr>
      <w:r w:rsidRPr="004E1274">
        <w:rPr>
          <w:rFonts w:ascii="Arial" w:eastAsia="Times New Roman" w:hAnsi="Arial" w:cs="Arial"/>
          <w:sz w:val="16"/>
          <w:szCs w:val="16"/>
          <w:lang w:val="en-AU"/>
        </w:rPr>
        <w:t xml:space="preserve">Includes purchases from current and previous years' </w:t>
      </w:r>
      <w:r>
        <w:rPr>
          <w:rFonts w:ascii="Arial" w:eastAsia="Times New Roman" w:hAnsi="Arial" w:cs="Arial"/>
          <w:sz w:val="16"/>
          <w:szCs w:val="16"/>
          <w:lang w:val="en-AU"/>
        </w:rPr>
        <w:t>D</w:t>
      </w:r>
      <w:r w:rsidRPr="004E1274">
        <w:rPr>
          <w:rFonts w:ascii="Arial" w:eastAsia="Times New Roman" w:hAnsi="Arial" w:cs="Arial"/>
          <w:sz w:val="16"/>
          <w:szCs w:val="16"/>
          <w:lang w:val="en-AU"/>
        </w:rPr>
        <w:t xml:space="preserve">epartmental </w:t>
      </w:r>
      <w:r>
        <w:rPr>
          <w:rFonts w:ascii="Arial" w:eastAsia="Times New Roman" w:hAnsi="Arial" w:cs="Arial"/>
          <w:sz w:val="16"/>
          <w:szCs w:val="16"/>
          <w:lang w:val="en-AU"/>
        </w:rPr>
        <w:t>C</w:t>
      </w:r>
      <w:r w:rsidRPr="004E1274">
        <w:rPr>
          <w:rFonts w:ascii="Arial" w:eastAsia="Times New Roman" w:hAnsi="Arial" w:cs="Arial"/>
          <w:sz w:val="16"/>
          <w:szCs w:val="16"/>
          <w:lang w:val="en-AU"/>
        </w:rPr>
        <w:t xml:space="preserve">apital </w:t>
      </w:r>
      <w:r>
        <w:rPr>
          <w:rFonts w:ascii="Arial" w:eastAsia="Times New Roman" w:hAnsi="Arial" w:cs="Arial"/>
          <w:sz w:val="16"/>
          <w:szCs w:val="16"/>
          <w:lang w:val="en-AU"/>
        </w:rPr>
        <w:t>B</w:t>
      </w:r>
      <w:r w:rsidRPr="004E1274">
        <w:rPr>
          <w:rFonts w:ascii="Arial" w:eastAsia="Times New Roman" w:hAnsi="Arial" w:cs="Arial"/>
          <w:sz w:val="16"/>
          <w:szCs w:val="16"/>
          <w:lang w:val="en-AU"/>
        </w:rPr>
        <w:t>udgets</w:t>
      </w:r>
      <w:r>
        <w:rPr>
          <w:rFonts w:ascii="Arial" w:eastAsia="Times New Roman" w:hAnsi="Arial" w:cs="Arial"/>
          <w:sz w:val="16"/>
          <w:szCs w:val="16"/>
          <w:lang w:val="en-AU"/>
        </w:rPr>
        <w:t xml:space="preserve"> (DCBs)</w:t>
      </w:r>
      <w:r w:rsidRPr="004E1274">
        <w:rPr>
          <w:rFonts w:ascii="Arial" w:eastAsia="Times New Roman" w:hAnsi="Arial" w:cs="Arial"/>
          <w:sz w:val="16"/>
          <w:szCs w:val="16"/>
          <w:lang w:val="en-AU"/>
        </w:rPr>
        <w:t>.</w:t>
      </w:r>
    </w:p>
    <w:p w:rsidR="007B0256" w:rsidRDefault="00BA7A7F" w:rsidP="008761C5">
      <w:pPr>
        <w:pStyle w:val="TableHeading"/>
        <w:keepLines/>
        <w:pageBreakBefore/>
        <w:spacing w:before="240"/>
      </w:pPr>
      <w:bookmarkStart w:id="191" w:name="RG_MARKER_11717"/>
      <w:bookmarkStart w:id="192" w:name="RG_MARKER_12167"/>
      <w:r>
        <w:t>Table 3.6</w:t>
      </w:r>
      <w:bookmarkEnd w:id="191"/>
      <w:bookmarkEnd w:id="192"/>
      <w:r w:rsidRPr="00803533">
        <w:t xml:space="preserve">: </w:t>
      </w:r>
      <w:r>
        <w:t>Statement of asset movements (Budget year 2022­23)</w:t>
      </w:r>
    </w:p>
    <w:tbl>
      <w:tblPr>
        <w:tblStyle w:val="CDMRange1"/>
        <w:tblW w:w="7875" w:type="dxa"/>
        <w:tblLayout w:type="fixed"/>
        <w:tblLook w:val="0600" w:firstRow="0" w:lastRow="0" w:firstColumn="0" w:lastColumn="0" w:noHBand="1" w:noVBand="1"/>
      </w:tblPr>
      <w:tblGrid>
        <w:gridCol w:w="3315"/>
        <w:gridCol w:w="1140"/>
        <w:gridCol w:w="1140"/>
        <w:gridCol w:w="1140"/>
        <w:gridCol w:w="1140"/>
      </w:tblGrid>
      <w:tr w:rsidR="00253274">
        <w:trPr>
          <w:trHeight w:hRule="exact" w:val="225"/>
        </w:trPr>
        <w:tc>
          <w:tcPr>
            <w:tcW w:w="33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plant &amp;</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124,101</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63,251</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226,192</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413,544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358,141</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3,804</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361,945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15"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(22,356)</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(22,583)</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(124,588)</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(169,527)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15"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(96,235)</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(2,559)</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(98,794)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363,651</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41,913</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101,604</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507,168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315"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11,573</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16,875</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42,502</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70,950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3,865</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3,865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236"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15,438</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16,875</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42,502</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74,815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236"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(10,830)</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(14,280)</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(17,570)</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(42,680)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(32,982)</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(601)</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(33,583)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(43,812)</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(14,881)</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(17,570)</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(76,263)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135,674</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80,126</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268,694</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484,494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362,006</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3,804</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365,810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315"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(33,186)</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(36,863)</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(142,158)</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(212,207)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315"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(129,217)</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(3,160)</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(132,377)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335,277</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43,907</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126,536</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505,720</w:t>
            </w:r>
          </w:p>
        </w:tc>
      </w:tr>
    </w:tbl>
    <w:p w:rsidR="008776EC" w:rsidRDefault="00BA7A7F" w:rsidP="000D67E2">
      <w:pPr>
        <w:spacing w:before="40" w:after="0" w:line="240" w:lineRule="auto"/>
        <w:ind w:left="142" w:hanging="142"/>
        <w:jc w:val="left"/>
        <w:rPr>
          <w:rFonts w:ascii="Arial" w:hAnsi="Arial" w:cs="Arial"/>
          <w:sz w:val="16"/>
          <w:szCs w:val="16"/>
        </w:rPr>
      </w:pPr>
      <w:r>
        <w:rPr>
          <w:rFonts w:ascii="Arial" w:hAnsi="Arial" w:cs="Arial"/>
          <w:sz w:val="16"/>
          <w:szCs w:val="16"/>
        </w:rPr>
        <w:t>Prepared on Australian Accounting Standards basis.</w:t>
      </w:r>
    </w:p>
    <w:p w:rsidR="008776EC" w:rsidRPr="000D67E2" w:rsidRDefault="00BA7A7F" w:rsidP="008776EC">
      <w:pPr>
        <w:pStyle w:val="FootnoteText"/>
        <w:keepLines/>
        <w:numPr>
          <w:ilvl w:val="0"/>
          <w:numId w:val="32"/>
        </w:numPr>
        <w:spacing w:after="0"/>
        <w:rPr>
          <w:rFonts w:ascii="Arial" w:hAnsi="Arial" w:cs="Arial"/>
          <w:szCs w:val="16"/>
        </w:rPr>
      </w:pPr>
      <w:r>
        <w:rPr>
          <w:rFonts w:ascii="Arial" w:hAnsi="Arial" w:cs="Arial"/>
          <w:szCs w:val="16"/>
        </w:rPr>
        <w:t>'Appropriation equity' refers to equity injections provided through Appropriation Bill (No. 2) 2022­23 and</w:t>
      </w:r>
      <w:r w:rsidRPr="009B5C1C">
        <w:rPr>
          <w:rFonts w:ascii="Arial" w:hAnsi="Arial" w:cs="Arial"/>
          <w:szCs w:val="16"/>
        </w:rPr>
        <w:t xml:space="preserve"> to funding provided through Appropriation Bill (No. 1) 2022­23 for </w:t>
      </w:r>
      <w:r w:rsidR="00BB4916" w:rsidRPr="009B5C1C">
        <w:rPr>
          <w:rFonts w:ascii="Arial" w:hAnsi="Arial" w:cs="Arial"/>
          <w:szCs w:val="16"/>
        </w:rPr>
        <w:t>the Departmental Capital Budget.</w:t>
      </w:r>
    </w:p>
    <w:p w:rsidR="007B0256" w:rsidRDefault="00BA7A7F" w:rsidP="00D303BE">
      <w:pPr>
        <w:pStyle w:val="TableHeading"/>
        <w:keepLines/>
        <w:pageBreakBefore/>
        <w:spacing w:before="240"/>
      </w:pPr>
      <w:bookmarkStart w:id="193" w:name="RG_MARKER_11715"/>
      <w:bookmarkStart w:id="194" w:name="RG_MARKER_11725"/>
      <w:bookmarkStart w:id="195" w:name="RG_MARKER_12194"/>
      <w:r>
        <w:t>Table 3.7</w:t>
      </w:r>
      <w:bookmarkEnd w:id="193"/>
      <w:bookmarkEnd w:id="194"/>
      <w:bookmarkEnd w:id="195"/>
      <w:r w:rsidRPr="00803533">
        <w:t xml:space="preserve">: </w:t>
      </w:r>
      <w:r>
        <w:t>Schedule of budgeted income and expenses administered on behalf of Government</w:t>
      </w:r>
      <w:r w:rsidRPr="00803533">
        <w:t xml:space="preserve"> (for the period ended </w:t>
      </w:r>
      <w:r>
        <w:t>30 June</w:t>
      </w:r>
      <w:r w:rsidRPr="00803533">
        <w:t>)</w:t>
      </w:r>
    </w:p>
    <w:tbl>
      <w:tblPr>
        <w:tblStyle w:val="CDMRange1"/>
        <w:tblW w:w="7680" w:type="dxa"/>
        <w:tblLayout w:type="fixed"/>
        <w:tblLook w:val="0600" w:firstRow="0" w:lastRow="0" w:firstColumn="0" w:lastColumn="0" w:noHBand="1" w:noVBand="1"/>
      </w:tblPr>
      <w:tblGrid>
        <w:gridCol w:w="2280"/>
        <w:gridCol w:w="1080"/>
        <w:gridCol w:w="1080"/>
        <w:gridCol w:w="1080"/>
        <w:gridCol w:w="1080"/>
        <w:gridCol w:w="1080"/>
      </w:tblGrid>
      <w:tr w:rsidR="00253274">
        <w:trPr>
          <w:trHeight w:val="195"/>
        </w:trPr>
        <w:tc>
          <w:tcPr>
            <w:tcW w:w="22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FFFFFF" w:fill="D9D9D9"/>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2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D9D9D9"/>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2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9D9D9"/>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2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D9D9D9"/>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7,961</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8,810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7,928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8,086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8,248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740,734</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567,369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445,382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278,742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249,549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Grants and subsidies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1,601,038</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2,040,179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1,818,938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907,677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734,905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103</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1,025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820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8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2,333</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1,865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1,930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1,749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1,974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8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1,368</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8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Commonwealth entities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1,744,051</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1,682,062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1,617,338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1,498,957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1,482,406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4,097,588</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4,301,453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3,892,374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2,696,236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2,477,902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Taxation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Indirect tax</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taxation revenue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Fees from regulatory services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50,042</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56,924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55,775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54,958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55,328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Fees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5,194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4,850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4,867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4,867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11,043</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10,520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9,626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162,881</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172,489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246,600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253,400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269,300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1,323,560</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1,190,735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1,050,407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883,188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658,304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non­taxation revenue</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9,944</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1,198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1,231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1,265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1,552,526</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1,445,806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1,368,456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1,198,343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989,315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28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1,553,076</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1,446,356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1,369,006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1,198,893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989,865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548</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8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gains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548</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567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656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income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1,553,624</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1,446,356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1,369,006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1,199,460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990,521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228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(cost of)/ contribution by services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(2,543,964)</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(2,855,097)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(2,523,368)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(1,496,776)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(1,487,381)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 income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single" w:sz="4" w:space="0" w:color="000000"/>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income/(loss)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(2,543,964)</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(2,855,097)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(2,523,368)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(1,496,776)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(1,487,381)</w:t>
            </w:r>
          </w:p>
        </w:tc>
      </w:tr>
    </w:tbl>
    <w:p w:rsidR="002A5706" w:rsidRPr="00AE1A50" w:rsidRDefault="00BA7A7F" w:rsidP="00AE1A50">
      <w:pPr>
        <w:spacing w:after="0" w:line="240" w:lineRule="auto"/>
        <w:ind w:left="142" w:hanging="142"/>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7B0256" w:rsidRDefault="00BA7A7F" w:rsidP="001D5D69">
      <w:pPr>
        <w:pStyle w:val="TableHeading"/>
        <w:keepLines/>
        <w:pageBreakBefore/>
        <w:spacing w:before="240"/>
      </w:pPr>
      <w:bookmarkStart w:id="196" w:name="RG_MARKER_11719"/>
      <w:bookmarkStart w:id="197" w:name="RG_MARKER_12088"/>
      <w:r>
        <w:t>Table 3.8</w:t>
      </w:r>
      <w:bookmarkEnd w:id="196"/>
      <w:bookmarkEnd w:id="197"/>
      <w:r w:rsidRPr="00803533">
        <w:t xml:space="preserve">: </w:t>
      </w:r>
      <w:r>
        <w:t>Schedule of budgeted assets and liabilities administered on behalf of Government (as at 30 June</w:t>
      </w:r>
      <w:r w:rsidRPr="00803533">
        <w:t>)</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253274">
        <w:trPr>
          <w:trHeight w:hRule="exac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FFFFFF" w:fill="D9D9D9"/>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D9D9D9"/>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D9D9D9"/>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in special accounts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5,944,987</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5,558,136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5,442,345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5,293,518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5,179,536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Receivables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226,328</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197,003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202,894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64,462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42,585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21,533,021</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23,934,264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24,359,713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24,714,409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24,662,308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Accrued revenue</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110,559</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99,598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87,501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73,600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54,860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27,814,895</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29,789,001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30,092,453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30,145,989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29,939,289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5,033</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4,177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4,819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3,599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2,133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4,690</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7,490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7,731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7,874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8,038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Prepayments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410</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10,182</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12,702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13,413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12,164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10,945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27,825,077</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29,801,703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30,105,866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30,158,153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29,950,234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30,454</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28,784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28,784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28,784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28,784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61,871</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51,343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51,343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51,343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51,343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93,825</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81,627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81,627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81,627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81,627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4,149</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3,131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4,030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2,930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1,745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4,149</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3,131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4,030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2,930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1,745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2,204</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2,204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2,204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2,204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2,204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Rehabilitation provision</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477,924</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364,560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237,290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112,045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32,098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480,128</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366,764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239,494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114,249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34,302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49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578,102</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451,522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325,151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198,806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117,674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27,246,975</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29,350,181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29,780,715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29,959,347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29,832,560</w:t>
            </w:r>
          </w:p>
        </w:tc>
      </w:tr>
    </w:tbl>
    <w:p w:rsidR="00975C2F" w:rsidRDefault="00BA7A7F" w:rsidP="007D6275">
      <w:pPr>
        <w:spacing w:before="40" w:after="0" w:line="240" w:lineRule="auto"/>
        <w:jc w:val="left"/>
        <w:rPr>
          <w:rFonts w:ascii="Arial" w:hAnsi="Arial" w:cs="Arial"/>
          <w:sz w:val="16"/>
          <w:szCs w:val="16"/>
        </w:rPr>
      </w:pPr>
      <w:r>
        <w:rPr>
          <w:rFonts w:ascii="Arial" w:hAnsi="Arial" w:cs="Arial"/>
          <w:sz w:val="16"/>
          <w:szCs w:val="16"/>
        </w:rPr>
        <w:t xml:space="preserve">Prepared on Australian Accounting Standards basis. </w:t>
      </w:r>
    </w:p>
    <w:p w:rsidR="00975C2F" w:rsidRDefault="00975C2F" w:rsidP="00975C2F">
      <w:pPr>
        <w:spacing w:before="20" w:after="60" w:line="240" w:lineRule="auto"/>
        <w:ind w:left="142" w:hanging="142"/>
        <w:rPr>
          <w:rFonts w:ascii="Arial" w:hAnsi="Arial" w:cs="Arial"/>
          <w:sz w:val="16"/>
          <w:szCs w:val="16"/>
        </w:rPr>
      </w:pPr>
    </w:p>
    <w:p w:rsidR="00975C2F" w:rsidRPr="00975C2F" w:rsidRDefault="00975C2F" w:rsidP="00975C2F"/>
    <w:p w:rsidR="007B0256" w:rsidRDefault="00BA7A7F" w:rsidP="00E67430">
      <w:pPr>
        <w:pStyle w:val="TableHeading"/>
        <w:keepLines/>
        <w:pageBreakBefore/>
        <w:spacing w:before="240"/>
      </w:pPr>
      <w:bookmarkStart w:id="198" w:name="RG_MARKER_11729"/>
      <w:bookmarkStart w:id="199" w:name="RG_MARKER_12062"/>
      <w:r>
        <w:t>Table 3.9</w:t>
      </w:r>
      <w:bookmarkEnd w:id="198"/>
      <w:bookmarkEnd w:id="199"/>
      <w:r w:rsidRPr="00803533">
        <w:t xml:space="preserve">: </w:t>
      </w:r>
      <w:r>
        <w:t>Schedule of budgeted administered cash flows (for the period ended 30 June</w:t>
      </w:r>
      <w:r w:rsidRPr="00803533">
        <w:t>)</w:t>
      </w:r>
    </w:p>
    <w:tbl>
      <w:tblPr>
        <w:tblStyle w:val="CDMRange1"/>
        <w:tblW w:w="7785" w:type="dxa"/>
        <w:tblLayout w:type="fixed"/>
        <w:tblLook w:val="0600" w:firstRow="0" w:lastRow="0" w:firstColumn="0" w:lastColumn="0" w:noHBand="1" w:noVBand="1"/>
      </w:tblPr>
      <w:tblGrid>
        <w:gridCol w:w="2385"/>
        <w:gridCol w:w="1080"/>
        <w:gridCol w:w="1080"/>
        <w:gridCol w:w="1080"/>
        <w:gridCol w:w="1080"/>
        <w:gridCol w:w="1080"/>
      </w:tblGrid>
      <w:tr w:rsidR="00253274">
        <w:trPr>
          <w:trHeight w:val="225"/>
        </w:trPr>
        <w:tc>
          <w:tcPr>
            <w:tcW w:w="2385"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FFFFFF" w:fill="EAEAEA"/>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405</w:t>
            </w:r>
          </w:p>
        </w:tc>
        <w:tc>
          <w:tcPr>
            <w:tcW w:w="1080" w:type="dxa"/>
            <w:tcBorders>
              <w:top w:val="nil"/>
              <w:left w:val="nil"/>
              <w:bottom w:val="nil"/>
              <w:right w:val="nil"/>
              <w:tl2br w:val="nil"/>
              <w:tr2bl w:val="nil"/>
            </w:tcBorders>
            <w:shd w:val="clear" w:color="FFFFFF" w:fill="EAEAEA"/>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3,680</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274</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182</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162,881</w:t>
            </w:r>
          </w:p>
        </w:tc>
        <w:tc>
          <w:tcPr>
            <w:tcW w:w="1080" w:type="dxa"/>
            <w:tcBorders>
              <w:top w:val="nil"/>
              <w:left w:val="nil"/>
              <w:bottom w:val="nil"/>
              <w:right w:val="nil"/>
              <w:tl2br w:val="nil"/>
              <w:tr2bl w:val="nil"/>
            </w:tcBorders>
            <w:shd w:val="clear" w:color="FFFFFF" w:fill="EAEAEA"/>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172,489</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246,600</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253,400</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269,300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Fees</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8,906</w:t>
            </w:r>
          </w:p>
        </w:tc>
        <w:tc>
          <w:tcPr>
            <w:tcW w:w="1080" w:type="dxa"/>
            <w:tcBorders>
              <w:top w:val="nil"/>
              <w:left w:val="nil"/>
              <w:bottom w:val="nil"/>
              <w:right w:val="nil"/>
              <w:tl2br w:val="nil"/>
              <w:tr2bl w:val="nil"/>
            </w:tcBorders>
            <w:shd w:val="clear" w:color="FFFFFF" w:fill="EAEAEA"/>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1,275,260</w:t>
            </w:r>
          </w:p>
        </w:tc>
        <w:tc>
          <w:tcPr>
            <w:tcW w:w="1080" w:type="dxa"/>
            <w:tcBorders>
              <w:top w:val="nil"/>
              <w:left w:val="nil"/>
              <w:bottom w:val="nil"/>
              <w:right w:val="nil"/>
              <w:tl2br w:val="nil"/>
              <w:tr2bl w:val="nil"/>
            </w:tcBorders>
            <w:shd w:val="clear" w:color="FFFFFF" w:fill="EAEAEA"/>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1,201,696</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1,056,040</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891,116</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671,970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214,254</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197,663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158,740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88,308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92,079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13,135</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20,429</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28,513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28,072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47,728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Levy receipts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34,572</w:t>
            </w:r>
          </w:p>
        </w:tc>
        <w:tc>
          <w:tcPr>
            <w:tcW w:w="1080" w:type="dxa"/>
            <w:tcBorders>
              <w:top w:val="nil"/>
              <w:left w:val="nil"/>
              <w:bottom w:val="single" w:sz="4" w:space="0" w:color="000000"/>
              <w:right w:val="nil"/>
              <w:tl2br w:val="nil"/>
              <w:tr2bl w:val="nil"/>
            </w:tcBorders>
            <w:shd w:val="clear" w:color="FFFFFF" w:fill="EAEAE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41,370</w:t>
            </w:r>
          </w:p>
        </w:tc>
        <w:tc>
          <w:tcPr>
            <w:tcW w:w="1080"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39,774</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38,957</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39,327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1,709,413</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1,637,877</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1,530,491</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1,300,585</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1,121,045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700,053</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612,251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469,451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296,777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266,353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Grants and subsidies paid</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1,769,141</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2,194,895</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1,953,609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977,950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810,180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7,961</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8,810</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7,928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8,086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8,248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1,744,051</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1,682,062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1,617,338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1,498,957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1,482,406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116,552</w:t>
            </w:r>
          </w:p>
        </w:tc>
        <w:tc>
          <w:tcPr>
            <w:tcW w:w="1080" w:type="dxa"/>
            <w:tcBorders>
              <w:top w:val="nil"/>
              <w:left w:val="nil"/>
              <w:bottom w:val="single" w:sz="4" w:space="0" w:color="000000"/>
              <w:right w:val="nil"/>
              <w:tl2br w:val="nil"/>
              <w:tr2bl w:val="nil"/>
            </w:tcBorders>
            <w:shd w:val="clear" w:color="FFFFFF" w:fill="EAEAE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113,500</w:t>
            </w:r>
          </w:p>
        </w:tc>
        <w:tc>
          <w:tcPr>
            <w:tcW w:w="1080"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127,500</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126,250</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80,750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4,337,795</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4,611,548</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4,175,851</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2,908,040</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2,647,954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operating activities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(2,628,382)</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(2,973,671)</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(2,645,360)</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(1,607,455)</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(1,526,909)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Repayments of loans and advances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900</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34,025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139,025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170,325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1,434</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1,138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833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(a)</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460,000</w:t>
            </w:r>
          </w:p>
        </w:tc>
        <w:tc>
          <w:tcPr>
            <w:tcW w:w="1080" w:type="dxa"/>
            <w:tcBorders>
              <w:top w:val="nil"/>
              <w:left w:val="nil"/>
              <w:bottom w:val="single" w:sz="4" w:space="0" w:color="000000"/>
              <w:right w:val="nil"/>
              <w:tl2br w:val="nil"/>
              <w:tr2bl w:val="nil"/>
            </w:tcBorders>
            <w:shd w:val="clear" w:color="FFFFFF" w:fill="EAEAE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300,000</w:t>
            </w:r>
          </w:p>
        </w:tc>
        <w:tc>
          <w:tcPr>
            <w:tcW w:w="1080"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605,000</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320,000</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462,334</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335,163</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607,858</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459,516</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560,472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Advances and loans made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32,000</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914,347</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1,746,163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166,280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equipment and intangibles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2,165</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4,385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755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Investments in Corporate Commonwealth Entities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861,705</w:t>
            </w:r>
          </w:p>
        </w:tc>
        <w:tc>
          <w:tcPr>
            <w:tcW w:w="1080" w:type="dxa"/>
            <w:tcBorders>
              <w:top w:val="nil"/>
              <w:left w:val="nil"/>
              <w:bottom w:val="single" w:sz="4" w:space="0" w:color="000000"/>
              <w:right w:val="nil"/>
              <w:tl2br w:val="nil"/>
              <w:tr2bl w:val="nil"/>
            </w:tcBorders>
            <w:shd w:val="clear" w:color="FFFFFF" w:fill="EAEAEA"/>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973,673</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927,913</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640,600</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567,571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1,810,217</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2,724,221</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1,094,883</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641,100</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568,326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(1,347,883)</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(2,389,058)</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(487,025)</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(181,584)</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(7,854)</w:t>
            </w:r>
          </w:p>
        </w:tc>
      </w:tr>
    </w:tbl>
    <w:p w:rsidR="00DE10BA" w:rsidRDefault="00BA7A7F">
      <w:pPr>
        <w:keepLines w:val="0"/>
        <w:spacing w:after="200" w:line="276" w:lineRule="auto"/>
        <w:jc w:val="left"/>
        <w:rPr>
          <w:rFonts w:ascii="Arial" w:hAnsi="Arial"/>
          <w:b/>
        </w:rPr>
      </w:pPr>
      <w:r>
        <w:br w:type="page"/>
      </w:r>
    </w:p>
    <w:p w:rsidR="004C042E" w:rsidRDefault="00BA7A7F" w:rsidP="004C042E">
      <w:pPr>
        <w:pStyle w:val="TableHeading"/>
        <w:keepLines/>
        <w:spacing w:before="240"/>
      </w:pPr>
      <w:r>
        <w:t>Table 3.9</w:t>
      </w:r>
      <w:r w:rsidRPr="00803533">
        <w:t xml:space="preserve">: </w:t>
      </w:r>
      <w:r>
        <w:t>Schedule of budgeted administered cash flows (for the period ended 30 June</w:t>
      </w:r>
      <w:r w:rsidRPr="00803533">
        <w:t>)</w:t>
      </w:r>
      <w:r>
        <w:t xml:space="preserve"> (continued)</w:t>
      </w:r>
    </w:p>
    <w:tbl>
      <w:tblPr>
        <w:tblStyle w:val="CDMRange2"/>
        <w:tblW w:w="7785" w:type="dxa"/>
        <w:tblLayout w:type="fixed"/>
        <w:tblLook w:val="0600" w:firstRow="0" w:lastRow="0" w:firstColumn="0" w:lastColumn="0" w:noHBand="1" w:noVBand="1"/>
      </w:tblPr>
      <w:tblGrid>
        <w:gridCol w:w="2385"/>
        <w:gridCol w:w="1080"/>
        <w:gridCol w:w="1080"/>
        <w:gridCol w:w="1080"/>
        <w:gridCol w:w="1080"/>
        <w:gridCol w:w="1080"/>
      </w:tblGrid>
      <w:tr w:rsidR="00253274">
        <w:trPr>
          <w:trHeight w:val="210"/>
        </w:trPr>
        <w:tc>
          <w:tcPr>
            <w:tcW w:w="2385"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FFFFFF" w:fill="EAEAEA"/>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236" w:type="dxa"/>
              <w:right w:w="101"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985</w:t>
            </w:r>
          </w:p>
        </w:tc>
        <w:tc>
          <w:tcPr>
            <w:tcW w:w="1080" w:type="dxa"/>
            <w:tcBorders>
              <w:top w:val="nil"/>
              <w:left w:val="nil"/>
              <w:bottom w:val="nil"/>
              <w:right w:val="nil"/>
              <w:tl2br w:val="nil"/>
              <w:tr2bl w:val="nil"/>
            </w:tcBorders>
            <w:shd w:val="clear" w:color="FFFFFF" w:fill="EAEAEA"/>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1,018</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1,052</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1,185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985</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61"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1,018</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1,052</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1,100</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1,185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financing activities</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(985)</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(1,018)</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(1,052)</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(1,185)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FFFFFF" w:fill="FFFFFF"/>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 (decrease) in cash held</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(3,977,250)</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(5,363,747)</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(3,133,437)</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(1,790,139)</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(1,535,948)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FFFFFF" w:fill="FFFFFF"/>
            <w:tcMar>
              <w:left w:w="10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beginning of reporting period</w:t>
            </w:r>
          </w:p>
        </w:tc>
        <w:tc>
          <w:tcPr>
            <w:tcW w:w="1080" w:type="dxa"/>
            <w:tcBorders>
              <w:top w:val="single" w:sz="4" w:space="0" w:color="000000"/>
              <w:left w:val="nil"/>
              <w:bottom w:val="nil"/>
              <w:right w:val="nil"/>
              <w:tl2br w:val="nil"/>
              <w:tr2bl w:val="nil"/>
            </w:tcBorders>
            <w:shd w:val="clear" w:color="FFFFFF" w:fill="FFFFFF"/>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5,724,109</w:t>
            </w:r>
          </w:p>
        </w:tc>
        <w:tc>
          <w:tcPr>
            <w:tcW w:w="1080" w:type="dxa"/>
            <w:tcBorders>
              <w:top w:val="single" w:sz="4" w:space="0" w:color="000000"/>
              <w:left w:val="nil"/>
              <w:bottom w:val="nil"/>
              <w:right w:val="nil"/>
              <w:tl2br w:val="nil"/>
              <w:tr2bl w:val="nil"/>
            </w:tcBorders>
            <w:shd w:val="clear" w:color="FFFFFF" w:fill="EAEAEA"/>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5,944,987</w:t>
            </w:r>
          </w:p>
        </w:tc>
        <w:tc>
          <w:tcPr>
            <w:tcW w:w="1080" w:type="dxa"/>
            <w:tcBorders>
              <w:top w:val="single" w:sz="4" w:space="0" w:color="000000"/>
              <w:left w:val="nil"/>
              <w:bottom w:val="nil"/>
              <w:right w:val="nil"/>
              <w:tl2br w:val="nil"/>
              <w:tr2bl w:val="nil"/>
            </w:tcBorders>
            <w:shd w:val="clear" w:color="FFFFFF" w:fill="FFFFFF"/>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5,558,136</w:t>
            </w:r>
          </w:p>
        </w:tc>
        <w:tc>
          <w:tcPr>
            <w:tcW w:w="1080" w:type="dxa"/>
            <w:tcBorders>
              <w:top w:val="single" w:sz="4" w:space="0" w:color="000000"/>
              <w:left w:val="nil"/>
              <w:bottom w:val="nil"/>
              <w:right w:val="nil"/>
              <w:tl2br w:val="nil"/>
              <w:tr2bl w:val="nil"/>
            </w:tcBorders>
            <w:shd w:val="clear" w:color="FFFFFF" w:fill="FFFFFF"/>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5,442,345</w:t>
            </w:r>
          </w:p>
        </w:tc>
        <w:tc>
          <w:tcPr>
            <w:tcW w:w="1080" w:type="dxa"/>
            <w:tcBorders>
              <w:top w:val="single" w:sz="4" w:space="0" w:color="000000"/>
              <w:left w:val="nil"/>
              <w:bottom w:val="nil"/>
              <w:right w:val="nil"/>
              <w:tl2br w:val="nil"/>
              <w:tr2bl w:val="nil"/>
            </w:tcBorders>
            <w:shd w:val="clear" w:color="FFFFFF" w:fill="FFFFFF"/>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5,293,518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385"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from Official Public Account for:</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FFFFFF" w:fill="FFFFFF"/>
            <w:noWrap/>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4,207,528</w:t>
            </w:r>
          </w:p>
        </w:tc>
        <w:tc>
          <w:tcPr>
            <w:tcW w:w="1080" w:type="dxa"/>
            <w:tcBorders>
              <w:top w:val="nil"/>
              <w:left w:val="nil"/>
              <w:bottom w:val="nil"/>
              <w:right w:val="nil"/>
              <w:tl2br w:val="nil"/>
              <w:tr2bl w:val="nil"/>
            </w:tcBorders>
            <w:shd w:val="clear" w:color="FFFFFF" w:fill="EAEAEA"/>
            <w:noWrap/>
            <w:tcMar>
              <w:left w:w="101" w:type="dxa"/>
              <w:right w:w="16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4,470,563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4,023,926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2,759,758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2,543,195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FFFFFF" w:fill="FFFFFF"/>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Appropriation - Administered assets and liabilities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1,632,512</w:t>
            </w:r>
          </w:p>
        </w:tc>
        <w:tc>
          <w:tcPr>
            <w:tcW w:w="1080" w:type="dxa"/>
            <w:tcBorders>
              <w:top w:val="nil"/>
              <w:left w:val="nil"/>
              <w:bottom w:val="nil"/>
              <w:right w:val="nil"/>
              <w:tl2br w:val="nil"/>
              <w:tr2bl w:val="nil"/>
            </w:tcBorders>
            <w:shd w:val="clear" w:color="FFFFFF" w:fill="EAEAEA"/>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2,034,353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386,820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220,000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385" w:type="dxa"/>
            <w:tcBorders>
              <w:top w:val="nil"/>
              <w:left w:val="nil"/>
              <w:bottom w:val="nil"/>
              <w:right w:val="nil"/>
              <w:tl2br w:val="nil"/>
              <w:tr2bl w:val="nil"/>
            </w:tcBorders>
            <w:shd w:val="clear" w:color="FFFFFF" w:fill="FFFFFF"/>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appropriation - corporate entities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55,652</w:t>
            </w:r>
          </w:p>
        </w:tc>
        <w:tc>
          <w:tcPr>
            <w:tcW w:w="1080" w:type="dxa"/>
            <w:tcBorders>
              <w:top w:val="nil"/>
              <w:left w:val="nil"/>
              <w:bottom w:val="nil"/>
              <w:right w:val="nil"/>
              <w:tl2br w:val="nil"/>
              <w:tr2bl w:val="nil"/>
            </w:tcBorders>
            <w:shd w:val="clear" w:color="FFFFFF" w:fill="EAEAEA"/>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116,568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115,808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78,495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35,466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tcBorders>
              <w:top w:val="nil"/>
              <w:left w:val="nil"/>
              <w:bottom w:val="nil"/>
              <w:right w:val="nil"/>
              <w:tl2br w:val="nil"/>
              <w:tr2bl w:val="nil"/>
            </w:tcBorders>
            <w:shd w:val="clear" w:color="FFFFFF" w:fill="FFFFFF"/>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GST appropriations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214,254</w:t>
            </w:r>
          </w:p>
        </w:tc>
        <w:tc>
          <w:tcPr>
            <w:tcW w:w="1080" w:type="dxa"/>
            <w:tcBorders>
              <w:top w:val="nil"/>
              <w:left w:val="nil"/>
              <w:bottom w:val="single" w:sz="4" w:space="0" w:color="000000"/>
              <w:right w:val="nil"/>
              <w:tl2br w:val="nil"/>
              <w:tr2bl w:val="nil"/>
            </w:tcBorders>
            <w:shd w:val="clear" w:color="FFFFFF" w:fill="EAEAEA"/>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197,663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158,740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88,308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92,079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from Official Public Account</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6,109,946</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6,819,147</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4,685,294</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3,146,561</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2,760,740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 Account for:</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FFFFFF" w:fill="FFFFFF"/>
            <w:noWrap/>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(1,696,664)</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(1,610,563)</w:t>
            </w:r>
          </w:p>
        </w:tc>
        <w:tc>
          <w:tcPr>
            <w:tcW w:w="1080" w:type="dxa"/>
            <w:tcBorders>
              <w:top w:val="nil"/>
              <w:left w:val="nil"/>
              <w:bottom w:val="nil"/>
              <w:right w:val="nil"/>
              <w:tl2br w:val="nil"/>
              <w:tr2bl w:val="nil"/>
            </w:tcBorders>
            <w:shd w:val="clear" w:color="FFFFFF" w:fill="FFFFFF"/>
            <w:noWrap/>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(1,506,883)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(1,414,916)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(1,076,370)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FFFFFF" w:fill="FFFFFF"/>
            <w:noWrap/>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GST appropriations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(214,254)</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(197,663)</w:t>
            </w:r>
          </w:p>
        </w:tc>
        <w:tc>
          <w:tcPr>
            <w:tcW w:w="1080" w:type="dxa"/>
            <w:tcBorders>
              <w:top w:val="nil"/>
              <w:left w:val="nil"/>
              <w:bottom w:val="nil"/>
              <w:right w:val="nil"/>
              <w:tl2br w:val="nil"/>
              <w:tr2bl w:val="nil"/>
            </w:tcBorders>
            <w:shd w:val="clear" w:color="FFFFFF" w:fill="FFFFFF"/>
            <w:noWrap/>
            <w:tcMar>
              <w:left w:w="101" w:type="dxa"/>
              <w:right w:w="101"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(158,740)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(88,308)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(92,079)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385" w:type="dxa"/>
            <w:tcBorders>
              <w:top w:val="nil"/>
              <w:left w:val="nil"/>
              <w:bottom w:val="nil"/>
              <w:right w:val="nil"/>
              <w:tl2br w:val="nil"/>
              <w:tr2bl w:val="nil"/>
            </w:tcBorders>
            <w:shd w:val="clear" w:color="FFFFFF" w:fill="FFFFFF"/>
            <w:tcMar>
              <w:left w:w="371" w:type="dxa"/>
              <w:right w:w="101"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Return of contributed equity</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(900)</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(34,025)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(170,325)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101" w:type="dxa"/>
              <w:right w:w="101"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to Official Public Account</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(1,911,818)</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(1,842,251)</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(1,667,648)</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(1,505,249)</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(1,338,774)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single" w:sz="4" w:space="0" w:color="000000"/>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end of reporting period</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5,944,987</w:t>
            </w:r>
          </w:p>
        </w:tc>
        <w:tc>
          <w:tcPr>
            <w:tcW w:w="1080" w:type="dxa"/>
            <w:tcBorders>
              <w:top w:val="single" w:sz="4" w:space="0" w:color="000000"/>
              <w:left w:val="nil"/>
              <w:bottom w:val="single" w:sz="4" w:space="0" w:color="000000"/>
              <w:right w:val="dotted" w:sz="2" w:space="0" w:color="FFFFFF"/>
              <w:tl2br w:val="nil"/>
              <w:tr2bl w:val="nil"/>
            </w:tcBorders>
            <w:shd w:val="clear" w:color="FFFFFF" w:fill="EAEAEA"/>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5,558,136</w:t>
            </w:r>
          </w:p>
        </w:tc>
        <w:tc>
          <w:tcPr>
            <w:tcW w:w="1080" w:type="dxa"/>
            <w:tcBorders>
              <w:top w:val="single" w:sz="4" w:space="0" w:color="000000"/>
              <w:left w:val="dotted" w:sz="2" w:space="0" w:color="FFFFFF"/>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5,442,345</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5,293,518</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5,179,536</w:t>
            </w:r>
          </w:p>
        </w:tc>
      </w:tr>
    </w:tbl>
    <w:p w:rsidR="00BF4E84" w:rsidRDefault="00BA7A7F" w:rsidP="00BF4E84">
      <w:pPr>
        <w:spacing w:before="40" w:after="0" w:line="240" w:lineRule="auto"/>
        <w:ind w:left="142" w:hanging="142"/>
        <w:jc w:val="left"/>
        <w:rPr>
          <w:rFonts w:ascii="Arial" w:hAnsi="Arial" w:cs="Arial"/>
          <w:sz w:val="16"/>
          <w:szCs w:val="16"/>
        </w:rPr>
      </w:pPr>
      <w:r>
        <w:rPr>
          <w:rFonts w:ascii="Arial" w:hAnsi="Arial" w:cs="Arial"/>
          <w:sz w:val="16"/>
          <w:szCs w:val="16"/>
        </w:rPr>
        <w:t>Prepared on Australian Accounting Standards basis.</w:t>
      </w:r>
    </w:p>
    <w:p w:rsidR="00AD4B14" w:rsidRPr="00AD4B14" w:rsidRDefault="00BA7A7F" w:rsidP="00BF4E84">
      <w:pPr>
        <w:pStyle w:val="ChartandTableFootnoteAlpha"/>
        <w:keepNext w:val="0"/>
        <w:keepLines w:val="0"/>
        <w:numPr>
          <w:ilvl w:val="0"/>
          <w:numId w:val="33"/>
        </w:numPr>
        <w:spacing w:line="240" w:lineRule="auto"/>
        <w:jc w:val="left"/>
      </w:pPr>
      <w:r w:rsidRPr="00BF4E84">
        <w:rPr>
          <w:rFonts w:cs="Arial"/>
          <w:szCs w:val="16"/>
        </w:rPr>
        <w:t>Return of funds to the Clean Energy Finance Corporation Special Account.</w:t>
      </w:r>
      <w:r w:rsidR="00BF4E84" w:rsidRPr="00BF4E84">
        <w:t xml:space="preserve"> </w:t>
      </w:r>
    </w:p>
    <w:p w:rsidR="007B0256" w:rsidRDefault="00BA7A7F" w:rsidP="00117E77">
      <w:pPr>
        <w:pStyle w:val="TableHeading"/>
        <w:keepLines/>
        <w:pageBreakBefore/>
        <w:spacing w:before="240"/>
      </w:pPr>
      <w:bookmarkStart w:id="200" w:name="RG_MARKER_11824"/>
      <w:bookmarkStart w:id="201" w:name="RG_MARKER_11827"/>
      <w:r>
        <w:t>Table 3</w:t>
      </w:r>
      <w:bookmarkEnd w:id="200"/>
      <w:bookmarkEnd w:id="201"/>
      <w:r w:rsidRPr="00803533">
        <w:t>.</w:t>
      </w:r>
      <w:r>
        <w:t>10</w:t>
      </w:r>
      <w:r w:rsidRPr="00803533">
        <w:t xml:space="preserve">: </w:t>
      </w:r>
      <w:r>
        <w:t>Administered capital budget statement (for the period ended 30 June)</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253274">
        <w:trPr>
          <w:trHeigh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FFFFFF" w:fill="D9D9D9"/>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D9D9D9"/>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9D9D9"/>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D9D9D9"/>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Assets and Liabilities – Act 2 and Bill 4</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848,920</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1,822,635</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158,337</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49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848,920</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1,822,635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158,337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Provided for:</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1,410</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2,945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Other Items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847,510</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1,819,690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157,797</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848,920</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1,822,635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158,337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1,165</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3,190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Funded by special accounts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1,195</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755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2,165</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4,385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690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755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0"/>
        </w:trPr>
        <w:tc>
          <w:tcPr>
            <w:tcW w:w="2490" w:type="dxa"/>
            <w:tcBorders>
              <w:top w:val="nil"/>
              <w:left w:val="nil"/>
              <w:bottom w:val="nil"/>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USED TO ACQUIRE ASSETS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 ASSET MOVEMENT TABLE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5,918</w:t>
            </w:r>
          </w:p>
        </w:tc>
        <w:tc>
          <w:tcPr>
            <w:tcW w:w="1080" w:type="dxa"/>
            <w:tcBorders>
              <w:top w:val="nil"/>
              <w:left w:val="nil"/>
              <w:bottom w:val="nil"/>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4,385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2,641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755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249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Less: ROU additions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3,753</w:t>
            </w:r>
          </w:p>
        </w:tc>
        <w:tc>
          <w:tcPr>
            <w:tcW w:w="1080" w:type="dxa"/>
            <w:tcBorders>
              <w:top w:val="nil"/>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1,951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single" w:sz="4" w:space="0" w:color="000000"/>
              <w:right w:val="nil"/>
              <w:tl2br w:val="nil"/>
              <w:tr2bl w:val="nil"/>
            </w:tcBorders>
            <w:shd w:val="clear" w:color="auto" w:fill="auto"/>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2,165</w:t>
            </w:r>
          </w:p>
        </w:tc>
        <w:tc>
          <w:tcPr>
            <w:tcW w:w="1080" w:type="dxa"/>
            <w:tcBorders>
              <w:top w:val="single" w:sz="4" w:space="0" w:color="000000"/>
              <w:left w:val="nil"/>
              <w:bottom w:val="single" w:sz="4" w:space="0" w:color="000000"/>
              <w:right w:val="nil"/>
              <w:tl2br w:val="nil"/>
              <w:tr2bl w:val="nil"/>
            </w:tcBorders>
            <w:shd w:val="clear" w:color="FFFFFF" w:fill="D9D9D9"/>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4,385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690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755</w:t>
            </w:r>
          </w:p>
        </w:tc>
      </w:tr>
    </w:tbl>
    <w:p w:rsidR="006F3885" w:rsidRPr="00210E8D" w:rsidRDefault="00BA7A7F" w:rsidP="00210E8D">
      <w:pPr>
        <w:spacing w:after="0" w:line="240" w:lineRule="auto"/>
        <w:ind w:left="142" w:hanging="142"/>
        <w:jc w:val="left"/>
        <w:rPr>
          <w:rFonts w:ascii="Arial" w:hAnsi="Arial" w:cs="Arial"/>
          <w:sz w:val="16"/>
          <w:szCs w:val="16"/>
        </w:rPr>
      </w:pPr>
      <w:r>
        <w:rPr>
          <w:rFonts w:ascii="Arial" w:hAnsi="Arial" w:cs="Arial"/>
          <w:sz w:val="16"/>
          <w:szCs w:val="16"/>
        </w:rPr>
        <w:t>Prepared on Australian Accounting Standards basis.</w:t>
      </w:r>
    </w:p>
    <w:p w:rsidR="007B0256" w:rsidRDefault="00BA7A7F" w:rsidP="00D13B64">
      <w:pPr>
        <w:pStyle w:val="TableHeading"/>
        <w:keepLines/>
        <w:pageBreakBefore/>
        <w:spacing w:before="240"/>
      </w:pPr>
      <w:bookmarkStart w:id="202" w:name="RG_MARKER_11723"/>
      <w:bookmarkStart w:id="203" w:name="RG_MARKER_12119"/>
      <w:r>
        <w:t>Table 3.11</w:t>
      </w:r>
      <w:bookmarkEnd w:id="202"/>
      <w:bookmarkEnd w:id="203"/>
      <w:r w:rsidRPr="00803533">
        <w:t xml:space="preserve">: </w:t>
      </w:r>
      <w:r>
        <w:t>Statement of administered asset movements (2022­23 Budget year)</w:t>
      </w:r>
    </w:p>
    <w:tbl>
      <w:tblPr>
        <w:tblStyle w:val="CDMRange1"/>
        <w:tblW w:w="7905" w:type="dxa"/>
        <w:tblLayout w:type="fixed"/>
        <w:tblLook w:val="0600" w:firstRow="0" w:lastRow="0" w:firstColumn="0" w:lastColumn="0" w:noHBand="1" w:noVBand="1"/>
      </w:tblPr>
      <w:tblGrid>
        <w:gridCol w:w="3330"/>
        <w:gridCol w:w="915"/>
        <w:gridCol w:w="915"/>
        <w:gridCol w:w="915"/>
        <w:gridCol w:w="915"/>
        <w:gridCol w:w="915"/>
      </w:tblGrid>
      <w:tr w:rsidR="00253274">
        <w:trPr>
          <w:trHeight w:hRule="exact" w:val="225"/>
        </w:trPr>
        <w:tc>
          <w:tcPr>
            <w:tcW w:w="33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property, </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plant &amp;</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3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Calibri" w:eastAsia="Calibri" w:hAnsi="Calibri" w:cs="Calibri"/>
                <w:color w:val="000000"/>
                <w:sz w:val="22"/>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3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548</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1,200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627</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15,897</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18,272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3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6,969</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(864)</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(578)</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(11,207)</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(12,649)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(2,820)</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(2,820)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548</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4,485</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49</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4,690</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9,772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236"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3,190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By purchase – other - special account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695</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236"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400</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695</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3,290</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4,385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236"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(316)</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(119)</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(490)</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(925)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(940)</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(940)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236"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(1,256)</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(119)</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(490)</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(1,865)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3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548</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1,600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1,322</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19,187</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22,657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3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6,969</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(1,180)</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(697)</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(11,697)</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(13,574)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(3,760)</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548</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3,629</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625</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7,490</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12,292</w:t>
            </w:r>
          </w:p>
        </w:tc>
      </w:tr>
    </w:tbl>
    <w:p w:rsidR="00261865" w:rsidRDefault="00BA7A7F" w:rsidP="0034578B">
      <w:pPr>
        <w:spacing w:before="40" w:after="0" w:line="240" w:lineRule="auto"/>
        <w:ind w:left="142" w:hanging="142"/>
        <w:jc w:val="left"/>
        <w:rPr>
          <w:rFonts w:ascii="Arial" w:hAnsi="Arial" w:cs="Arial"/>
          <w:sz w:val="16"/>
          <w:szCs w:val="16"/>
          <w:bdr w:val="none" w:sz="0" w:space="0" w:color="auto" w:frame="1"/>
        </w:rPr>
      </w:pPr>
      <w:r>
        <w:rPr>
          <w:rFonts w:ascii="Arial" w:hAnsi="Arial" w:cs="Arial"/>
          <w:sz w:val="16"/>
          <w:szCs w:val="16"/>
          <w:bdr w:val="none" w:sz="0" w:space="0" w:color="auto" w:frame="1"/>
        </w:rPr>
        <w:t>Prepared on Australian Accounting Standards basis.</w:t>
      </w:r>
    </w:p>
    <w:p w:rsidR="0034578B" w:rsidRPr="0034578B" w:rsidRDefault="00BA7A7F" w:rsidP="0034578B">
      <w:pPr>
        <w:pStyle w:val="ListParagraph"/>
        <w:keepLines/>
        <w:numPr>
          <w:ilvl w:val="0"/>
          <w:numId w:val="34"/>
        </w:numPr>
        <w:spacing w:after="0" w:line="240" w:lineRule="auto"/>
        <w:ind w:left="284" w:hanging="284"/>
        <w:jc w:val="left"/>
        <w:rPr>
          <w:rFonts w:eastAsia="Times New Roman" w:cs="Arial"/>
          <w:sz w:val="16"/>
          <w:szCs w:val="16"/>
          <w:bdr w:val="none" w:sz="0" w:space="0" w:color="auto" w:frame="1"/>
          <w:lang w:val="en-AU"/>
        </w:rPr>
        <w:sectPr w:rsidR="0034578B" w:rsidRPr="0034578B" w:rsidSect="00FE33C8">
          <w:headerReference w:type="even" r:id="rId151"/>
          <w:headerReference w:type="default" r:id="rId152"/>
          <w:footerReference w:type="even" r:id="rId153"/>
          <w:footerReference w:type="default" r:id="rId154"/>
          <w:headerReference w:type="first" r:id="rId155"/>
          <w:footerReference w:type="first" r:id="rId156"/>
          <w:pgSz w:w="11906" w:h="16838"/>
          <w:pgMar w:top="2466" w:right="2098" w:bottom="2466" w:left="2098" w:header="1899" w:footer="1899" w:gutter="0"/>
          <w:pgBorders>
            <w:top w:val="nil"/>
            <w:left w:val="nil"/>
            <w:bottom w:val="nil"/>
            <w:right w:val="nil"/>
          </w:pgBorders>
          <w:cols w:space="720"/>
          <w:docGrid w:linePitch="360"/>
        </w:sectPr>
      </w:pPr>
      <w:r w:rsidRPr="001C7D78">
        <w:rPr>
          <w:rFonts w:ascii="Arial" w:eastAsia="Times New Roman" w:hAnsi="Arial" w:cs="Arial"/>
          <w:sz w:val="16"/>
          <w:szCs w:val="16"/>
          <w:bdr w:val="none" w:sz="0" w:space="0" w:color="auto" w:frame="1"/>
          <w:lang w:val="en-AU"/>
        </w:rPr>
        <w:t>'Appropriation equity' refers to Administered Assets and Liabilities appropriations provided through Appropriation Bill (No.2) 202</w:t>
      </w:r>
      <w:r>
        <w:rPr>
          <w:rFonts w:ascii="Arial" w:eastAsia="Times New Roman" w:hAnsi="Arial" w:cs="Arial"/>
          <w:sz w:val="16"/>
          <w:szCs w:val="16"/>
          <w:bdr w:val="none" w:sz="0" w:space="0" w:color="auto" w:frame="1"/>
          <w:lang w:val="en-AU"/>
        </w:rPr>
        <w:t>2</w:t>
      </w:r>
      <w:r w:rsidRPr="001C7D78">
        <w:rPr>
          <w:rFonts w:ascii="Arial" w:eastAsia="Times New Roman" w:hAnsi="Arial" w:cs="Arial"/>
          <w:sz w:val="16"/>
          <w:szCs w:val="16"/>
          <w:bdr w:val="none" w:sz="0" w:space="0" w:color="auto" w:frame="1"/>
          <w:lang w:val="en-AU"/>
        </w:rPr>
        <w:t>-2</w:t>
      </w:r>
      <w:r>
        <w:rPr>
          <w:rFonts w:ascii="Arial" w:eastAsia="Times New Roman" w:hAnsi="Arial" w:cs="Arial"/>
          <w:sz w:val="16"/>
          <w:szCs w:val="16"/>
          <w:bdr w:val="none" w:sz="0" w:space="0" w:color="auto" w:frame="1"/>
          <w:lang w:val="en-AU"/>
        </w:rPr>
        <w:t>3.</w:t>
      </w:r>
    </w:p>
    <w:p w:rsidR="008B0042" w:rsidRPr="008B0042" w:rsidRDefault="00BA7A7F" w:rsidP="008B0042">
      <w:pPr>
        <w:pageBreakBefore/>
        <w:rPr>
          <w:b/>
          <w:color w:val="FFFFFF"/>
          <w:sz w:val="36"/>
          <w:szCs w:val="36"/>
        </w:rPr>
      </w:pPr>
      <w:bookmarkStart w:id="204" w:name="RG_MARKER_11689"/>
      <w:bookmarkStart w:id="205" w:name="RG_MARKER_11851"/>
      <w:bookmarkStart w:id="206" w:name="RG_MARKER_11735"/>
      <w:bookmarkStart w:id="207" w:name="RG_MARKER_11797"/>
      <w:r w:rsidRPr="008B0042">
        <w:rPr>
          <w:b/>
          <w:color w:val="FFFFFF"/>
          <w:sz w:val="36"/>
          <w:szCs w:val="36"/>
        </w:rPr>
        <w:tab/>
      </w:r>
      <w:bookmarkEnd w:id="204"/>
      <w:bookmarkEnd w:id="205"/>
      <w:bookmarkEnd w:id="206"/>
      <w:bookmarkEnd w:id="207"/>
      <w:r w:rsidRPr="008B0042">
        <w:rPr>
          <w:b/>
          <w:color w:val="FFFFFF"/>
          <w:sz w:val="36"/>
          <w:szCs w:val="36"/>
        </w:rPr>
        <w:t>This page is intentionally blank</w:t>
      </w:r>
    </w:p>
    <w:p w:rsidR="008B0042" w:rsidRDefault="008B0042" w:rsidP="008B0042">
      <w:pPr>
        <w:tabs>
          <w:tab w:val="left" w:pos="440"/>
        </w:tabs>
        <w:rPr>
          <w:color w:val="FFFFFF"/>
        </w:rPr>
      </w:pPr>
    </w:p>
    <w:p w:rsidR="008B0042" w:rsidRDefault="008B0042" w:rsidP="00177AC5">
      <w:pPr>
        <w:jc w:val="center"/>
        <w:rPr>
          <w:color w:val="FFFFFF"/>
        </w:rPr>
      </w:pPr>
    </w:p>
    <w:p w:rsidR="008B0042" w:rsidRDefault="008B0042" w:rsidP="00177AC5">
      <w:pPr>
        <w:jc w:val="center"/>
        <w:rPr>
          <w:color w:val="FFFFFF"/>
        </w:rPr>
      </w:pPr>
    </w:p>
    <w:p w:rsidR="008B0042" w:rsidRDefault="008B0042" w:rsidP="00177AC5">
      <w:pPr>
        <w:jc w:val="center"/>
        <w:rPr>
          <w:color w:val="FFFFFF"/>
        </w:rPr>
      </w:pPr>
    </w:p>
    <w:p w:rsidR="008B0042" w:rsidRDefault="008B0042" w:rsidP="00177AC5">
      <w:pPr>
        <w:jc w:val="center"/>
        <w:rPr>
          <w:color w:val="FFFFFF"/>
        </w:rPr>
      </w:pPr>
    </w:p>
    <w:p w:rsidR="008B0042" w:rsidRDefault="008B0042" w:rsidP="00177AC5">
      <w:pPr>
        <w:jc w:val="center"/>
        <w:rPr>
          <w:color w:val="FFFFFF"/>
        </w:rPr>
      </w:pPr>
    </w:p>
    <w:p w:rsidR="008B0042" w:rsidRDefault="008B0042" w:rsidP="00177AC5">
      <w:pPr>
        <w:jc w:val="center"/>
        <w:rPr>
          <w:color w:val="FFFFFF"/>
        </w:rPr>
      </w:pPr>
    </w:p>
    <w:p w:rsidR="008B0042" w:rsidRDefault="008B0042" w:rsidP="00177AC5">
      <w:pPr>
        <w:jc w:val="center"/>
        <w:rPr>
          <w:color w:val="FFFFFF"/>
        </w:rPr>
      </w:pPr>
    </w:p>
    <w:p w:rsidR="008B0042" w:rsidRDefault="008B0042" w:rsidP="00177AC5">
      <w:pPr>
        <w:jc w:val="center"/>
        <w:rPr>
          <w:color w:val="FFFFFF"/>
        </w:rPr>
      </w:pPr>
    </w:p>
    <w:p w:rsidR="008B0042" w:rsidRDefault="008B0042" w:rsidP="00177AC5">
      <w:pPr>
        <w:jc w:val="center"/>
        <w:rPr>
          <w:color w:val="FFFFFF"/>
        </w:rPr>
      </w:pPr>
    </w:p>
    <w:p w:rsidR="008B0042" w:rsidRPr="00177AC5" w:rsidRDefault="008B0042" w:rsidP="00177AC5">
      <w:pPr>
        <w:jc w:val="center"/>
        <w:rPr>
          <w:color w:val="FFFFFF"/>
        </w:rPr>
      </w:pPr>
    </w:p>
    <w:p w:rsidR="00FA15D4" w:rsidRDefault="00BA7A7F" w:rsidP="00FE00F7">
      <w:pPr>
        <w:pStyle w:val="Department"/>
        <w:pageBreakBefore/>
        <w:jc w:val="left"/>
        <w:rPr>
          <w:smallCaps/>
          <w:color w:val="FFFFFF"/>
          <w:sz w:val="24"/>
          <w:szCs w:val="24"/>
        </w:rPr>
      </w:pPr>
      <w:bookmarkStart w:id="208" w:name="RG_MARKER_12079"/>
      <w:r w:rsidRPr="00FE00F7">
        <w:rPr>
          <w:smallCaps/>
          <w:color w:val="FFFFFF"/>
          <w:sz w:val="24"/>
          <w:szCs w:val="24"/>
        </w:rPr>
        <w:t>Department o</w:t>
      </w:r>
      <w:bookmarkEnd w:id="208"/>
    </w:p>
    <w:p w:rsidR="00FA15D4" w:rsidRDefault="00FA15D4" w:rsidP="002E6B3D">
      <w:pPr>
        <w:pStyle w:val="Department"/>
        <w:spacing w:before="1320"/>
        <w:rPr>
          <w:smallCaps/>
        </w:rPr>
      </w:pPr>
    </w:p>
    <w:p w:rsidR="00FA15D4" w:rsidRPr="004C6FEE" w:rsidRDefault="00FA15D4" w:rsidP="00FA15D4">
      <w:pPr>
        <w:pStyle w:val="PartHeading"/>
        <w:keepLines/>
        <w:spacing w:before="240" w:after="240"/>
        <w:rPr>
          <w:kern w:val="0"/>
          <w:szCs w:val="20"/>
        </w:rPr>
      </w:pPr>
    </w:p>
    <w:p w:rsidR="00FA15D4" w:rsidRPr="004C6FEE" w:rsidRDefault="00BA7A7F" w:rsidP="00FA15D4">
      <w:pPr>
        <w:pStyle w:val="PartHeading"/>
        <w:keepLines/>
        <w:spacing w:before="240" w:after="240"/>
        <w:rPr>
          <w:bCs w:val="0"/>
          <w:kern w:val="0"/>
          <w:szCs w:val="20"/>
        </w:rPr>
      </w:pPr>
      <w:r w:rsidRPr="004C6FEE">
        <w:rPr>
          <w:rFonts w:ascii="Arial" w:hAnsi="Arial"/>
          <w:bCs w:val="0"/>
          <w:kern w:val="0"/>
          <w:szCs w:val="20"/>
        </w:rPr>
        <w:t>Australian Institute of Marine Science</w:t>
      </w:r>
    </w:p>
    <w:p w:rsidR="00FA15D4" w:rsidRPr="004C6FEE" w:rsidRDefault="00FA15D4" w:rsidP="00FA15D4">
      <w:pPr>
        <w:pStyle w:val="PartHeading"/>
        <w:keepLines/>
        <w:spacing w:before="240" w:after="240"/>
        <w:rPr>
          <w:bCs w:val="0"/>
          <w:kern w:val="0"/>
          <w:sz w:val="48"/>
          <w:szCs w:val="48"/>
        </w:rPr>
      </w:pPr>
    </w:p>
    <w:p w:rsidR="00FA15D4" w:rsidRPr="004C6FEE" w:rsidRDefault="00FA15D4" w:rsidP="00FA15D4">
      <w:pPr>
        <w:pStyle w:val="PartHeading"/>
        <w:keepLines/>
        <w:spacing w:before="240" w:after="240"/>
        <w:rPr>
          <w:kern w:val="0"/>
          <w:sz w:val="48"/>
          <w:szCs w:val="48"/>
        </w:rPr>
      </w:pPr>
    </w:p>
    <w:p w:rsidR="00FA15D4" w:rsidRPr="004C6FEE" w:rsidRDefault="00BA7A7F" w:rsidP="00FA15D4">
      <w:pPr>
        <w:pStyle w:val="PartHeading-TOC"/>
        <w:rPr>
          <w:smallCaps w:val="0"/>
        </w:rPr>
      </w:pPr>
      <w:bookmarkStart w:id="209" w:name="_Toc508032982_0"/>
      <w:r w:rsidRPr="004C6FEE">
        <w:rPr>
          <w:bCs w:val="0"/>
          <w:smallCaps w:val="0"/>
        </w:rPr>
        <w:t>Entity resources and planned performance</w:t>
      </w:r>
      <w:bookmarkEnd w:id="209"/>
    </w:p>
    <w:p w:rsidR="00253274" w:rsidRDefault="00253274">
      <w:pPr>
        <w:keepLines w:val="0"/>
        <w:spacing w:after="160" w:line="259" w:lineRule="auto"/>
        <w:jc w:val="left"/>
        <w:rPr>
          <w:rFonts w:ascii="Calibri" w:eastAsia="Calibri" w:hAnsi="Calibri"/>
          <w:sz w:val="22"/>
          <w:szCs w:val="22"/>
          <w:lang w:val="en-US" w:eastAsia="en-US"/>
        </w:rPr>
      </w:pPr>
    </w:p>
    <w:p w:rsidR="007E6680" w:rsidRDefault="007E6680">
      <w:pPr>
        <w:keepLines w:val="0"/>
        <w:spacing w:after="160" w:line="259" w:lineRule="auto"/>
        <w:jc w:val="left"/>
        <w:rPr>
          <w:rFonts w:ascii="Calibri" w:eastAsia="Calibri" w:hAnsi="Calibri"/>
          <w:sz w:val="22"/>
          <w:szCs w:val="22"/>
          <w:lang w:val="en-US" w:eastAsia="en-US"/>
        </w:rPr>
      </w:pPr>
      <w:bookmarkStart w:id="210" w:name="RG_MARKER_12354"/>
      <w:bookmarkEnd w:id="210"/>
    </w:p>
    <w:p w:rsidR="00D86095" w:rsidRPr="00773D93" w:rsidRDefault="00BA7A7F">
      <w:pPr>
        <w:pageBreakBefore/>
        <w:rPr>
          <w:color w:val="FFFFFF"/>
        </w:rPr>
        <w:sectPr w:rsidR="00D86095" w:rsidRPr="00773D93" w:rsidSect="00D86095">
          <w:headerReference w:type="even" r:id="rId157"/>
          <w:headerReference w:type="default" r:id="rId158"/>
          <w:footerReference w:type="even" r:id="rId159"/>
          <w:footerReference w:type="default" r:id="rId160"/>
          <w:headerReference w:type="first" r:id="rId161"/>
          <w:footerReference w:type="first" r:id="rId162"/>
          <w:type w:val="continuous"/>
          <w:pgSz w:w="11906" w:h="16838"/>
          <w:pgMar w:top="2466" w:right="2098" w:bottom="2466" w:left="2098" w:header="1899" w:footer="1899" w:gutter="0"/>
          <w:pgBorders>
            <w:top w:val="nil"/>
            <w:left w:val="nil"/>
            <w:bottom w:val="nil"/>
            <w:right w:val="nil"/>
          </w:pgBorders>
          <w:cols w:space="720"/>
          <w:docGrid w:linePitch="360"/>
        </w:sectPr>
      </w:pPr>
      <w:bookmarkStart w:id="211" w:name="RG_MARKER_11792"/>
      <w:r w:rsidRPr="00773D93">
        <w:rPr>
          <w:color w:val="FFFFFF"/>
        </w:rPr>
        <w:t xml:space="preserve">      This page is intentionally blank</w:t>
      </w:r>
      <w:bookmarkEnd w:id="211"/>
    </w:p>
    <w:p w:rsidR="004D0F5B" w:rsidRPr="00243F2F" w:rsidRDefault="00BA7A7F" w:rsidP="009420CE">
      <w:pPr>
        <w:pStyle w:val="ContentsHeading"/>
        <w:pageBreakBefore/>
        <w:spacing w:after="600"/>
        <w:rPr>
          <w:smallCaps w:val="0"/>
        </w:rPr>
      </w:pPr>
      <w:bookmarkStart w:id="212" w:name="RG_MARKER_11730"/>
      <w:bookmarkStart w:id="213" w:name="RG_MARKER_12097"/>
      <w:r w:rsidRPr="00243F2F">
        <w:rPr>
          <w:smallCaps w:val="0"/>
        </w:rPr>
        <w:t>Australian Institute of Marine Science</w:t>
      </w:r>
      <w:bookmarkEnd w:id="212"/>
      <w:bookmarkEnd w:id="213"/>
    </w:p>
    <w:p w:rsidR="004D0F5B" w:rsidRPr="00846FBC" w:rsidRDefault="00BA7A7F" w:rsidP="00846FBC">
      <w:pPr>
        <w:pStyle w:val="TOC1"/>
      </w:pPr>
      <w:r w:rsidRPr="00846FBC">
        <w:t>Section 1: Entity overview and resources</w:t>
      </w:r>
      <w:r w:rsidRPr="00846FBC">
        <w:tab/>
        <w:t>87</w:t>
      </w:r>
    </w:p>
    <w:p w:rsidR="004D0F5B" w:rsidRDefault="00BA7A7F" w:rsidP="004D0F5B">
      <w:pPr>
        <w:pStyle w:val="TOC2"/>
      </w:pPr>
      <w:r>
        <w:t>1.1 Strategic direction statement</w:t>
      </w:r>
      <w:r>
        <w:tab/>
      </w:r>
      <w:r w:rsidRPr="00B75654">
        <w:t>87</w:t>
      </w:r>
    </w:p>
    <w:p w:rsidR="004D0F5B" w:rsidRDefault="00BA7A7F" w:rsidP="004D0F5B">
      <w:pPr>
        <w:pStyle w:val="TOC2"/>
      </w:pPr>
      <w:r>
        <w:t>1.2 Entity resource statement</w:t>
      </w:r>
      <w:r>
        <w:tab/>
      </w:r>
      <w:r w:rsidRPr="00B75654">
        <w:t>89</w:t>
      </w:r>
    </w:p>
    <w:p w:rsidR="00371743" w:rsidRDefault="00BA7A7F" w:rsidP="00371743">
      <w:pPr>
        <w:pStyle w:val="TOC2"/>
      </w:pPr>
      <w:r>
        <w:t>1.3 Budget measures</w:t>
      </w:r>
      <w:r>
        <w:tab/>
      </w:r>
      <w:r w:rsidRPr="00371743">
        <w:t>90</w:t>
      </w:r>
    </w:p>
    <w:p w:rsidR="004D0F5B" w:rsidRDefault="00BA7A7F" w:rsidP="00846FBC">
      <w:pPr>
        <w:pStyle w:val="TOC1"/>
      </w:pPr>
      <w:r>
        <w:t>S</w:t>
      </w:r>
      <w:r w:rsidRPr="002645FE">
        <w:t xml:space="preserve">ection 2: </w:t>
      </w:r>
      <w:r>
        <w:t>O</w:t>
      </w:r>
      <w:r w:rsidRPr="002645FE">
        <w:t xml:space="preserve">utcomes and </w:t>
      </w:r>
      <w:r>
        <w:t>p</w:t>
      </w:r>
      <w:r w:rsidRPr="002645FE">
        <w:t xml:space="preserve">lanned </w:t>
      </w:r>
      <w:r>
        <w:t>p</w:t>
      </w:r>
      <w:r w:rsidRPr="002645FE">
        <w:t>erformance</w:t>
      </w:r>
      <w:r>
        <w:tab/>
        <w:t>91</w:t>
      </w:r>
    </w:p>
    <w:p w:rsidR="004D0F5B" w:rsidRDefault="00BA7A7F" w:rsidP="004D0F5B">
      <w:pPr>
        <w:pStyle w:val="TOC2"/>
      </w:pPr>
      <w:r>
        <w:t>2.1 Budgeted expenses and performance for Outcome 1</w:t>
      </w:r>
      <w:r>
        <w:tab/>
        <w:t>92</w:t>
      </w:r>
    </w:p>
    <w:p w:rsidR="004D0F5B" w:rsidRDefault="00BA7A7F" w:rsidP="00846FBC">
      <w:pPr>
        <w:pStyle w:val="TOC1"/>
      </w:pPr>
      <w:r>
        <w:t>S</w:t>
      </w:r>
      <w:r w:rsidRPr="002645FE">
        <w:t xml:space="preserve">ection 3: </w:t>
      </w:r>
      <w:r>
        <w:t>B</w:t>
      </w:r>
      <w:r w:rsidRPr="002645FE">
        <w:t xml:space="preserve">udgeted </w:t>
      </w:r>
      <w:r>
        <w:t>f</w:t>
      </w:r>
      <w:r w:rsidRPr="002645FE">
        <w:t xml:space="preserve">inancial </w:t>
      </w:r>
      <w:r>
        <w:t>s</w:t>
      </w:r>
      <w:r w:rsidRPr="002645FE">
        <w:t>tatements</w:t>
      </w:r>
      <w:r>
        <w:tab/>
      </w:r>
      <w:r w:rsidRPr="004F6A3E">
        <w:t>97</w:t>
      </w:r>
    </w:p>
    <w:p w:rsidR="009E0FF9" w:rsidRPr="009E0FF9" w:rsidRDefault="00BA7A7F" w:rsidP="00321652">
      <w:pPr>
        <w:pStyle w:val="TOC2"/>
      </w:pPr>
      <w:r>
        <w:t>3.1 Budgeted financial statements</w:t>
      </w:r>
      <w:r>
        <w:tab/>
      </w:r>
      <w:r w:rsidRPr="004F6A3E">
        <w:t>97</w:t>
      </w:r>
    </w:p>
    <w:p w:rsidR="00D86095" w:rsidRPr="00F04196" w:rsidRDefault="00BA7A7F">
      <w:pPr>
        <w:pageBreakBefore/>
        <w:rPr>
          <w:color w:val="FFFFFF"/>
        </w:rPr>
        <w:sectPr w:rsidR="00D86095" w:rsidRPr="00F04196" w:rsidSect="00D86095">
          <w:headerReference w:type="even" r:id="rId163"/>
          <w:headerReference w:type="default" r:id="rId164"/>
          <w:footerReference w:type="even" r:id="rId165"/>
          <w:footerReference w:type="default" r:id="rId166"/>
          <w:headerReference w:type="first" r:id="rId167"/>
          <w:footerReference w:type="first" r:id="rId168"/>
          <w:type w:val="continuous"/>
          <w:pgSz w:w="11906" w:h="16838"/>
          <w:pgMar w:top="2466" w:right="2098" w:bottom="2466" w:left="2098" w:header="1899" w:footer="1899" w:gutter="0"/>
          <w:pgBorders>
            <w:top w:val="nil"/>
            <w:left w:val="nil"/>
            <w:bottom w:val="nil"/>
            <w:right w:val="nil"/>
          </w:pgBorders>
          <w:cols w:space="720"/>
          <w:docGrid w:linePitch="360"/>
        </w:sectPr>
      </w:pPr>
      <w:bookmarkStart w:id="214" w:name="RG_MARKER_11716"/>
      <w:bookmarkStart w:id="215" w:name="RG_MARKER_11801"/>
      <w:r w:rsidRPr="00F04196">
        <w:rPr>
          <w:color w:val="FFFFFF"/>
        </w:rPr>
        <w:t xml:space="preserve">     This page is intentionally blank</w:t>
      </w:r>
      <w:bookmarkEnd w:id="214"/>
      <w:bookmarkEnd w:id="215"/>
    </w:p>
    <w:p w:rsidR="00A85152" w:rsidRPr="005F0963" w:rsidRDefault="00BA7A7F" w:rsidP="005C74D3">
      <w:pPr>
        <w:pStyle w:val="Heading1"/>
        <w:pageBreakBefore/>
        <w:spacing w:after="360"/>
        <w:rPr>
          <w:smallCaps w:val="0"/>
        </w:rPr>
      </w:pPr>
      <w:bookmarkStart w:id="216" w:name="RG_MARKER_11713"/>
      <w:bookmarkStart w:id="217" w:name="RG_MARKER_11712"/>
      <w:bookmarkStart w:id="218" w:name="RG_MARKER_12183"/>
      <w:r w:rsidRPr="005F0963">
        <w:rPr>
          <w:smallCaps w:val="0"/>
        </w:rPr>
        <w:t>Australian Institute of Marine Science</w:t>
      </w:r>
      <w:bookmarkEnd w:id="216"/>
      <w:bookmarkEnd w:id="217"/>
      <w:bookmarkEnd w:id="218"/>
    </w:p>
    <w:p w:rsidR="00A85152" w:rsidRPr="005F0963" w:rsidRDefault="00BA7A7F" w:rsidP="005F0963">
      <w:pPr>
        <w:pStyle w:val="Heading2"/>
        <w:spacing w:after="120"/>
        <w:rPr>
          <w:b/>
          <w:sz w:val="26"/>
          <w:szCs w:val="26"/>
        </w:rPr>
      </w:pPr>
      <w:r w:rsidRPr="005F0963">
        <w:rPr>
          <w:b/>
          <w:sz w:val="26"/>
          <w:szCs w:val="26"/>
        </w:rPr>
        <w:t>Section 1</w:t>
      </w:r>
      <w:bookmarkStart w:id="219" w:name="_Toc449255758_0"/>
      <w:bookmarkStart w:id="220" w:name="_Toc446237031_0"/>
      <w:r w:rsidRPr="005F0963">
        <w:rPr>
          <w:b/>
          <w:sz w:val="26"/>
          <w:szCs w:val="26"/>
        </w:rPr>
        <w:t>: Entity overview and resources</w:t>
      </w:r>
      <w:bookmarkEnd w:id="219"/>
      <w:bookmarkEnd w:id="220"/>
    </w:p>
    <w:p w:rsidR="00A85152" w:rsidRPr="005F0963" w:rsidRDefault="00BA7A7F" w:rsidP="005C74D3">
      <w:pPr>
        <w:pStyle w:val="Heading3"/>
        <w:rPr>
          <w:smallCaps w:val="0"/>
          <w:sz w:val="22"/>
          <w:szCs w:val="22"/>
        </w:rPr>
      </w:pPr>
      <w:bookmarkStart w:id="221" w:name="_Toc210698428_0"/>
      <w:bookmarkStart w:id="222" w:name="_Toc210646449_0"/>
      <w:bookmarkStart w:id="223" w:name="_Toc210703209_0"/>
      <w:r w:rsidRPr="005F0963">
        <w:rPr>
          <w:smallCaps w:val="0"/>
          <w:sz w:val="22"/>
          <w:szCs w:val="22"/>
        </w:rPr>
        <w:t>1.1</w:t>
      </w:r>
      <w:r w:rsidRPr="005F0963">
        <w:rPr>
          <w:smallCaps w:val="0"/>
          <w:sz w:val="22"/>
          <w:szCs w:val="22"/>
        </w:rPr>
        <w:tab/>
        <w:t>Strategic direction</w:t>
      </w:r>
      <w:bookmarkEnd w:id="221"/>
      <w:bookmarkEnd w:id="222"/>
      <w:bookmarkEnd w:id="223"/>
      <w:r w:rsidRPr="005F0963">
        <w:rPr>
          <w:smallCaps w:val="0"/>
          <w:sz w:val="22"/>
          <w:szCs w:val="22"/>
        </w:rPr>
        <w:t xml:space="preserve"> statement</w:t>
      </w:r>
    </w:p>
    <w:p w:rsidR="00AC3905" w:rsidRDefault="00BA7A7F" w:rsidP="00AC3905">
      <w:pPr>
        <w:textAlignment w:val="baseline"/>
        <w:rPr>
          <w:rFonts w:eastAsia="Book Antiqua"/>
          <w:lang w:val="en-US"/>
        </w:rPr>
      </w:pPr>
      <w:r w:rsidRPr="00AC3905">
        <w:rPr>
          <w:rFonts w:eastAsia="Book Antiqua"/>
          <w:lang w:val="en-US"/>
        </w:rPr>
        <w:t xml:space="preserve">The Australian Institute of Marine Science (AIMS) is a corporate Commonwealth </w:t>
      </w:r>
      <w:r>
        <w:rPr>
          <w:rFonts w:eastAsia="Book Antiqua"/>
          <w:lang w:val="en-US"/>
        </w:rPr>
        <w:t>e</w:t>
      </w:r>
      <w:r w:rsidRPr="00AC3905">
        <w:rPr>
          <w:rFonts w:eastAsia="Book Antiqua"/>
          <w:lang w:val="en-US"/>
        </w:rPr>
        <w:t xml:space="preserve">ntity established by the </w:t>
      </w:r>
      <w:r w:rsidRPr="00AC3905">
        <w:rPr>
          <w:rFonts w:eastAsia="Book Antiqua"/>
          <w:i/>
          <w:lang w:val="en-US"/>
        </w:rPr>
        <w:t xml:space="preserve">Australian Institute of Marine Science Act 1972 </w:t>
      </w:r>
      <w:r w:rsidRPr="00AC3905">
        <w:rPr>
          <w:rFonts w:eastAsia="Book Antiqua"/>
          <w:lang w:val="en-US"/>
        </w:rPr>
        <w:t>(AIMS Act).</w:t>
      </w:r>
    </w:p>
    <w:p w:rsidR="004C6889" w:rsidRDefault="00BA7A7F" w:rsidP="004C6889">
      <w:pPr>
        <w:textAlignment w:val="baseline"/>
        <w:rPr>
          <w:rFonts w:eastAsia="Book Antiqua"/>
          <w:color w:val="000000"/>
          <w:bdr w:val="none" w:sz="0" w:space="0" w:color="auto" w:frame="1"/>
        </w:rPr>
      </w:pPr>
      <w:r>
        <w:rPr>
          <w:rFonts w:eastAsia="Book Antiqua"/>
          <w:color w:val="000000"/>
          <w:bdr w:val="none" w:sz="0" w:space="0" w:color="auto" w:frame="1"/>
          <w:lang w:val="en-US"/>
        </w:rPr>
        <w:t>The mission of AIMS is to provide the research and knowledge of Australia’s tropical marine estate required to support growth in its sustainable use, effective environmental management and protection of its unique ecosystems.</w:t>
      </w:r>
    </w:p>
    <w:p w:rsidR="00AC3905" w:rsidRDefault="00BA7A7F" w:rsidP="00AC3905">
      <w:pPr>
        <w:textAlignment w:val="baseline"/>
        <w:rPr>
          <w:rFonts w:eastAsia="Book Antiqua"/>
          <w:color w:val="000000"/>
          <w:spacing w:val="-3"/>
          <w:bdr w:val="none" w:sz="0" w:space="0" w:color="auto" w:frame="1"/>
        </w:rPr>
      </w:pPr>
      <w:r>
        <w:rPr>
          <w:rFonts w:eastAsia="Book Antiqua"/>
          <w:color w:val="000000"/>
          <w:spacing w:val="-3"/>
          <w:bdr w:val="none" w:sz="0" w:space="0" w:color="auto" w:frame="1"/>
          <w:lang w:val="en-US"/>
        </w:rPr>
        <w:t>In pursuing its mission, AIMS deploys its core research capabilities and infrastructure, and establishes strategic collaborative partnerships with government, industry, research and traditional owner stakeholders to deliver 3 key long-term impacts for the nation:</w:t>
      </w:r>
    </w:p>
    <w:p w:rsidR="00AC3905" w:rsidRDefault="00BA7A7F" w:rsidP="009A36AE">
      <w:pPr>
        <w:keepLines w:val="0"/>
        <w:numPr>
          <w:ilvl w:val="0"/>
          <w:numId w:val="35"/>
        </w:numPr>
        <w:spacing w:after="0"/>
        <w:ind w:left="284" w:hanging="284"/>
        <w:textAlignment w:val="baseline"/>
        <w:rPr>
          <w:rFonts w:eastAsia="Book Antiqua"/>
          <w:color w:val="000000"/>
          <w:bdr w:val="none" w:sz="0" w:space="0" w:color="auto" w:frame="1"/>
          <w:lang w:val="en-US"/>
        </w:rPr>
      </w:pPr>
      <w:r>
        <w:rPr>
          <w:rFonts w:eastAsia="Book Antiqua"/>
          <w:color w:val="000000"/>
          <w:bdr w:val="none" w:sz="0" w:space="0" w:color="auto" w:frame="1"/>
          <w:lang w:val="en-US"/>
        </w:rPr>
        <w:t>Improved health and resilience of marine and coastal ecosystems across northern Australia.</w:t>
      </w:r>
    </w:p>
    <w:p w:rsidR="00AC3905" w:rsidRDefault="00BA7A7F" w:rsidP="009A36AE">
      <w:pPr>
        <w:keepLines w:val="0"/>
        <w:numPr>
          <w:ilvl w:val="0"/>
          <w:numId w:val="35"/>
        </w:numPr>
        <w:spacing w:after="0"/>
        <w:ind w:left="284" w:hanging="284"/>
        <w:textAlignment w:val="baseline"/>
        <w:rPr>
          <w:rFonts w:eastAsia="Book Antiqua"/>
          <w:color w:val="000000"/>
          <w:bdr w:val="none" w:sz="0" w:space="0" w:color="auto" w:frame="1"/>
          <w:lang w:val="en-US"/>
        </w:rPr>
      </w:pPr>
      <w:r>
        <w:rPr>
          <w:rFonts w:eastAsia="Book Antiqua"/>
          <w:color w:val="000000"/>
          <w:bdr w:val="none" w:sz="0" w:space="0" w:color="auto" w:frame="1"/>
          <w:lang w:val="en-US"/>
        </w:rPr>
        <w:t>Economic, social and environmental net benefits for marine industries and coastal communities.</w:t>
      </w:r>
    </w:p>
    <w:p w:rsidR="00AC3905" w:rsidRDefault="00BA7A7F" w:rsidP="00AC3905">
      <w:pPr>
        <w:keepLines w:val="0"/>
        <w:numPr>
          <w:ilvl w:val="0"/>
          <w:numId w:val="35"/>
        </w:numPr>
        <w:ind w:left="284" w:hanging="284"/>
        <w:textAlignment w:val="baseline"/>
        <w:rPr>
          <w:rFonts w:eastAsia="Book Antiqua"/>
          <w:color w:val="000000"/>
          <w:bdr w:val="none" w:sz="0" w:space="0" w:color="auto" w:frame="1"/>
        </w:rPr>
      </w:pPr>
      <w:r>
        <w:rPr>
          <w:rFonts w:eastAsia="Book Antiqua"/>
          <w:color w:val="000000"/>
          <w:bdr w:val="none" w:sz="0" w:space="0" w:color="auto" w:frame="1"/>
          <w:lang w:val="en-US"/>
        </w:rPr>
        <w:t>Protection of coral reefs and other tropical marine environments from the effects of climate change.</w:t>
      </w:r>
    </w:p>
    <w:p w:rsidR="00AC3905" w:rsidRDefault="00BA7A7F" w:rsidP="00AC3905">
      <w:pPr>
        <w:textAlignment w:val="baseline"/>
        <w:rPr>
          <w:rFonts w:eastAsia="Book Antiqua"/>
          <w:color w:val="000000"/>
          <w:bdr w:val="none" w:sz="0" w:space="0" w:color="auto" w:frame="1"/>
        </w:rPr>
      </w:pPr>
      <w:r>
        <w:rPr>
          <w:rFonts w:eastAsia="Book Antiqua"/>
          <w:color w:val="000000"/>
          <w:bdr w:val="none" w:sz="0" w:space="0" w:color="auto" w:frame="1"/>
          <w:lang w:val="en-US"/>
        </w:rPr>
        <w:t>In 2022-23, AIMS will focus on delivering 9 research outcomes:</w:t>
      </w:r>
    </w:p>
    <w:p w:rsidR="00AC3905" w:rsidRDefault="00BA7A7F" w:rsidP="009A36AE">
      <w:pPr>
        <w:keepLines w:val="0"/>
        <w:numPr>
          <w:ilvl w:val="0"/>
          <w:numId w:val="35"/>
        </w:numPr>
        <w:spacing w:after="0"/>
        <w:ind w:left="284" w:hanging="284"/>
        <w:textAlignment w:val="baseline"/>
        <w:rPr>
          <w:rFonts w:eastAsia="Book Antiqua"/>
          <w:color w:val="000000"/>
          <w:bdr w:val="none" w:sz="0" w:space="0" w:color="auto" w:frame="1"/>
          <w:lang w:val="en-US"/>
        </w:rPr>
      </w:pPr>
      <w:r>
        <w:rPr>
          <w:rFonts w:eastAsia="Book Antiqua"/>
          <w:color w:val="000000"/>
          <w:bdr w:val="none" w:sz="0" w:space="0" w:color="auto" w:frame="1"/>
          <w:lang w:val="en-US"/>
        </w:rPr>
        <w:t>Baseline, status and trend data that are the trusted information base for stakeholder decisions.</w:t>
      </w:r>
    </w:p>
    <w:p w:rsidR="00AC3905" w:rsidRDefault="00BA7A7F" w:rsidP="009A36AE">
      <w:pPr>
        <w:keepLines w:val="0"/>
        <w:numPr>
          <w:ilvl w:val="0"/>
          <w:numId w:val="35"/>
        </w:numPr>
        <w:spacing w:after="0"/>
        <w:ind w:left="284" w:hanging="284"/>
        <w:textAlignment w:val="baseline"/>
        <w:rPr>
          <w:rFonts w:eastAsia="Book Antiqua"/>
          <w:color w:val="000000"/>
          <w:bdr w:val="none" w:sz="0" w:space="0" w:color="auto" w:frame="1"/>
          <w:lang w:val="en-US"/>
        </w:rPr>
      </w:pPr>
      <w:r>
        <w:rPr>
          <w:rFonts w:eastAsia="Book Antiqua"/>
          <w:color w:val="000000"/>
          <w:bdr w:val="none" w:sz="0" w:space="0" w:color="auto" w:frame="1"/>
          <w:lang w:val="en-US"/>
        </w:rPr>
        <w:t>More information for stakeholders produced through autonomous and automated technologies and processes.</w:t>
      </w:r>
    </w:p>
    <w:p w:rsidR="00AC3905" w:rsidRDefault="00BA7A7F" w:rsidP="009A36AE">
      <w:pPr>
        <w:keepLines w:val="0"/>
        <w:numPr>
          <w:ilvl w:val="0"/>
          <w:numId w:val="35"/>
        </w:numPr>
        <w:spacing w:after="0"/>
        <w:ind w:left="284" w:hanging="284"/>
        <w:textAlignment w:val="baseline"/>
        <w:rPr>
          <w:rFonts w:eastAsia="Book Antiqua"/>
          <w:color w:val="000000"/>
          <w:bdr w:val="none" w:sz="0" w:space="0" w:color="auto" w:frame="1"/>
          <w:lang w:val="en-US"/>
        </w:rPr>
      </w:pPr>
      <w:r>
        <w:rPr>
          <w:rFonts w:eastAsia="Book Antiqua"/>
          <w:color w:val="000000"/>
          <w:bdr w:val="none" w:sz="0" w:space="0" w:color="auto" w:frame="1"/>
          <w:lang w:val="en-US"/>
        </w:rPr>
        <w:t>Science that underpins conservation and management of threatened and endangered marine species.</w:t>
      </w:r>
    </w:p>
    <w:p w:rsidR="00AC3905" w:rsidRDefault="00BA7A7F" w:rsidP="009A36AE">
      <w:pPr>
        <w:keepLines w:val="0"/>
        <w:numPr>
          <w:ilvl w:val="0"/>
          <w:numId w:val="35"/>
        </w:numPr>
        <w:spacing w:after="0"/>
        <w:ind w:left="284" w:hanging="284"/>
        <w:textAlignment w:val="baseline"/>
        <w:rPr>
          <w:rFonts w:eastAsia="Book Antiqua"/>
          <w:color w:val="000000"/>
          <w:bdr w:val="none" w:sz="0" w:space="0" w:color="auto" w:frame="1"/>
          <w:lang w:val="en-US"/>
        </w:rPr>
      </w:pPr>
      <w:r>
        <w:rPr>
          <w:rFonts w:eastAsia="Book Antiqua"/>
          <w:color w:val="000000"/>
          <w:bdr w:val="none" w:sz="0" w:space="0" w:color="auto" w:frame="1"/>
          <w:lang w:val="en-US"/>
        </w:rPr>
        <w:t>Models of environmental condition and function that are used to manage tropical marine ecosystems.</w:t>
      </w:r>
    </w:p>
    <w:p w:rsidR="00AC3905" w:rsidRDefault="00BA7A7F" w:rsidP="009A36AE">
      <w:pPr>
        <w:keepLines w:val="0"/>
        <w:numPr>
          <w:ilvl w:val="0"/>
          <w:numId w:val="35"/>
        </w:numPr>
        <w:spacing w:after="0"/>
        <w:ind w:left="284" w:hanging="284"/>
        <w:textAlignment w:val="baseline"/>
        <w:rPr>
          <w:rFonts w:eastAsia="Book Antiqua"/>
          <w:color w:val="000000"/>
          <w:bdr w:val="none" w:sz="0" w:space="0" w:color="auto" w:frame="1"/>
          <w:lang w:val="en-US"/>
        </w:rPr>
      </w:pPr>
      <w:r>
        <w:rPr>
          <w:rFonts w:eastAsia="Book Antiqua"/>
          <w:color w:val="000000"/>
          <w:bdr w:val="none" w:sz="0" w:space="0" w:color="auto" w:frame="1"/>
          <w:lang w:val="en-US"/>
        </w:rPr>
        <w:t>Improved health for tropical marine ecosystems via AIMS’ solutions that mitigate local, regional and cumulative pressures.</w:t>
      </w:r>
    </w:p>
    <w:p w:rsidR="0087616C" w:rsidRDefault="00BA7A7F" w:rsidP="0087616C">
      <w:pPr>
        <w:keepLines w:val="0"/>
        <w:numPr>
          <w:ilvl w:val="0"/>
          <w:numId w:val="36"/>
        </w:numPr>
        <w:tabs>
          <w:tab w:val="clear" w:pos="216"/>
          <w:tab w:val="left" w:pos="288"/>
        </w:tabs>
        <w:spacing w:after="0"/>
        <w:ind w:left="284" w:hanging="284"/>
        <w:textAlignment w:val="baseline"/>
        <w:rPr>
          <w:rFonts w:eastAsia="Book Antiqua"/>
          <w:color w:val="000000"/>
          <w:bdr w:val="none" w:sz="0" w:space="0" w:color="auto" w:frame="1"/>
        </w:rPr>
      </w:pPr>
      <w:r>
        <w:rPr>
          <w:rFonts w:eastAsia="Book Antiqua"/>
          <w:color w:val="000000"/>
          <w:bdr w:val="none" w:sz="0" w:space="0" w:color="auto" w:frame="1"/>
        </w:rPr>
        <w:t>C</w:t>
      </w:r>
      <w:r w:rsidRPr="0045772A">
        <w:rPr>
          <w:rFonts w:eastAsia="Book Antiqua"/>
          <w:color w:val="000000"/>
          <w:bdr w:val="none" w:sz="0" w:space="0" w:color="auto" w:frame="1"/>
        </w:rPr>
        <w:t xml:space="preserve">oral reef condition forecasts based on knowledge of recovery, acclimatisation and adaptation. </w:t>
      </w:r>
    </w:p>
    <w:p w:rsidR="0087616C" w:rsidRDefault="00BA7A7F" w:rsidP="0087616C">
      <w:pPr>
        <w:keepLines w:val="0"/>
        <w:numPr>
          <w:ilvl w:val="0"/>
          <w:numId w:val="36"/>
        </w:numPr>
        <w:tabs>
          <w:tab w:val="clear" w:pos="216"/>
          <w:tab w:val="left" w:pos="288"/>
        </w:tabs>
        <w:spacing w:after="0"/>
        <w:ind w:left="284" w:hanging="284"/>
        <w:textAlignment w:val="baseline"/>
        <w:rPr>
          <w:rFonts w:eastAsia="Book Antiqua"/>
          <w:color w:val="000000"/>
          <w:bdr w:val="none" w:sz="0" w:space="0" w:color="auto" w:frame="1"/>
        </w:rPr>
      </w:pPr>
      <w:r>
        <w:rPr>
          <w:rFonts w:eastAsia="Book Antiqua"/>
          <w:color w:val="000000"/>
          <w:bdr w:val="none" w:sz="0" w:space="0" w:color="auto" w:frame="1"/>
        </w:rPr>
        <w:t>Restoration science and scalable technologies that help coral reefs resist, adapt to, and recover from climate change impacts.</w:t>
      </w:r>
    </w:p>
    <w:p w:rsidR="00C0655C" w:rsidRDefault="00BA7A7F" w:rsidP="00C0655C">
      <w:pPr>
        <w:keepLines w:val="0"/>
        <w:numPr>
          <w:ilvl w:val="0"/>
          <w:numId w:val="37"/>
        </w:numPr>
        <w:tabs>
          <w:tab w:val="clear" w:pos="216"/>
          <w:tab w:val="left" w:pos="288"/>
        </w:tabs>
        <w:spacing w:after="0"/>
        <w:ind w:left="284" w:hanging="284"/>
        <w:textAlignment w:val="baseline"/>
        <w:rPr>
          <w:rFonts w:eastAsia="Book Antiqua"/>
          <w:color w:val="000000"/>
          <w:sz w:val="2"/>
          <w:szCs w:val="2"/>
          <w:bdr w:val="none" w:sz="0" w:space="0" w:color="auto" w:frame="1"/>
        </w:rPr>
      </w:pPr>
      <w:r w:rsidRPr="0087616C">
        <w:rPr>
          <w:rFonts w:eastAsia="Book Antiqua"/>
          <w:color w:val="000000"/>
          <w:bdr w:val="none" w:sz="0" w:space="0" w:color="auto" w:frame="1"/>
        </w:rPr>
        <w:t>Advanced data analysis workflows and knowledge delivery systems that improve stakeholder use of AIMS information</w:t>
      </w:r>
      <w:r>
        <w:rPr>
          <w:rFonts w:eastAsia="Book Antiqua"/>
          <w:color w:val="000000"/>
          <w:bdr w:val="none" w:sz="0" w:space="0" w:color="auto" w:frame="1"/>
        </w:rPr>
        <w:t>.</w:t>
      </w:r>
    </w:p>
    <w:p w:rsidR="00C0655C" w:rsidRPr="00BC7F9F" w:rsidRDefault="00BA7A7F" w:rsidP="00C0655C">
      <w:pPr>
        <w:keepLines w:val="0"/>
        <w:numPr>
          <w:ilvl w:val="0"/>
          <w:numId w:val="37"/>
        </w:numPr>
        <w:tabs>
          <w:tab w:val="clear" w:pos="216"/>
          <w:tab w:val="left" w:pos="288"/>
        </w:tabs>
        <w:spacing w:after="0"/>
        <w:ind w:left="284" w:hanging="284"/>
        <w:textAlignment w:val="baseline"/>
        <w:rPr>
          <w:rFonts w:eastAsia="Book Antiqua"/>
          <w:color w:val="000000"/>
          <w:sz w:val="2"/>
          <w:szCs w:val="2"/>
          <w:bdr w:val="none" w:sz="0" w:space="0" w:color="auto" w:frame="1"/>
        </w:rPr>
      </w:pPr>
      <w:r w:rsidRPr="00BC7F9F">
        <w:rPr>
          <w:rFonts w:eastAsia="Book Antiqua"/>
          <w:color w:val="000000"/>
          <w:bdr w:val="none" w:sz="0" w:space="0" w:color="auto" w:frame="1"/>
        </w:rPr>
        <w:t>Decision support tools that are used by stakeholders for management decisions and policies.</w:t>
      </w:r>
    </w:p>
    <w:p w:rsidR="0045772A" w:rsidRPr="0045772A" w:rsidRDefault="0045772A" w:rsidP="007358A2">
      <w:pPr>
        <w:keepLines w:val="0"/>
        <w:tabs>
          <w:tab w:val="left" w:pos="216"/>
          <w:tab w:val="left" w:pos="288"/>
        </w:tabs>
        <w:spacing w:after="0"/>
        <w:textAlignment w:val="baseline"/>
        <w:rPr>
          <w:rFonts w:eastAsia="Book Antiqua"/>
          <w:vanish/>
          <w:color w:val="000000"/>
          <w:sz w:val="2"/>
          <w:szCs w:val="2"/>
          <w:bdr w:val="none" w:sz="0" w:space="0" w:color="auto" w:frame="1"/>
        </w:rPr>
        <w:sectPr w:rsidR="0045772A" w:rsidRPr="0045772A" w:rsidSect="00711A2B">
          <w:headerReference w:type="even" r:id="rId169"/>
          <w:headerReference w:type="default" r:id="rId170"/>
          <w:footerReference w:type="even" r:id="rId171"/>
          <w:footerReference w:type="default" r:id="rId172"/>
          <w:headerReference w:type="first" r:id="rId173"/>
          <w:footerReference w:type="first" r:id="rId174"/>
          <w:type w:val="continuous"/>
          <w:pgSz w:w="11906" w:h="16838"/>
          <w:pgMar w:top="2466" w:right="2098" w:bottom="2466" w:left="2098" w:header="1899" w:footer="1899" w:gutter="0"/>
          <w:pgBorders>
            <w:top w:val="nil"/>
            <w:left w:val="nil"/>
            <w:bottom w:val="nil"/>
            <w:right w:val="nil"/>
          </w:pgBorders>
          <w:cols w:space="720"/>
          <w:docGrid w:linePitch="360"/>
        </w:sectPr>
      </w:pPr>
    </w:p>
    <w:p w:rsidR="00A660C4" w:rsidRPr="00A660C4" w:rsidRDefault="00BA7A7F" w:rsidP="00A660C4">
      <w:pPr>
        <w:pageBreakBefore/>
        <w:textAlignment w:val="baseline"/>
        <w:rPr>
          <w:rFonts w:eastAsia="Book Antiqua"/>
          <w:color w:val="000000"/>
          <w:spacing w:val="-3"/>
          <w:bdr w:val="none" w:sz="0" w:space="0" w:color="auto" w:frame="1"/>
        </w:rPr>
      </w:pPr>
      <w:bookmarkStart w:id="224" w:name="RG_MARKER_11788"/>
      <w:r w:rsidRPr="00A660C4">
        <w:rPr>
          <w:rFonts w:eastAsia="Book Antiqua"/>
          <w:color w:val="000000"/>
          <w:spacing w:val="-3"/>
          <w:bdr w:val="none" w:sz="0" w:space="0" w:color="auto" w:frame="1"/>
          <w:lang w:val="en-US"/>
        </w:rPr>
        <w:t>In addition, AIMS will:</w:t>
      </w:r>
      <w:bookmarkEnd w:id="224"/>
    </w:p>
    <w:p w:rsidR="00A660C4" w:rsidRPr="00A660C4" w:rsidRDefault="00BA7A7F" w:rsidP="004D0477">
      <w:pPr>
        <w:numPr>
          <w:ilvl w:val="0"/>
          <w:numId w:val="38"/>
        </w:numPr>
        <w:ind w:left="284" w:hanging="284"/>
        <w:textAlignment w:val="baseline"/>
        <w:rPr>
          <w:rFonts w:eastAsia="Book Antiqua"/>
          <w:color w:val="000000"/>
          <w:spacing w:val="-3"/>
          <w:bdr w:val="none" w:sz="0" w:space="0" w:color="auto" w:frame="1"/>
          <w:lang w:val="en-US"/>
        </w:rPr>
      </w:pPr>
      <w:r w:rsidRPr="00A660C4">
        <w:rPr>
          <w:rFonts w:eastAsia="Book Antiqua"/>
          <w:color w:val="000000"/>
          <w:spacing w:val="-3"/>
          <w:bdr w:val="none" w:sz="0" w:space="0" w:color="auto" w:frame="1"/>
          <w:lang w:val="en-US"/>
        </w:rPr>
        <w:t>Implement the following projects:</w:t>
      </w:r>
    </w:p>
    <w:p w:rsidR="00A660C4" w:rsidRPr="00A660C4" w:rsidRDefault="00BA7A7F" w:rsidP="0059788A">
      <w:pPr>
        <w:numPr>
          <w:ilvl w:val="1"/>
          <w:numId w:val="38"/>
        </w:numPr>
        <w:spacing w:after="0"/>
        <w:ind w:left="1418" w:hanging="284"/>
        <w:textAlignment w:val="baseline"/>
        <w:rPr>
          <w:rFonts w:eastAsia="Book Antiqua"/>
          <w:color w:val="000000"/>
          <w:spacing w:val="-3"/>
          <w:bdr w:val="none" w:sz="0" w:space="0" w:color="auto" w:frame="1"/>
          <w:lang w:val="en-US"/>
        </w:rPr>
      </w:pPr>
      <w:r w:rsidRPr="00A660C4">
        <w:rPr>
          <w:rFonts w:eastAsia="Book Antiqua"/>
          <w:color w:val="000000"/>
          <w:spacing w:val="-3"/>
          <w:bdr w:val="none" w:sz="0" w:space="0" w:color="auto" w:frame="1"/>
          <w:lang w:val="en-US"/>
        </w:rPr>
        <w:t>$26.5 million to remediate the AIMS Cape Cleveland wharf in Far North Queensland, and ongoing resourcing of $1.5 million per annum to maintain the wharf</w:t>
      </w:r>
      <w:r w:rsidR="000F7FA3">
        <w:rPr>
          <w:rFonts w:eastAsia="Book Antiqua"/>
          <w:color w:val="000000"/>
          <w:spacing w:val="-3"/>
          <w:bdr w:val="none" w:sz="0" w:space="0" w:color="auto" w:frame="1"/>
          <w:lang w:val="en-US"/>
        </w:rPr>
        <w:t>.</w:t>
      </w:r>
    </w:p>
    <w:p w:rsidR="00A660C4" w:rsidRPr="00A660C4" w:rsidRDefault="00BA7A7F" w:rsidP="007A2256">
      <w:pPr>
        <w:numPr>
          <w:ilvl w:val="1"/>
          <w:numId w:val="38"/>
        </w:numPr>
        <w:spacing w:after="0"/>
        <w:ind w:left="1418" w:hanging="284"/>
        <w:textAlignment w:val="baseline"/>
        <w:rPr>
          <w:rFonts w:eastAsia="Book Antiqua"/>
          <w:color w:val="000000"/>
          <w:spacing w:val="-3"/>
          <w:bdr w:val="none" w:sz="0" w:space="0" w:color="auto" w:frame="1"/>
          <w:lang w:val="en-US"/>
        </w:rPr>
      </w:pPr>
      <w:r w:rsidRPr="00A660C4">
        <w:rPr>
          <w:rFonts w:eastAsia="Book Antiqua"/>
          <w:color w:val="000000"/>
          <w:spacing w:val="-3"/>
          <w:bdr w:val="none" w:sz="0" w:space="0" w:color="auto" w:frame="1"/>
          <w:lang w:val="en-US"/>
        </w:rPr>
        <w:t>$37.1 million over three years to ensure AIMS is resourced to continue its significant and critical contribution to marine science that protects and preserves our oceans, including $5.3 million for the detailed design of a replacement for the Research Vessel Cape Ferguson.</w:t>
      </w:r>
    </w:p>
    <w:p w:rsidR="00A660C4" w:rsidRPr="00A660C4" w:rsidRDefault="00BA7A7F" w:rsidP="00356CA5">
      <w:pPr>
        <w:numPr>
          <w:ilvl w:val="1"/>
          <w:numId w:val="38"/>
        </w:numPr>
        <w:ind w:left="1418" w:hanging="284"/>
        <w:textAlignment w:val="baseline"/>
        <w:rPr>
          <w:rFonts w:eastAsia="Book Antiqua"/>
          <w:color w:val="000000"/>
          <w:spacing w:val="-3"/>
          <w:bdr w:val="none" w:sz="0" w:space="0" w:color="auto" w:frame="1"/>
          <w:lang w:val="en-US"/>
        </w:rPr>
      </w:pPr>
      <w:r w:rsidRPr="00A660C4">
        <w:rPr>
          <w:rFonts w:eastAsia="Book Antiqua"/>
          <w:color w:val="000000"/>
          <w:spacing w:val="-3"/>
          <w:bdr w:val="none" w:sz="0" w:space="0" w:color="auto" w:frame="1"/>
          <w:lang w:val="en-US"/>
        </w:rPr>
        <w:t>$36.3 million from the National Collaborative Research Infrastructure Strategy (NCRIS) to expand the National Sea Simulator.</w:t>
      </w:r>
    </w:p>
    <w:p w:rsidR="00A660C4" w:rsidRPr="00A660C4" w:rsidRDefault="00BA7A7F" w:rsidP="004D0477">
      <w:pPr>
        <w:numPr>
          <w:ilvl w:val="0"/>
          <w:numId w:val="38"/>
        </w:numPr>
        <w:spacing w:after="0"/>
        <w:ind w:left="284" w:hanging="284"/>
        <w:textAlignment w:val="baseline"/>
        <w:rPr>
          <w:rFonts w:eastAsia="Book Antiqua"/>
          <w:color w:val="000000"/>
          <w:spacing w:val="-3"/>
          <w:bdr w:val="none" w:sz="0" w:space="0" w:color="auto" w:frame="1"/>
          <w:lang w:val="en-US"/>
        </w:rPr>
      </w:pPr>
      <w:r w:rsidRPr="004D0477">
        <w:rPr>
          <w:rFonts w:eastAsia="Book Antiqua"/>
          <w:color w:val="000000"/>
          <w:spacing w:val="-3"/>
          <w:bdr w:val="none" w:sz="0" w:space="0" w:color="auto" w:frame="1"/>
          <w:lang w:val="en-US"/>
        </w:rPr>
        <w:t>Act</w:t>
      </w:r>
      <w:r w:rsidRPr="00A660C4">
        <w:rPr>
          <w:rFonts w:eastAsia="Book Antiqua"/>
          <w:color w:val="000000"/>
          <w:spacing w:val="-3"/>
          <w:bdr w:val="none" w:sz="0" w:space="0" w:color="auto" w:frame="1"/>
          <w:lang w:val="en-US"/>
        </w:rPr>
        <w:t xml:space="preserve"> as the managing entity and undertake research, in conjunction with consortium partners, to progress the Reef Restoration and Adaptation Program (RRAP), which is focused on developing and deploying options for coral reef recovery, restoration and adaptation technologies for coral reefs threatened by climate change and will inform future approaches and investment in reef restoration and adaptation.</w:t>
      </w:r>
    </w:p>
    <w:p w:rsidR="00496EE7" w:rsidRPr="004D0477" w:rsidRDefault="00BA7A7F" w:rsidP="004D0477">
      <w:pPr>
        <w:numPr>
          <w:ilvl w:val="0"/>
          <w:numId w:val="38"/>
        </w:numPr>
        <w:spacing w:after="0"/>
        <w:ind w:left="284" w:hanging="284"/>
        <w:textAlignment w:val="baseline"/>
        <w:rPr>
          <w:rFonts w:eastAsia="Book Antiqua"/>
          <w:color w:val="000000"/>
          <w:spacing w:val="-3"/>
          <w:bdr w:val="none" w:sz="0" w:space="0" w:color="auto" w:frame="1"/>
          <w:lang w:val="en-US"/>
        </w:rPr>
      </w:pPr>
      <w:r w:rsidRPr="004D0477">
        <w:rPr>
          <w:rFonts w:eastAsia="Book Antiqua"/>
          <w:color w:val="000000"/>
          <w:spacing w:val="-3"/>
          <w:bdr w:val="none" w:sz="0" w:space="0" w:color="auto" w:frame="1"/>
          <w:lang w:val="en-US"/>
        </w:rPr>
        <w:t>Expand a growing body of publicly available data and information.</w:t>
      </w:r>
    </w:p>
    <w:p w:rsidR="00496EE7" w:rsidRPr="004D0477" w:rsidRDefault="00BA7A7F" w:rsidP="004D0477">
      <w:pPr>
        <w:numPr>
          <w:ilvl w:val="0"/>
          <w:numId w:val="38"/>
        </w:numPr>
        <w:spacing w:after="0"/>
        <w:ind w:left="284" w:hanging="284"/>
        <w:textAlignment w:val="baseline"/>
        <w:rPr>
          <w:rFonts w:eastAsia="Book Antiqua"/>
          <w:color w:val="000000"/>
          <w:spacing w:val="-3"/>
          <w:bdr w:val="none" w:sz="0" w:space="0" w:color="auto" w:frame="1"/>
          <w:lang w:val="en-US"/>
        </w:rPr>
      </w:pPr>
      <w:r w:rsidRPr="004D0477">
        <w:rPr>
          <w:rFonts w:eastAsia="Book Antiqua"/>
          <w:color w:val="000000"/>
          <w:spacing w:val="-3"/>
          <w:bdr w:val="none" w:sz="0" w:space="0" w:color="auto" w:frame="1"/>
          <w:lang w:val="en-US"/>
        </w:rPr>
        <w:t>Establish and maintain national and international research collaborations with government, industry, research and traditional owner partners to leverage investment, ensure uptake of research, and promote outcomes enhancing Australia’s role in supporting regional blue economies and the sustainable use, management and protection of marine ecosystems.</w:t>
      </w:r>
    </w:p>
    <w:p w:rsidR="000F7FA3" w:rsidRDefault="00BA7A7F" w:rsidP="004D0477">
      <w:pPr>
        <w:numPr>
          <w:ilvl w:val="0"/>
          <w:numId w:val="38"/>
        </w:numPr>
        <w:ind w:left="284" w:hanging="284"/>
        <w:textAlignment w:val="baseline"/>
        <w:rPr>
          <w:rFonts w:eastAsia="Book Antiqua"/>
          <w:color w:val="000000"/>
          <w:bdr w:val="none" w:sz="0" w:space="0" w:color="auto" w:frame="1"/>
          <w:lang w:val="en-US"/>
        </w:rPr>
      </w:pPr>
      <w:r w:rsidRPr="004D0477">
        <w:rPr>
          <w:rFonts w:eastAsia="Book Antiqua"/>
          <w:color w:val="000000"/>
          <w:spacing w:val="-3"/>
          <w:bdr w:val="none" w:sz="0" w:space="0" w:color="auto" w:frame="1"/>
          <w:lang w:val="en-US"/>
        </w:rPr>
        <w:t>Optimise the use of its world-class research infrastructure (vessels, aquaria, ocean monitoring equipment and laboratories) to support research conducted by AIMS and research</w:t>
      </w:r>
      <w:r w:rsidRPr="005D14BE">
        <w:rPr>
          <w:rFonts w:eastAsia="Book Antiqua"/>
          <w:color w:val="000000"/>
          <w:bdr w:val="none" w:sz="0" w:space="0" w:color="auto" w:frame="1"/>
          <w:lang w:val="en-US"/>
        </w:rPr>
        <w:t xml:space="preserve"> collaborators.</w:t>
      </w:r>
    </w:p>
    <w:p w:rsidR="000F7FA3" w:rsidRDefault="00BA7A7F" w:rsidP="000F7FA3">
      <w:pPr>
        <w:textAlignment w:val="baseline"/>
        <w:rPr>
          <w:rFonts w:eastAsia="Book Antiqua"/>
          <w:color w:val="000000"/>
          <w:spacing w:val="-1"/>
          <w:bdr w:val="none" w:sz="0" w:space="0" w:color="auto" w:frame="1"/>
        </w:rPr>
      </w:pPr>
      <w:r>
        <w:rPr>
          <w:rFonts w:eastAsia="Book Antiqua"/>
          <w:color w:val="000000"/>
          <w:spacing w:val="-1"/>
          <w:bdr w:val="none" w:sz="0" w:space="0" w:color="auto" w:frame="1"/>
          <w:lang w:val="en-US"/>
        </w:rPr>
        <w:t xml:space="preserve">These </w:t>
      </w:r>
      <w:r>
        <w:rPr>
          <w:rFonts w:eastAsia="Book Antiqua"/>
          <w:color w:val="000000"/>
          <w:spacing w:val="-3"/>
          <w:bdr w:val="none" w:sz="0" w:space="0" w:color="auto" w:frame="1"/>
          <w:lang w:val="en-US"/>
        </w:rPr>
        <w:t>activities</w:t>
      </w:r>
      <w:r>
        <w:rPr>
          <w:rFonts w:eastAsia="Book Antiqua"/>
          <w:color w:val="000000"/>
          <w:spacing w:val="-1"/>
          <w:bdr w:val="none" w:sz="0" w:space="0" w:color="auto" w:frame="1"/>
          <w:lang w:val="en-US"/>
        </w:rPr>
        <w:t xml:space="preserve"> will help Australia achieve:</w:t>
      </w:r>
    </w:p>
    <w:p w:rsidR="000F7FA3" w:rsidRDefault="00BA7A7F" w:rsidP="000F7FA3">
      <w:pPr>
        <w:keepLines w:val="0"/>
        <w:numPr>
          <w:ilvl w:val="0"/>
          <w:numId w:val="39"/>
        </w:numPr>
        <w:tabs>
          <w:tab w:val="clear" w:pos="216"/>
          <w:tab w:val="left" w:pos="288"/>
        </w:tabs>
        <w:spacing w:after="0"/>
        <w:ind w:left="284" w:hanging="284"/>
        <w:textAlignment w:val="baseline"/>
        <w:rPr>
          <w:rFonts w:eastAsia="Book Antiqua"/>
          <w:color w:val="000000"/>
          <w:bdr w:val="none" w:sz="0" w:space="0" w:color="auto" w:frame="1"/>
          <w:lang w:val="en-US"/>
        </w:rPr>
      </w:pPr>
      <w:r>
        <w:rPr>
          <w:rFonts w:eastAsia="Book Antiqua"/>
          <w:color w:val="000000"/>
          <w:bdr w:val="none" w:sz="0" w:space="0" w:color="auto" w:frame="1"/>
          <w:lang w:val="en-US"/>
        </w:rPr>
        <w:t>A healthy, resilient Great Barrier Reef.</w:t>
      </w:r>
    </w:p>
    <w:p w:rsidR="000F7FA3" w:rsidRDefault="00BA7A7F" w:rsidP="000F7FA3">
      <w:pPr>
        <w:keepLines w:val="0"/>
        <w:numPr>
          <w:ilvl w:val="0"/>
          <w:numId w:val="39"/>
        </w:numPr>
        <w:tabs>
          <w:tab w:val="clear" w:pos="216"/>
          <w:tab w:val="left" w:pos="288"/>
        </w:tabs>
        <w:spacing w:after="0"/>
        <w:ind w:left="284" w:hanging="284"/>
        <w:textAlignment w:val="baseline"/>
        <w:rPr>
          <w:rFonts w:eastAsia="Book Antiqua"/>
          <w:color w:val="000000"/>
          <w:bdr w:val="none" w:sz="0" w:space="0" w:color="auto" w:frame="1"/>
          <w:lang w:val="en-US"/>
        </w:rPr>
      </w:pPr>
      <w:r>
        <w:rPr>
          <w:rFonts w:eastAsia="Book Antiqua"/>
          <w:color w:val="000000"/>
          <w:bdr w:val="none" w:sz="0" w:space="0" w:color="auto" w:frame="1"/>
          <w:lang w:val="en-US"/>
        </w:rPr>
        <w:t>Sustainable coastal ecosystems and industries across tropical Australia.</w:t>
      </w:r>
    </w:p>
    <w:p w:rsidR="005D14BE" w:rsidRPr="000F7FA3" w:rsidRDefault="00BA7A7F" w:rsidP="004D0477">
      <w:pPr>
        <w:keepLines w:val="0"/>
        <w:numPr>
          <w:ilvl w:val="0"/>
          <w:numId w:val="39"/>
        </w:numPr>
        <w:tabs>
          <w:tab w:val="clear" w:pos="216"/>
          <w:tab w:val="left" w:pos="288"/>
        </w:tabs>
        <w:spacing w:line="276" w:lineRule="auto"/>
        <w:ind w:left="284" w:hanging="284"/>
        <w:jc w:val="left"/>
        <w:textAlignment w:val="baseline"/>
        <w:rPr>
          <w:rFonts w:eastAsia="Book Antiqua"/>
          <w:color w:val="000000"/>
          <w:bdr w:val="none" w:sz="0" w:space="0" w:color="auto" w:frame="1"/>
          <w:lang w:val="en-US"/>
        </w:rPr>
      </w:pPr>
      <w:r w:rsidRPr="000F7FA3">
        <w:rPr>
          <w:rFonts w:eastAsia="Book Antiqua"/>
          <w:color w:val="000000"/>
          <w:bdr w:val="none" w:sz="0" w:space="0" w:color="auto" w:frame="1"/>
          <w:lang w:val="en-US"/>
        </w:rPr>
        <w:t>Environmentally sustainable offshore oil and gas development.</w:t>
      </w:r>
    </w:p>
    <w:p w:rsidR="004C2526" w:rsidRPr="00956CA0" w:rsidRDefault="00BA7A7F" w:rsidP="004C2526">
      <w:pPr>
        <w:pStyle w:val="Heading3"/>
        <w:pageBreakBefore/>
        <w:rPr>
          <w:smallCaps w:val="0"/>
          <w:sz w:val="22"/>
          <w:szCs w:val="22"/>
        </w:rPr>
      </w:pPr>
      <w:bookmarkStart w:id="225" w:name="RG_MARKER_11707"/>
      <w:bookmarkStart w:id="226" w:name="RG_MARKER_12184"/>
      <w:r w:rsidRPr="00956CA0">
        <w:rPr>
          <w:smallCaps w:val="0"/>
          <w:sz w:val="22"/>
          <w:szCs w:val="22"/>
        </w:rPr>
        <w:t>1.2</w:t>
      </w:r>
      <w:bookmarkEnd w:id="225"/>
      <w:bookmarkEnd w:id="226"/>
      <w:r w:rsidRPr="00956CA0">
        <w:rPr>
          <w:smallCaps w:val="0"/>
          <w:sz w:val="22"/>
          <w:szCs w:val="22"/>
        </w:rPr>
        <w:tab/>
        <w:t>Entity resource statement</w:t>
      </w:r>
    </w:p>
    <w:p w:rsidR="00340B22" w:rsidRPr="00340B22" w:rsidRDefault="00BA7A7F" w:rsidP="00340B22">
      <w:bookmarkStart w:id="227" w:name="OLE_LINK12"/>
      <w:bookmarkStart w:id="228" w:name="OLE_LINK11"/>
      <w:r w:rsidRPr="00340B22">
        <w:t>Table 1.1 shows the total funding from all sources available to the entity for its operations and to deliver programs and services on behalf of the Government.</w:t>
      </w:r>
    </w:p>
    <w:p w:rsidR="00340B22" w:rsidRPr="00340B22" w:rsidRDefault="00BA7A7F" w:rsidP="00340B22">
      <w:r w:rsidRPr="00340B22">
        <w:t>The table summarises how resources will be applied by outcome (government strategic policy objectives) and by administered (on behalf of the Government or the public) and departmental (for the entity’s operations) classification.</w:t>
      </w:r>
    </w:p>
    <w:p w:rsidR="00340B22" w:rsidRPr="00340B22" w:rsidRDefault="00BA7A7F" w:rsidP="00340B22">
      <w:r w:rsidRPr="00340B22">
        <w:t>Information in this table is presented on a resourcing (that is, appropriations/cash available) basis, whilst the ‘Budgeted expenses by Outcome</w:t>
      </w:r>
      <w:r>
        <w:t xml:space="preserve"> 1</w:t>
      </w:r>
      <w:r w:rsidRPr="00340B22">
        <w:t>’ tables in Section 2 and the financial statements in Section 3 are presented on an accrual basis.</w:t>
      </w:r>
    </w:p>
    <w:bookmarkEnd w:id="227"/>
    <w:bookmarkEnd w:id="228"/>
    <w:p w:rsidR="004C2526" w:rsidRDefault="00BA7A7F" w:rsidP="00AD7996">
      <w:pPr>
        <w:pStyle w:val="TableHeading"/>
        <w:keepLines/>
        <w:spacing w:before="0"/>
      </w:pPr>
      <w:r w:rsidRPr="004C2526">
        <w:t xml:space="preserve">Table 1.1: </w:t>
      </w:r>
      <w:r>
        <w:rPr>
          <w:snapToGrid w:val="0"/>
        </w:rPr>
        <w:t>AIMS</w:t>
      </w:r>
      <w:r w:rsidRPr="004C2526">
        <w:t xml:space="preserve"> </w:t>
      </w:r>
      <w:r>
        <w:t>resource statement – B</w:t>
      </w:r>
      <w:r w:rsidRPr="00612A36">
        <w:t xml:space="preserve">udget estimates </w:t>
      </w:r>
      <w:r w:rsidRPr="004C2526">
        <w:t xml:space="preserve">for </w:t>
      </w:r>
      <w:r>
        <w:t>2022­23</w:t>
      </w:r>
      <w:r w:rsidRPr="004C2526">
        <w:t xml:space="preserve"> </w:t>
      </w:r>
      <w:r w:rsidRPr="00612A36">
        <w:t>as at Budget March</w:t>
      </w:r>
      <w:r w:rsidRPr="004C2526">
        <w:t xml:space="preserve"> </w:t>
      </w:r>
      <w:r>
        <w:t>2022</w:t>
      </w:r>
    </w:p>
    <w:tbl>
      <w:tblPr>
        <w:tblStyle w:val="CDMRange1"/>
        <w:tblW w:w="7725" w:type="dxa"/>
        <w:tblLayout w:type="fixed"/>
        <w:tblLook w:val="0600" w:firstRow="0" w:lastRow="0" w:firstColumn="0" w:lastColumn="0" w:noHBand="1" w:noVBand="1"/>
      </w:tblPr>
      <w:tblGrid>
        <w:gridCol w:w="5475"/>
        <w:gridCol w:w="1125"/>
        <w:gridCol w:w="1125"/>
      </w:tblGrid>
      <w:tr w:rsidR="00253274">
        <w:trPr>
          <w:trHeight w:val="900"/>
        </w:trPr>
        <w:tc>
          <w:tcPr>
            <w:tcW w:w="54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  Estimated actual</w:t>
            </w:r>
          </w:p>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 Estimate</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53,165</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52,376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 (b)</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45,548</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63,193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(c)</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17,550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11,563</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57,111</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82,248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57,111</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82,248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450</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goods and services</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32,856</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34,073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3,320</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7,492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36,626</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41,887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AIMS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146,902</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176,511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273</w:t>
            </w:r>
          </w:p>
        </w:tc>
        <w:tc>
          <w:tcPr>
            <w:tcW w:w="112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w:t>
            </w:r>
          </w:p>
        </w:tc>
      </w:tr>
    </w:tbl>
    <w:p w:rsidR="00E95549" w:rsidRDefault="00BA7A7F" w:rsidP="00DE6F9F">
      <w:pPr>
        <w:spacing w:after="0" w:line="240" w:lineRule="auto"/>
        <w:ind w:left="284" w:hanging="284"/>
        <w:rPr>
          <w:rFonts w:ascii="Arial" w:eastAsia="Calibri" w:hAnsi="Arial" w:cs="Arial"/>
          <w:sz w:val="16"/>
          <w:bdr w:val="none" w:sz="0" w:space="0" w:color="auto" w:frame="1"/>
        </w:rPr>
      </w:pPr>
      <w:r w:rsidRPr="00D02B3E">
        <w:rPr>
          <w:rFonts w:ascii="Arial" w:eastAsia="Calibri" w:hAnsi="Arial" w:cs="Arial"/>
          <w:sz w:val="16"/>
          <w:bdr w:val="none" w:sz="0" w:space="0" w:color="auto" w:frame="1"/>
        </w:rPr>
        <w:t>All figures shown above are GST exclusive – these may not match figures in the cash flow statement.</w:t>
      </w:r>
    </w:p>
    <w:p w:rsidR="0025693C" w:rsidRPr="00D02B3E" w:rsidRDefault="00BA7A7F" w:rsidP="00DE6F9F">
      <w:pPr>
        <w:spacing w:after="0" w:line="240" w:lineRule="auto"/>
        <w:ind w:left="284" w:hanging="284"/>
        <w:rPr>
          <w:rFonts w:ascii="Arial" w:eastAsia="Calibri" w:hAnsi="Arial" w:cs="Arial"/>
          <w:sz w:val="16"/>
          <w:bdr w:val="none" w:sz="0" w:space="0" w:color="auto" w:frame="1"/>
        </w:rPr>
      </w:pPr>
      <w:r w:rsidRPr="0025693C">
        <w:rPr>
          <w:rFonts w:ascii="Arial" w:eastAsia="Calibri" w:hAnsi="Arial" w:cs="Arial"/>
          <w:sz w:val="16"/>
          <w:bdr w:val="none" w:sz="0" w:space="0" w:color="auto" w:frame="1"/>
        </w:rPr>
        <w:t>Prepared on a resourcing (i.e. appropriations available) basis.</w:t>
      </w:r>
    </w:p>
    <w:p w:rsidR="00F04433" w:rsidRDefault="00BA7A7F" w:rsidP="00DE6F9F">
      <w:pPr>
        <w:pStyle w:val="ChartandTableFootnote"/>
        <w:numPr>
          <w:ilvl w:val="0"/>
          <w:numId w:val="40"/>
        </w:numPr>
        <w:ind w:left="284" w:hanging="284"/>
        <w:rPr>
          <w:rFonts w:eastAsia="Times New Roman"/>
          <w:color w:val="auto"/>
          <w:szCs w:val="16"/>
          <w:lang w:val="en-AU" w:eastAsia="en-AU"/>
        </w:rPr>
      </w:pPr>
      <w:r w:rsidRPr="00D02B3E">
        <w:rPr>
          <w:rFonts w:eastAsia="Times New Roman"/>
          <w:color w:val="auto"/>
          <w:szCs w:val="16"/>
          <w:lang w:val="en-AU" w:eastAsia="en-AU"/>
        </w:rPr>
        <w:t>Appropriation Bill (No. 1) 2022­23.</w:t>
      </w:r>
    </w:p>
    <w:p w:rsidR="00773DB5" w:rsidRDefault="00BA7A7F" w:rsidP="00DE6F9F">
      <w:pPr>
        <w:pStyle w:val="ChartandTableFootnote"/>
        <w:numPr>
          <w:ilvl w:val="0"/>
          <w:numId w:val="40"/>
        </w:numPr>
        <w:ind w:left="284" w:hanging="284"/>
        <w:rPr>
          <w:rFonts w:eastAsia="Times New Roman" w:cs="Times New Roman"/>
          <w:color w:val="auto"/>
          <w:szCs w:val="20"/>
          <w:lang w:val="en-AU"/>
        </w:rPr>
      </w:pPr>
      <w:r w:rsidRPr="00EB2EA0">
        <w:rPr>
          <w:rFonts w:eastAsia="Times New Roman" w:cs="Times New Roman"/>
          <w:color w:val="auto"/>
          <w:szCs w:val="20"/>
          <w:lang w:val="en-AU"/>
        </w:rPr>
        <w:t>AIMS is not di</w:t>
      </w:r>
      <w:r>
        <w:rPr>
          <w:rFonts w:eastAsia="Times New Roman" w:cs="Times New Roman"/>
          <w:color w:val="auto"/>
          <w:szCs w:val="20"/>
          <w:lang w:val="en-AU"/>
        </w:rPr>
        <w:t>rectly appropriated as it is a c</w:t>
      </w:r>
      <w:r w:rsidRPr="00EB2EA0">
        <w:rPr>
          <w:rFonts w:eastAsia="Times New Roman" w:cs="Times New Roman"/>
          <w:color w:val="auto"/>
          <w:szCs w:val="20"/>
          <w:lang w:val="en-AU"/>
        </w:rPr>
        <w:t>orporate Commonwealth entity. Appropriations are made to the Department of Industry, Science, Energy and Resources and are then paid to AIMS and are considered departmental for all purposes</w:t>
      </w:r>
      <w:r>
        <w:rPr>
          <w:rFonts w:eastAsia="Times New Roman" w:cs="Times New Roman"/>
          <w:color w:val="auto"/>
          <w:szCs w:val="20"/>
          <w:lang w:val="en-AU"/>
        </w:rPr>
        <w:t>.</w:t>
      </w:r>
    </w:p>
    <w:p w:rsidR="00773DB5" w:rsidRDefault="00BA7A7F" w:rsidP="00DE6F9F">
      <w:pPr>
        <w:pStyle w:val="ChartandTableFootnote"/>
        <w:numPr>
          <w:ilvl w:val="0"/>
          <w:numId w:val="40"/>
        </w:numPr>
        <w:ind w:left="284" w:hanging="284"/>
        <w:rPr>
          <w:rFonts w:eastAsia="Times New Roman" w:cs="Times New Roman"/>
          <w:color w:val="auto"/>
          <w:szCs w:val="20"/>
          <w:lang w:val="en-AU"/>
        </w:rPr>
      </w:pPr>
      <w:r>
        <w:rPr>
          <w:rFonts w:eastAsia="Times New Roman" w:cs="Times New Roman"/>
          <w:color w:val="auto"/>
          <w:szCs w:val="20"/>
          <w:lang w:val="en-AU"/>
        </w:rPr>
        <w:t xml:space="preserve">Appropriation </w:t>
      </w:r>
      <w:r>
        <w:rPr>
          <w:rFonts w:eastAsia="Times New Roman"/>
          <w:color w:val="auto"/>
          <w:szCs w:val="16"/>
          <w:lang w:val="en-AU" w:eastAsia="en-AU"/>
        </w:rPr>
        <w:t>Bill (No. 2)</w:t>
      </w:r>
      <w:r w:rsidRPr="00773DB5">
        <w:rPr>
          <w:rFonts w:eastAsia="Times New Roman"/>
          <w:color w:val="auto"/>
          <w:szCs w:val="16"/>
          <w:lang w:val="en-AU" w:eastAsia="en-AU"/>
        </w:rPr>
        <w:t xml:space="preserve"> </w:t>
      </w:r>
      <w:r w:rsidRPr="00D70CC3">
        <w:rPr>
          <w:rFonts w:eastAsia="Times New Roman"/>
          <w:color w:val="auto"/>
          <w:szCs w:val="16"/>
          <w:lang w:val="en-AU" w:eastAsia="en-AU"/>
        </w:rPr>
        <w:t>2022­23.</w:t>
      </w:r>
    </w:p>
    <w:p w:rsidR="00AA1599" w:rsidRPr="00AA1599" w:rsidRDefault="00BA7A7F" w:rsidP="00773DB5">
      <w:pPr>
        <w:pStyle w:val="ChartandTableFootnote"/>
        <w:rPr>
          <w:rFonts w:eastAsia="Times New Roman"/>
          <w:color w:val="auto"/>
          <w:szCs w:val="16"/>
          <w:lang w:val="en-AU" w:eastAsia="en-AU"/>
        </w:rPr>
      </w:pPr>
      <w:r w:rsidRPr="00EB2EA0">
        <w:rPr>
          <w:rFonts w:eastAsia="Times New Roman" w:cs="Times New Roman"/>
          <w:color w:val="auto"/>
          <w:szCs w:val="20"/>
          <w:lang w:val="en-AU"/>
        </w:rPr>
        <w:t xml:space="preserve"> </w:t>
      </w:r>
    </w:p>
    <w:p w:rsidR="003E027B" w:rsidRPr="00E26B13" w:rsidRDefault="00BA7A7F" w:rsidP="003E027B">
      <w:pPr>
        <w:pStyle w:val="Heading3"/>
        <w:pageBreakBefore/>
        <w:rPr>
          <w:sz w:val="22"/>
          <w:szCs w:val="22"/>
        </w:rPr>
      </w:pPr>
      <w:bookmarkStart w:id="229" w:name="RG_MARKER_11709"/>
      <w:bookmarkStart w:id="230" w:name="RG_MARKER_11733"/>
      <w:bookmarkStart w:id="231" w:name="RG_MARKER_12279"/>
      <w:r w:rsidRPr="00E26B13">
        <w:rPr>
          <w:sz w:val="22"/>
          <w:szCs w:val="22"/>
        </w:rPr>
        <w:t>1.3</w:t>
      </w:r>
      <w:bookmarkEnd w:id="229"/>
      <w:bookmarkEnd w:id="230"/>
      <w:bookmarkEnd w:id="231"/>
      <w:r w:rsidRPr="00E26B13">
        <w:rPr>
          <w:sz w:val="22"/>
          <w:szCs w:val="22"/>
        </w:rPr>
        <w:tab/>
      </w:r>
      <w:r w:rsidRPr="00E26B13">
        <w:rPr>
          <w:rStyle w:val="Heading1Char"/>
          <w:b/>
          <w:sz w:val="22"/>
          <w:szCs w:val="22"/>
        </w:rPr>
        <w:t>Budget measures</w:t>
      </w:r>
    </w:p>
    <w:p w:rsidR="009D175B" w:rsidRDefault="00BA7A7F" w:rsidP="00C10853">
      <w:pPr>
        <w:rPr>
          <w:b/>
        </w:rPr>
      </w:pPr>
      <w:r w:rsidRPr="009D175B">
        <w:t xml:space="preserve">Budget measures </w:t>
      </w:r>
      <w:r>
        <w:t>in Part 1 relating to AIMS</w:t>
      </w:r>
      <w:r w:rsidRPr="009D175B">
        <w:t xml:space="preserve"> are detailed in Budget Paper No. 2 and are summarised below.</w:t>
      </w:r>
    </w:p>
    <w:p w:rsidR="009D175B" w:rsidRDefault="00BA7A7F" w:rsidP="00C10853">
      <w:pPr>
        <w:pStyle w:val="TableHeading"/>
        <w:keepLines/>
        <w:spacing w:before="240" w:after="0"/>
      </w:pPr>
      <w:r w:rsidRPr="003E027B">
        <w:t xml:space="preserve">Table 1.2: </w:t>
      </w:r>
      <w:r>
        <w:rPr>
          <w:snapToGrid w:val="0"/>
        </w:rPr>
        <w:t>AIMS</w:t>
      </w:r>
      <w:r w:rsidRPr="003E027B">
        <w:t xml:space="preserve"> </w:t>
      </w:r>
      <w:r>
        <w:t>2022­23 Budget measures</w:t>
      </w:r>
      <w:r>
        <w:br/>
      </w:r>
      <w:r w:rsidRPr="009D175B">
        <w:t xml:space="preserve">Part 1: Measures announced since the 2021­22 </w:t>
      </w:r>
      <w:r>
        <w:t>Mid-Year Economic and Fiscal Outlook (</w:t>
      </w:r>
      <w:r w:rsidRPr="009D175B">
        <w:t>MYEFO</w:t>
      </w:r>
      <w:r>
        <w:t>)</w:t>
      </w:r>
    </w:p>
    <w:tbl>
      <w:tblPr>
        <w:tblStyle w:val="CDMRange1"/>
        <w:tblW w:w="7680" w:type="dxa"/>
        <w:tblLayout w:type="fixed"/>
        <w:tblLook w:val="0600" w:firstRow="0" w:lastRow="0" w:firstColumn="0" w:lastColumn="0" w:noHBand="1" w:noVBand="1"/>
      </w:tblPr>
      <w:tblGrid>
        <w:gridCol w:w="3195"/>
        <w:gridCol w:w="735"/>
        <w:gridCol w:w="750"/>
        <w:gridCol w:w="750"/>
        <w:gridCol w:w="750"/>
        <w:gridCol w:w="750"/>
        <w:gridCol w:w="750"/>
      </w:tblGrid>
      <w:tr w:rsidR="00253274">
        <w:trPr>
          <w:trHeight w:val="465"/>
        </w:trPr>
        <w:tc>
          <w:tcPr>
            <w:tcW w:w="3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3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75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5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5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5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5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9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3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19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Australian Institute of Marine Science - additional funding (a)</w:t>
            </w:r>
          </w:p>
        </w:tc>
        <w:tc>
          <w:tcPr>
            <w:tcW w:w="73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 </w:t>
            </w: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9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Payment </w:t>
            </w:r>
          </w:p>
        </w:tc>
        <w:tc>
          <w:tcPr>
            <w:tcW w:w="73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10,191</w:t>
            </w: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13,335</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1,480 </w:t>
            </w:r>
          </w:p>
        </w:tc>
        <w:tc>
          <w:tcPr>
            <w:tcW w:w="75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1,500 </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9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3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10,191</w:t>
            </w: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13,335</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1,480 </w:t>
            </w:r>
          </w:p>
        </w:tc>
        <w:tc>
          <w:tcPr>
            <w:tcW w:w="75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1,500 </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3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9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3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7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10,191</w:t>
            </w: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13,335</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1,480 </w:t>
            </w:r>
          </w:p>
        </w:tc>
        <w:tc>
          <w:tcPr>
            <w:tcW w:w="75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1,500 </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75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
        </w:tc>
        <w:tc>
          <w:tcPr>
            <w:tcW w:w="75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10,191</w:t>
            </w:r>
          </w:p>
        </w:tc>
        <w:tc>
          <w:tcPr>
            <w:tcW w:w="75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13,335</w:t>
            </w:r>
          </w:p>
        </w:tc>
        <w:tc>
          <w:tcPr>
            <w:tcW w:w="75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1,480</w:t>
            </w:r>
          </w:p>
        </w:tc>
        <w:tc>
          <w:tcPr>
            <w:tcW w:w="75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1,500</w:t>
            </w:r>
          </w:p>
        </w:tc>
      </w:tr>
    </w:tbl>
    <w:p w:rsidR="005E73B0" w:rsidRPr="005C41B8" w:rsidRDefault="00BA7A7F" w:rsidP="005C41B8">
      <w:pPr>
        <w:pStyle w:val="Exampletext"/>
        <w:spacing w:after="0" w:line="240" w:lineRule="auto"/>
        <w:rPr>
          <w:rFonts w:ascii="Arial" w:hAnsi="Arial" w:cs="Arial"/>
          <w:i w:val="0"/>
          <w:color w:val="auto"/>
          <w:sz w:val="16"/>
          <w:szCs w:val="16"/>
        </w:rPr>
      </w:pPr>
      <w:r w:rsidRPr="005C41B8">
        <w:rPr>
          <w:rFonts w:ascii="Arial" w:hAnsi="Arial" w:cs="Arial"/>
          <w:i w:val="0"/>
          <w:color w:val="auto"/>
          <w:sz w:val="16"/>
          <w:szCs w:val="16"/>
        </w:rPr>
        <w:t>Prepared on a Government Finance Statistics (Underlying Cash) basis. Figures displayed as a negative (-) represent a decrease in funds and a positive (+) represent an increase in funds.</w:t>
      </w:r>
    </w:p>
    <w:p w:rsidR="005E73B0" w:rsidRPr="005C41B8" w:rsidRDefault="00BA7A7F" w:rsidP="005C41B8">
      <w:pPr>
        <w:pStyle w:val="ListParagraph"/>
        <w:keepLines/>
        <w:numPr>
          <w:ilvl w:val="0"/>
          <w:numId w:val="41"/>
        </w:numPr>
        <w:spacing w:after="200" w:line="240" w:lineRule="auto"/>
        <w:jc w:val="left"/>
        <w:rPr>
          <w:rFonts w:eastAsia="Times New Roman" w:cs="Arial"/>
          <w:sz w:val="16"/>
          <w:szCs w:val="16"/>
          <w:lang w:val="en-AU"/>
        </w:rPr>
      </w:pPr>
      <w:r w:rsidRPr="005C41B8">
        <w:rPr>
          <w:rFonts w:ascii="Arial" w:eastAsia="Times New Roman" w:hAnsi="Arial" w:cs="Arial"/>
          <w:sz w:val="16"/>
          <w:szCs w:val="16"/>
          <w:lang w:val="en-AU"/>
        </w:rPr>
        <w:t>This measure includes a decision taken but not yet announced in the 2021-22 MYEFO, with the following impact: 2021-22 $6.1 million; 2022-23 $18.3 million; and 2023-24 $12.7 million.</w:t>
      </w:r>
    </w:p>
    <w:p w:rsidR="00FD26B4" w:rsidRPr="00824E5B" w:rsidRDefault="00BA7A7F" w:rsidP="00824E5B">
      <w:pPr>
        <w:pStyle w:val="Heading2"/>
        <w:pageBreakBefore/>
        <w:spacing w:after="120"/>
        <w:rPr>
          <w:b/>
          <w:sz w:val="26"/>
          <w:szCs w:val="26"/>
        </w:rPr>
      </w:pPr>
      <w:bookmarkStart w:id="232" w:name="RG_MARKER_11721"/>
      <w:bookmarkStart w:id="233" w:name="RG_MARKER_12216"/>
      <w:bookmarkStart w:id="234" w:name="_Toc436624143_0"/>
      <w:bookmarkStart w:id="235" w:name="_Toc436625444_0"/>
      <w:bookmarkStart w:id="236" w:name="_Toc446237032_0"/>
      <w:bookmarkStart w:id="237" w:name="_Toc449255764_0"/>
      <w:bookmarkStart w:id="238" w:name="_Toc490972409_0"/>
      <w:bookmarkStart w:id="239" w:name="_Toc491014629_0"/>
      <w:bookmarkStart w:id="240" w:name="_Toc491014771_0"/>
      <w:bookmarkStart w:id="241" w:name="_Toc491014951_0"/>
      <w:bookmarkStart w:id="242" w:name="_Toc491015098_0"/>
      <w:bookmarkStart w:id="243" w:name="_Toc491029242_0"/>
      <w:bookmarkStart w:id="244" w:name="_Toc491030331_0"/>
      <w:bookmarkStart w:id="245" w:name="_Toc491030790_0"/>
      <w:bookmarkStart w:id="246" w:name="_Toc491031353_0"/>
      <w:bookmarkStart w:id="247" w:name="_Toc491031940_0"/>
      <w:bookmarkStart w:id="248" w:name="_Toc491032113_0"/>
      <w:bookmarkStart w:id="249" w:name="_Toc491032221_0"/>
      <w:bookmarkStart w:id="250" w:name="_Toc491032328_0"/>
      <w:bookmarkStart w:id="251" w:name="_Toc491771720_0"/>
      <w:bookmarkStart w:id="252" w:name="_Toc491773295_0"/>
      <w:bookmarkStart w:id="253" w:name="_Toc23559353_0"/>
      <w:bookmarkStart w:id="254" w:name="_Toc23559387_0"/>
      <w:bookmarkStart w:id="255" w:name="_Toc23559674_0"/>
      <w:bookmarkStart w:id="256" w:name="_Toc23560142_0"/>
      <w:bookmarkStart w:id="257" w:name="_Toc23563436_0"/>
      <w:bookmarkStart w:id="258" w:name="_Toc77998688_0"/>
      <w:bookmarkStart w:id="259" w:name="_Toc79399717_0"/>
      <w:bookmarkStart w:id="260" w:name="_Toc112211966_0"/>
      <w:bookmarkStart w:id="261" w:name="_Toc112212060_0"/>
      <w:bookmarkStart w:id="262" w:name="_Toc112137878_0"/>
      <w:bookmarkStart w:id="263" w:name="_Toc112137900_0"/>
      <w:bookmarkStart w:id="264" w:name="_Toc210646453_0"/>
      <w:bookmarkStart w:id="265" w:name="_Toc210698432_0"/>
      <w:bookmarkStart w:id="266" w:name="_Toc210703214_0"/>
      <w:r w:rsidRPr="00824E5B">
        <w:rPr>
          <w:b/>
          <w:sz w:val="26"/>
          <w:szCs w:val="26"/>
        </w:rPr>
        <w:t>Section 2</w:t>
      </w:r>
      <w:bookmarkEnd w:id="232"/>
      <w:bookmarkEnd w:id="233"/>
      <w:bookmarkEnd w:id="234"/>
      <w:bookmarkEnd w:id="235"/>
      <w:bookmarkEnd w:id="236"/>
      <w:bookmarkEnd w:id="237"/>
      <w:r w:rsidRPr="00824E5B">
        <w:rPr>
          <w:b/>
          <w:sz w:val="26"/>
          <w:szCs w:val="26"/>
        </w:rPr>
        <w:t xml:space="preserve">: </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824E5B">
        <w:rPr>
          <w:b/>
          <w:sz w:val="26"/>
          <w:szCs w:val="26"/>
        </w:rPr>
        <w:t>Outcomes and planned performanc</w:t>
      </w:r>
      <w:bookmarkEnd w:id="265"/>
      <w:bookmarkEnd w:id="266"/>
      <w:r w:rsidRPr="00824E5B">
        <w:rPr>
          <w:b/>
          <w:sz w:val="26"/>
          <w:szCs w:val="26"/>
        </w:rPr>
        <w:t>e</w:t>
      </w:r>
      <w:bookmarkStart w:id="267" w:name="_Toc436624145_0"/>
      <w:bookmarkStart w:id="268" w:name="_Toc436625446_0"/>
      <w:bookmarkStart w:id="269" w:name="_Toc449255766_0"/>
      <w:bookmarkStart w:id="270" w:name="_Toc490972410_0"/>
      <w:bookmarkStart w:id="271" w:name="_Toc491014630_0"/>
      <w:bookmarkStart w:id="272" w:name="_Toc491014772_0"/>
      <w:bookmarkStart w:id="273" w:name="_Toc491014952_0"/>
      <w:bookmarkStart w:id="274" w:name="_Toc491015099_0"/>
      <w:bookmarkStart w:id="275" w:name="_Toc491029243_0"/>
      <w:bookmarkStart w:id="276" w:name="_Toc491030332_0"/>
      <w:bookmarkStart w:id="277" w:name="_Toc491030791_0"/>
      <w:bookmarkStart w:id="278" w:name="_Toc491031354_0"/>
      <w:bookmarkStart w:id="279" w:name="_Toc491031941_0"/>
      <w:bookmarkStart w:id="280" w:name="_Toc491032114_0"/>
      <w:bookmarkStart w:id="281" w:name="_Toc491032222_0"/>
      <w:bookmarkStart w:id="282" w:name="_Toc491032329_0"/>
      <w:bookmarkStart w:id="283" w:name="_Toc491771721_0"/>
      <w:bookmarkStart w:id="284" w:name="_Toc491773296_0"/>
      <w:bookmarkStart w:id="285" w:name="_Toc23559354_0"/>
      <w:bookmarkStart w:id="286" w:name="_Toc23559388_0"/>
      <w:bookmarkStart w:id="287" w:name="_Toc23559675_0"/>
      <w:bookmarkStart w:id="288" w:name="_Toc23560143_0"/>
      <w:bookmarkStart w:id="289" w:name="_Toc23563437_0"/>
      <w:bookmarkStart w:id="290" w:name="_Toc77998689_0"/>
      <w:bookmarkStart w:id="291" w:name="_Toc79406118_0"/>
      <w:bookmarkStart w:id="292" w:name="_Toc79467820_0"/>
      <w:bookmarkStart w:id="293" w:name="_Toc112211967_0"/>
      <w:bookmarkStart w:id="294" w:name="_Toc112212061_0"/>
      <w:bookmarkStart w:id="295" w:name="_Toc112137879_0"/>
      <w:bookmarkStart w:id="296" w:name="_Toc112137901_0"/>
      <w:bookmarkStart w:id="297" w:name="_Toc210646454_0"/>
      <w:bookmarkStart w:id="298" w:name="_Toc210698433_0"/>
      <w:bookmarkStart w:id="299" w:name="_Toc210703215_0"/>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rsidR="00FD26B4" w:rsidRDefault="00BA7A7F" w:rsidP="00FD26B4">
      <w:r>
        <w:t xml:space="preserve">Government outcomes are the intended results, impacts or consequences of actions by the Government on the Australian community. Commonwealth </w:t>
      </w:r>
      <w:r>
        <w:rPr>
          <w:color w:val="000000"/>
        </w:rPr>
        <w:t xml:space="preserve">programs </w:t>
      </w:r>
      <w:r>
        <w:t xml:space="preserve">are the primary vehicle by which government entities achieve the intended results of their outcome statements. Entities are required to identify the </w:t>
      </w:r>
      <w:r>
        <w:rPr>
          <w:color w:val="000000"/>
        </w:rPr>
        <w:t>programs</w:t>
      </w:r>
      <w:r>
        <w:t xml:space="preserve"> which contribute to government outcomes over the Budget and forward years.</w:t>
      </w:r>
    </w:p>
    <w:p w:rsidR="00FD26B4" w:rsidRDefault="00BA7A7F" w:rsidP="00FD26B4">
      <w:r>
        <w:t xml:space="preserve">Each outcome is described below together with its related </w:t>
      </w:r>
      <w:r>
        <w:rPr>
          <w:color w:val="000000"/>
        </w:rPr>
        <w:t>programs</w:t>
      </w:r>
      <w:r>
        <w:t>. The following provides detailed information on expenses for each outcome and program, further broken down by funding source.</w:t>
      </w:r>
    </w:p>
    <w:p w:rsidR="00FD26B4" w:rsidRDefault="00BA7A7F" w:rsidP="00824E5B">
      <w:pPr>
        <w:pBdr>
          <w:top w:val="single" w:sz="4" w:space="1" w:color="auto"/>
          <w:left w:val="single" w:sz="4" w:space="4" w:color="auto"/>
          <w:bottom w:val="single" w:sz="4" w:space="1" w:color="auto"/>
          <w:right w:val="single" w:sz="4" w:space="4" w:color="auto"/>
        </w:pBdr>
        <w:spacing w:before="120" w:after="120" w:line="240" w:lineRule="auto"/>
        <w:rPr>
          <w:b/>
        </w:rPr>
      </w:pPr>
      <w:r>
        <w:rPr>
          <w:b/>
        </w:rPr>
        <w:t>Note:</w:t>
      </w:r>
    </w:p>
    <w:p w:rsidR="00B152E4" w:rsidRDefault="00BA7A7F" w:rsidP="00B152E4">
      <w:pPr>
        <w:pBdr>
          <w:top w:val="single" w:sz="4" w:space="1" w:color="auto"/>
          <w:left w:val="single" w:sz="4" w:space="4" w:color="auto"/>
          <w:bottom w:val="single" w:sz="4" w:space="1" w:color="auto"/>
          <w:right w:val="single" w:sz="4" w:space="4" w:color="auto"/>
        </w:pBdr>
      </w:pPr>
      <w:r>
        <w:t xml:space="preserve">Performance reporting requirements in the Portfolio Budget Statements are part of the Commonwealth performance framework established by the </w:t>
      </w:r>
      <w:r>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rsidR="006F25EE" w:rsidRDefault="00BA7A7F" w:rsidP="00F23388">
      <w:pPr>
        <w:pBdr>
          <w:top w:val="single" w:sz="4" w:space="1" w:color="auto"/>
          <w:left w:val="single" w:sz="4" w:space="4" w:color="auto"/>
          <w:bottom w:val="single" w:sz="4" w:space="1" w:color="auto"/>
          <w:right w:val="single" w:sz="4" w:space="4" w:color="auto"/>
        </w:pBdr>
        <w:spacing w:after="0"/>
      </w:pPr>
      <w:r>
        <w:t xml:space="preserve">The most recent corporate plan for AIMS can be found at: </w:t>
      </w:r>
    </w:p>
    <w:p w:rsidR="00B152E4" w:rsidRDefault="00BA7A7F" w:rsidP="00B152E4">
      <w:pPr>
        <w:pBdr>
          <w:top w:val="single" w:sz="4" w:space="1" w:color="auto"/>
          <w:left w:val="single" w:sz="4" w:space="4" w:color="auto"/>
          <w:bottom w:val="single" w:sz="4" w:space="1" w:color="auto"/>
          <w:right w:val="single" w:sz="4" w:space="4" w:color="auto"/>
        </w:pBdr>
      </w:pPr>
      <w:r>
        <w:t>https://www.aims.gov.au/publications.html</w:t>
      </w:r>
    </w:p>
    <w:p w:rsidR="006F25EE" w:rsidRDefault="00BA7A7F" w:rsidP="00F23388">
      <w:pPr>
        <w:pBdr>
          <w:top w:val="single" w:sz="4" w:space="1" w:color="auto"/>
          <w:left w:val="single" w:sz="4" w:space="4" w:color="auto"/>
          <w:bottom w:val="single" w:sz="4" w:space="1" w:color="auto"/>
          <w:right w:val="single" w:sz="4" w:space="4" w:color="auto"/>
        </w:pBdr>
        <w:spacing w:after="0"/>
      </w:pPr>
      <w:r>
        <w:t xml:space="preserve">The most recent annual performance statement can be found at: </w:t>
      </w:r>
    </w:p>
    <w:p w:rsidR="00285C26" w:rsidRPr="00FD26B4" w:rsidRDefault="00BA7A7F" w:rsidP="00B152E4">
      <w:pPr>
        <w:pBdr>
          <w:top w:val="single" w:sz="4" w:space="1" w:color="auto"/>
          <w:left w:val="single" w:sz="4" w:space="4" w:color="auto"/>
          <w:bottom w:val="single" w:sz="4" w:space="1" w:color="auto"/>
          <w:right w:val="single" w:sz="4" w:space="4" w:color="auto"/>
        </w:pBdr>
      </w:pPr>
      <w:r>
        <w:t>https://www.aims.gov.au/docs/publications/annual-reports.html</w:t>
      </w:r>
    </w:p>
    <w:p w:rsidR="007D76B1" w:rsidRPr="00DF5ABC" w:rsidRDefault="00BA7A7F" w:rsidP="007D76B1">
      <w:pPr>
        <w:pStyle w:val="Heading3"/>
        <w:pageBreakBefore/>
        <w:rPr>
          <w:smallCaps w:val="0"/>
          <w:sz w:val="22"/>
          <w:szCs w:val="22"/>
        </w:rPr>
      </w:pPr>
      <w:bookmarkStart w:id="300" w:name="RG_MARKER_11711"/>
      <w:bookmarkStart w:id="301" w:name="RG_MARKER_11879"/>
      <w:bookmarkStart w:id="302" w:name="_Toc210703215_1"/>
      <w:bookmarkStart w:id="303" w:name="_Toc210698433_1"/>
      <w:bookmarkStart w:id="304" w:name="_Toc210646454_1"/>
      <w:bookmarkStart w:id="305" w:name="_Toc112137901_1"/>
      <w:bookmarkStart w:id="306" w:name="_Toc112137879_1"/>
      <w:bookmarkStart w:id="307" w:name="_Toc112212061_1"/>
      <w:bookmarkStart w:id="308" w:name="_Toc112211967_1"/>
      <w:bookmarkStart w:id="309" w:name="_Toc79467820_1"/>
      <w:bookmarkStart w:id="310" w:name="_Toc79406118_1"/>
      <w:bookmarkStart w:id="311" w:name="_Toc77998689_1"/>
      <w:bookmarkStart w:id="312" w:name="_Toc23563437_1"/>
      <w:bookmarkStart w:id="313" w:name="_Toc23560143_1"/>
      <w:bookmarkStart w:id="314" w:name="_Toc23559675_1"/>
      <w:bookmarkStart w:id="315" w:name="_Toc23559388_1"/>
      <w:bookmarkStart w:id="316" w:name="_Toc23559354_1"/>
      <w:bookmarkStart w:id="317" w:name="_Toc491773296_1"/>
      <w:bookmarkStart w:id="318" w:name="_Toc491771721_1"/>
      <w:bookmarkStart w:id="319" w:name="_Toc491032329_1"/>
      <w:bookmarkStart w:id="320" w:name="_Toc491032222_1"/>
      <w:bookmarkStart w:id="321" w:name="_Toc491032114_1"/>
      <w:bookmarkStart w:id="322" w:name="_Toc491031941_1"/>
      <w:bookmarkStart w:id="323" w:name="_Toc491031354_1"/>
      <w:bookmarkStart w:id="324" w:name="_Toc491030791_1"/>
      <w:bookmarkStart w:id="325" w:name="_Toc491030332_1"/>
      <w:bookmarkStart w:id="326" w:name="_Toc491029243_1"/>
      <w:bookmarkStart w:id="327" w:name="_Toc491015099_1"/>
      <w:bookmarkStart w:id="328" w:name="_Toc491014952_1"/>
      <w:bookmarkStart w:id="329" w:name="_Toc491014772_1"/>
      <w:bookmarkStart w:id="330" w:name="_Toc491014630_1"/>
      <w:bookmarkStart w:id="331" w:name="_Toc490972410_1"/>
      <w:bookmarkStart w:id="332" w:name="_Toc449255766_1"/>
      <w:bookmarkStart w:id="333" w:name="_Toc436625446_1"/>
      <w:bookmarkStart w:id="334" w:name="_Toc436624145_1"/>
      <w:r w:rsidRPr="00DF5ABC">
        <w:rPr>
          <w:smallCaps w:val="0"/>
          <w:sz w:val="22"/>
          <w:szCs w:val="22"/>
        </w:rPr>
        <w:t>2.1</w:t>
      </w:r>
      <w:bookmarkEnd w:id="300"/>
      <w:bookmarkEnd w:id="301"/>
      <w:r w:rsidRPr="00DF5ABC">
        <w:rPr>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253274" w:rsidTr="006D52DB">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rsidR="006D52DB" w:rsidRDefault="00BA7A7F" w:rsidP="005F7C1E">
            <w:pPr>
              <w:pStyle w:val="TableColumnHeadingLeft"/>
              <w:keepLines/>
            </w:pPr>
            <w:r>
              <w:rPr>
                <w:color w:val="000000"/>
              </w:rPr>
              <w:t>Outcome 1: Growth of knowledge to support protection and sustainable development of Austra</w:t>
            </w:r>
            <w:r w:rsidR="00335C23">
              <w:rPr>
                <w:color w:val="000000"/>
              </w:rPr>
              <w:t>lia’s marine resources through i</w:t>
            </w:r>
            <w:r>
              <w:rPr>
                <w:color w:val="000000"/>
              </w:rPr>
              <w:t>nnovative marine science and technology</w:t>
            </w:r>
          </w:p>
        </w:tc>
      </w:tr>
    </w:tbl>
    <w:p w:rsidR="006D52DB" w:rsidRPr="00DF5ABC" w:rsidRDefault="00BA7A7F" w:rsidP="006D52DB">
      <w:pPr>
        <w:pStyle w:val="Heading4"/>
        <w:rPr>
          <w:rFonts w:cs="Arial"/>
          <w:sz w:val="20"/>
        </w:rPr>
      </w:pPr>
      <w:r w:rsidRPr="00DF5ABC">
        <w:rPr>
          <w:rFonts w:cs="Arial"/>
          <w:sz w:val="20"/>
        </w:rPr>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253274" w:rsidTr="006D52DB">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rsidR="006D52DB" w:rsidRPr="00A06283" w:rsidRDefault="00BA7A7F">
            <w:pPr>
              <w:pStyle w:val="ExampleText0"/>
              <w:spacing w:before="60" w:after="60" w:line="240" w:lineRule="auto"/>
              <w:rPr>
                <w:i w:val="0"/>
                <w:color w:val="auto"/>
              </w:rPr>
            </w:pPr>
            <w:r w:rsidRPr="00A06283">
              <w:rPr>
                <w:rFonts w:eastAsia="Book Antiqua"/>
                <w:b/>
                <w:i w:val="0"/>
                <w:color w:val="auto"/>
                <w:lang w:val="en-US"/>
              </w:rPr>
              <w:t>Department of Industry, Science, Energy and Resource</w:t>
            </w:r>
            <w:r w:rsidR="00335C23" w:rsidRPr="00A06283">
              <w:rPr>
                <w:rFonts w:eastAsia="Book Antiqua"/>
                <w:b/>
                <w:i w:val="0"/>
                <w:color w:val="auto"/>
                <w:lang w:val="en-US"/>
              </w:rPr>
              <w:t>s</w:t>
            </w:r>
          </w:p>
        </w:tc>
      </w:tr>
      <w:tr w:rsidR="00253274" w:rsidTr="006D52DB">
        <w:trPr>
          <w:trHeight w:val="113"/>
        </w:trPr>
        <w:tc>
          <w:tcPr>
            <w:tcW w:w="7592" w:type="dxa"/>
            <w:tcBorders>
              <w:top w:val="dotted" w:sz="4" w:space="0" w:color="auto"/>
              <w:left w:val="single" w:sz="4" w:space="0" w:color="auto"/>
              <w:bottom w:val="single" w:sz="4" w:space="0" w:color="auto"/>
              <w:right w:val="single" w:sz="4" w:space="0" w:color="auto"/>
            </w:tcBorders>
            <w:hideMark/>
          </w:tcPr>
          <w:p w:rsidR="00816DA5" w:rsidRPr="00A06283" w:rsidRDefault="00BA7A7F" w:rsidP="00816DA5">
            <w:pPr>
              <w:spacing w:before="60" w:after="60" w:line="240" w:lineRule="auto"/>
              <w:rPr>
                <w:rStyle w:val="ExampletextCharChar"/>
                <w:b/>
                <w:i w:val="0"/>
                <w:color w:val="auto"/>
              </w:rPr>
            </w:pPr>
            <w:r>
              <w:rPr>
                <w:rStyle w:val="ExampletextCharChar"/>
                <w:b/>
                <w:i w:val="0"/>
                <w:color w:val="auto"/>
              </w:rPr>
              <w:t>Program</w:t>
            </w:r>
          </w:p>
          <w:p w:rsidR="006D52DB" w:rsidRPr="00A06283" w:rsidRDefault="00BA7A7F" w:rsidP="0016460C">
            <w:pPr>
              <w:keepLines w:val="0"/>
              <w:numPr>
                <w:ilvl w:val="0"/>
                <w:numId w:val="42"/>
              </w:numPr>
              <w:spacing w:before="60" w:after="60" w:line="240" w:lineRule="auto"/>
              <w:ind w:left="714" w:hanging="357"/>
              <w:rPr>
                <w:rStyle w:val="ExampletextCharChar"/>
                <w:i w:val="0"/>
                <w:color w:val="auto"/>
              </w:rPr>
            </w:pPr>
            <w:r w:rsidRPr="00A06283">
              <w:rPr>
                <w:rFonts w:eastAsia="Book Antiqua"/>
                <w:lang w:val="en-US"/>
              </w:rPr>
              <w:t>Program 1.1 – Investing in science, technology and commercialisation</w:t>
            </w:r>
          </w:p>
        </w:tc>
      </w:tr>
      <w:tr w:rsidR="00253274" w:rsidTr="006D52DB">
        <w:trPr>
          <w:trHeight w:val="113"/>
        </w:trPr>
        <w:tc>
          <w:tcPr>
            <w:tcW w:w="7592" w:type="dxa"/>
            <w:tcBorders>
              <w:top w:val="single" w:sz="4" w:space="0" w:color="auto"/>
              <w:left w:val="single" w:sz="4" w:space="0" w:color="auto"/>
              <w:bottom w:val="single" w:sz="4" w:space="0" w:color="auto"/>
              <w:right w:val="single" w:sz="4" w:space="0" w:color="auto"/>
            </w:tcBorders>
            <w:hideMark/>
          </w:tcPr>
          <w:p w:rsidR="00816DA5" w:rsidRPr="00A06283" w:rsidRDefault="00BA7A7F" w:rsidP="00335C23">
            <w:pPr>
              <w:spacing w:before="60" w:after="60" w:line="242" w:lineRule="exact"/>
              <w:textAlignment w:val="baseline"/>
              <w:rPr>
                <w:rFonts w:eastAsia="Book Antiqua"/>
                <w:b/>
              </w:rPr>
            </w:pPr>
            <w:r w:rsidRPr="00A06283">
              <w:rPr>
                <w:rFonts w:eastAsia="Book Antiqua"/>
                <w:b/>
                <w:lang w:val="en-US"/>
              </w:rPr>
              <w:t>Contribution to Outcome 1 made by linked program</w:t>
            </w:r>
          </w:p>
          <w:p w:rsidR="006D52DB" w:rsidRPr="00A06283" w:rsidRDefault="00BA7A7F" w:rsidP="00335C23">
            <w:pPr>
              <w:spacing w:before="60" w:after="60" w:line="240" w:lineRule="auto"/>
              <w:rPr>
                <w:rStyle w:val="ExampletextCharChar"/>
                <w:i w:val="0"/>
                <w:color w:val="auto"/>
              </w:rPr>
            </w:pPr>
            <w:r w:rsidRPr="00A06283">
              <w:rPr>
                <w:rFonts w:eastAsia="Book Antiqua"/>
                <w:lang w:val="en-US"/>
              </w:rPr>
              <w:t>The Department of Industry, Science, Energy and Resources contributes to Outcome 1 through its policies and programs supporting science and commercialisation.</w:t>
            </w:r>
          </w:p>
        </w:tc>
      </w:tr>
      <w:tr w:rsidR="00253274" w:rsidTr="006D52DB">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rsidR="006D52DB" w:rsidRPr="00A06283" w:rsidRDefault="00BA7A7F">
            <w:pPr>
              <w:pStyle w:val="ExampleText0"/>
              <w:spacing w:before="60" w:after="60" w:line="240" w:lineRule="auto"/>
              <w:rPr>
                <w:i w:val="0"/>
                <w:color w:val="auto"/>
              </w:rPr>
            </w:pPr>
            <w:r w:rsidRPr="00A06283">
              <w:rPr>
                <w:rFonts w:eastAsia="Book Antiqua"/>
                <w:b/>
                <w:i w:val="0"/>
                <w:color w:val="auto"/>
                <w:lang w:val="en-US"/>
              </w:rPr>
              <w:t>Department of Education, Skills and Employment</w:t>
            </w:r>
          </w:p>
        </w:tc>
      </w:tr>
      <w:tr w:rsidR="00253274" w:rsidTr="00407C91">
        <w:trPr>
          <w:trHeight w:val="113"/>
        </w:trPr>
        <w:tc>
          <w:tcPr>
            <w:tcW w:w="7592" w:type="dxa"/>
            <w:tcBorders>
              <w:top w:val="dotted" w:sz="4" w:space="0" w:color="auto"/>
              <w:left w:val="single" w:sz="4" w:space="0" w:color="auto"/>
              <w:bottom w:val="single" w:sz="4" w:space="0" w:color="auto"/>
              <w:right w:val="single" w:sz="4" w:space="0" w:color="auto"/>
            </w:tcBorders>
            <w:hideMark/>
          </w:tcPr>
          <w:p w:rsidR="00816DA5" w:rsidRPr="00A06283" w:rsidRDefault="00BA7A7F" w:rsidP="00816DA5">
            <w:pPr>
              <w:spacing w:before="60" w:after="60" w:line="240" w:lineRule="auto"/>
              <w:rPr>
                <w:rStyle w:val="ExampletextCharChar"/>
                <w:b/>
                <w:i w:val="0"/>
                <w:color w:val="auto"/>
              </w:rPr>
            </w:pPr>
            <w:r>
              <w:rPr>
                <w:rStyle w:val="ExampletextCharChar"/>
                <w:b/>
                <w:i w:val="0"/>
                <w:color w:val="auto"/>
              </w:rPr>
              <w:t>Program</w:t>
            </w:r>
          </w:p>
          <w:p w:rsidR="006D52DB" w:rsidRPr="00A06283" w:rsidRDefault="00BA7A7F" w:rsidP="0016460C">
            <w:pPr>
              <w:keepLines w:val="0"/>
              <w:numPr>
                <w:ilvl w:val="0"/>
                <w:numId w:val="42"/>
              </w:numPr>
              <w:spacing w:before="60" w:after="60" w:line="240" w:lineRule="auto"/>
              <w:ind w:left="714" w:hanging="357"/>
              <w:rPr>
                <w:rStyle w:val="ExampletextCharChar"/>
                <w:color w:val="auto"/>
              </w:rPr>
            </w:pPr>
            <w:r w:rsidRPr="00A06283">
              <w:rPr>
                <w:rFonts w:eastAsia="Book Antiqua"/>
                <w:lang w:val="en-US"/>
              </w:rPr>
              <w:t>Program 2.6 – Research Capacity</w:t>
            </w:r>
          </w:p>
        </w:tc>
      </w:tr>
      <w:tr w:rsidR="00253274" w:rsidTr="006D52DB">
        <w:trPr>
          <w:trHeight w:val="113"/>
        </w:trPr>
        <w:tc>
          <w:tcPr>
            <w:tcW w:w="7592" w:type="dxa"/>
            <w:tcBorders>
              <w:top w:val="single" w:sz="4" w:space="0" w:color="auto"/>
              <w:left w:val="single" w:sz="4" w:space="0" w:color="auto"/>
              <w:bottom w:val="single" w:sz="4" w:space="0" w:color="auto"/>
              <w:right w:val="single" w:sz="4" w:space="0" w:color="auto"/>
            </w:tcBorders>
            <w:hideMark/>
          </w:tcPr>
          <w:p w:rsidR="00816DA5" w:rsidRPr="00A06283" w:rsidRDefault="00BA7A7F" w:rsidP="00816DA5">
            <w:pPr>
              <w:spacing w:before="60" w:after="60" w:line="240" w:lineRule="auto"/>
              <w:rPr>
                <w:rStyle w:val="ExampletextCharChar"/>
                <w:b/>
                <w:i w:val="0"/>
                <w:color w:val="auto"/>
              </w:rPr>
            </w:pPr>
            <w:r w:rsidRPr="00A06283">
              <w:rPr>
                <w:rStyle w:val="ExampletextCharChar"/>
                <w:b/>
                <w:i w:val="0"/>
                <w:color w:val="auto"/>
              </w:rPr>
              <w:t>Contribution to Outcome 1 made by linked program</w:t>
            </w:r>
          </w:p>
          <w:p w:rsidR="006D52DB" w:rsidRPr="00A06283" w:rsidRDefault="00BA7A7F" w:rsidP="00816DA5">
            <w:pPr>
              <w:spacing w:before="60" w:after="60" w:line="240" w:lineRule="auto"/>
              <w:rPr>
                <w:rStyle w:val="ExampletextCharChar"/>
                <w:bCs/>
                <w:i w:val="0"/>
                <w:color w:val="auto"/>
              </w:rPr>
            </w:pPr>
            <w:r w:rsidRPr="00A06283">
              <w:rPr>
                <w:rFonts w:eastAsia="Book Antiqua"/>
                <w:lang w:val="en-US"/>
              </w:rPr>
              <w:t>The Department of Education, Skills and Employment contributes to Outcome 1 through its policies and programs to invest in Australia’s research capacity, including the National Collaborative Research Infrastructure Strategy.</w:t>
            </w:r>
          </w:p>
        </w:tc>
      </w:tr>
      <w:tr w:rsidR="00253274" w:rsidTr="006D52DB">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rsidR="006D52DB" w:rsidRPr="00A06283" w:rsidRDefault="00BA7A7F">
            <w:pPr>
              <w:pStyle w:val="ExampleText0"/>
              <w:spacing w:before="60" w:after="60" w:line="240" w:lineRule="auto"/>
              <w:rPr>
                <w:i w:val="0"/>
                <w:color w:val="auto"/>
              </w:rPr>
            </w:pPr>
            <w:r>
              <w:rPr>
                <w:rFonts w:eastAsia="Book Antiqua"/>
                <w:b/>
                <w:i w:val="0"/>
                <w:color w:val="auto"/>
                <w:lang w:val="en-US"/>
              </w:rPr>
              <w:t>Department of</w:t>
            </w:r>
            <w:r w:rsidRPr="00A06283">
              <w:rPr>
                <w:rFonts w:eastAsia="Book Antiqua"/>
                <w:b/>
                <w:i w:val="0"/>
                <w:color w:val="auto"/>
                <w:lang w:val="en-US"/>
              </w:rPr>
              <w:t xml:space="preserve"> Agriculture, Water and the Environment</w:t>
            </w:r>
          </w:p>
        </w:tc>
      </w:tr>
      <w:tr w:rsidR="00253274" w:rsidTr="006D52DB">
        <w:trPr>
          <w:trHeight w:val="113"/>
        </w:trPr>
        <w:tc>
          <w:tcPr>
            <w:tcW w:w="7592" w:type="dxa"/>
            <w:tcBorders>
              <w:top w:val="dotted" w:sz="4" w:space="0" w:color="auto"/>
              <w:left w:val="single" w:sz="4" w:space="0" w:color="auto"/>
              <w:bottom w:val="single" w:sz="4" w:space="0" w:color="auto"/>
              <w:right w:val="single" w:sz="4" w:space="0" w:color="auto"/>
            </w:tcBorders>
            <w:hideMark/>
          </w:tcPr>
          <w:p w:rsidR="00816DA5" w:rsidRPr="00A06283" w:rsidRDefault="00BA7A7F" w:rsidP="00816DA5">
            <w:pPr>
              <w:spacing w:before="60" w:after="60" w:line="240" w:lineRule="auto"/>
              <w:rPr>
                <w:rStyle w:val="ExampletextCharChar"/>
                <w:b/>
                <w:i w:val="0"/>
                <w:color w:val="auto"/>
              </w:rPr>
            </w:pPr>
            <w:r>
              <w:rPr>
                <w:rStyle w:val="ExampletextCharChar"/>
                <w:rFonts w:eastAsia="Book Antiqua"/>
                <w:b/>
                <w:i w:val="0"/>
                <w:color w:val="auto"/>
              </w:rPr>
              <w:t>Program</w:t>
            </w:r>
          </w:p>
          <w:p w:rsidR="006D52DB" w:rsidRPr="00A06283" w:rsidRDefault="00BA7A7F" w:rsidP="0016460C">
            <w:pPr>
              <w:keepLines w:val="0"/>
              <w:numPr>
                <w:ilvl w:val="0"/>
                <w:numId w:val="42"/>
              </w:numPr>
              <w:spacing w:before="60" w:after="60" w:line="240" w:lineRule="auto"/>
              <w:ind w:left="714" w:hanging="357"/>
              <w:rPr>
                <w:rStyle w:val="ExampletextCharChar"/>
                <w:i w:val="0"/>
                <w:color w:val="auto"/>
              </w:rPr>
            </w:pPr>
            <w:r w:rsidRPr="00A06283">
              <w:rPr>
                <w:rFonts w:eastAsia="Book Antiqua"/>
                <w:lang w:val="en-US"/>
              </w:rPr>
              <w:t xml:space="preserve">Program 1.1 – Sustainable Management of Natural Resources and the </w:t>
            </w:r>
            <w:r w:rsidRPr="00A06283">
              <w:rPr>
                <w:rFonts w:eastAsia="Book Antiqua"/>
                <w:lang w:val="en-US"/>
              </w:rPr>
              <w:br/>
              <w:t>Environment</w:t>
            </w:r>
          </w:p>
        </w:tc>
      </w:tr>
      <w:tr w:rsidR="00253274" w:rsidTr="006D52DB">
        <w:trPr>
          <w:trHeight w:val="113"/>
        </w:trPr>
        <w:tc>
          <w:tcPr>
            <w:tcW w:w="7592" w:type="dxa"/>
            <w:tcBorders>
              <w:top w:val="single" w:sz="4" w:space="0" w:color="auto"/>
              <w:left w:val="single" w:sz="4" w:space="0" w:color="auto"/>
              <w:bottom w:val="single" w:sz="4" w:space="0" w:color="auto"/>
              <w:right w:val="single" w:sz="4" w:space="0" w:color="auto"/>
            </w:tcBorders>
            <w:hideMark/>
          </w:tcPr>
          <w:p w:rsidR="00816DA5" w:rsidRPr="00A06283" w:rsidRDefault="00BA7A7F" w:rsidP="00816DA5">
            <w:pPr>
              <w:spacing w:before="60" w:after="60" w:line="240" w:lineRule="auto"/>
              <w:rPr>
                <w:rStyle w:val="ExampletextCharChar"/>
                <w:b/>
                <w:i w:val="0"/>
                <w:color w:val="auto"/>
              </w:rPr>
            </w:pPr>
            <w:r w:rsidRPr="00A06283">
              <w:rPr>
                <w:rStyle w:val="ExampletextCharChar"/>
                <w:rFonts w:eastAsia="Book Antiqua"/>
                <w:b/>
                <w:i w:val="0"/>
                <w:color w:val="auto"/>
              </w:rPr>
              <w:t>Contribution to Outcome 1 made by linked program</w:t>
            </w:r>
          </w:p>
          <w:p w:rsidR="006D52DB" w:rsidRPr="00A06283" w:rsidRDefault="00BA7A7F" w:rsidP="00816DA5">
            <w:pPr>
              <w:spacing w:before="60" w:after="60" w:line="240" w:lineRule="auto"/>
              <w:rPr>
                <w:rStyle w:val="ExampletextCharChar"/>
                <w:color w:val="auto"/>
              </w:rPr>
            </w:pPr>
            <w:r w:rsidRPr="00A06283">
              <w:rPr>
                <w:rFonts w:eastAsia="Book Antiqua"/>
                <w:lang w:val="en-US"/>
              </w:rPr>
              <w:t xml:space="preserve">The </w:t>
            </w:r>
            <w:r w:rsidR="00407C91" w:rsidRPr="00A06283">
              <w:rPr>
                <w:rFonts w:eastAsia="Book Antiqua"/>
                <w:lang w:val="en-US"/>
              </w:rPr>
              <w:t>Department of</w:t>
            </w:r>
            <w:r w:rsidRPr="00A06283">
              <w:rPr>
                <w:rFonts w:eastAsia="Book Antiqua"/>
                <w:lang w:val="en-US"/>
              </w:rPr>
              <w:t xml:space="preserve"> Agriculture, Water and the Environment, Great Barrier Reef Marine Park Authority and AIMS are partners in the implementation of the Reef 2050 Plan to protect and conserve the Great Barrier Reef.</w:t>
            </w:r>
          </w:p>
        </w:tc>
      </w:tr>
    </w:tbl>
    <w:p w:rsidR="005F3932" w:rsidRPr="00675B0E" w:rsidRDefault="005F3932" w:rsidP="00675B0E">
      <w:pPr>
        <w:keepLines w:val="0"/>
        <w:spacing w:after="200" w:line="276" w:lineRule="auto"/>
        <w:jc w:val="left"/>
        <w:rPr>
          <w:rFonts w:ascii="Arial" w:hAnsi="Arial"/>
          <w:vanish/>
          <w:sz w:val="16"/>
        </w:rPr>
      </w:pPr>
    </w:p>
    <w:p w:rsidR="00DB22E9" w:rsidRDefault="00BA7A7F" w:rsidP="00DB22E9">
      <w:pPr>
        <w:pStyle w:val="Heading5"/>
        <w:pageBreakBefore/>
        <w:spacing w:before="0" w:after="120" w:line="240" w:lineRule="auto"/>
        <w:rPr>
          <w:rFonts w:ascii="Arial" w:hAnsi="Arial" w:cs="Arial"/>
          <w:b/>
          <w:color w:val="000000"/>
        </w:rPr>
      </w:pPr>
      <w:bookmarkStart w:id="335" w:name="RG_MARKER_12329"/>
      <w:r>
        <w:rPr>
          <w:rFonts w:ascii="Arial" w:hAnsi="Arial" w:cs="Arial"/>
          <w:b/>
          <w:color w:val="000000"/>
        </w:rPr>
        <w:t>Budgeted expenses for Outcome 1</w:t>
      </w:r>
      <w:bookmarkEnd w:id="335"/>
    </w:p>
    <w:p w:rsidR="00661BDF" w:rsidRDefault="00BA7A7F" w:rsidP="00661BDF">
      <w:r>
        <w:t>This table shows how much AIMS intends to spend (on an accrual basis) on achieving the outcome, broken down by program, as well as by departmental funding sources.</w:t>
      </w:r>
    </w:p>
    <w:p w:rsidR="00661BDF" w:rsidRDefault="00BA7A7F" w:rsidP="00661BDF">
      <w:pPr>
        <w:spacing w:after="20" w:line="240" w:lineRule="auto"/>
        <w:rPr>
          <w:rFonts w:ascii="Arial" w:hAnsi="Arial" w:cs="Arial"/>
          <w:b/>
        </w:rPr>
      </w:pPr>
      <w:r>
        <w:rPr>
          <w:rFonts w:ascii="Arial" w:hAnsi="Arial" w:cs="Arial"/>
          <w:b/>
        </w:rPr>
        <w:t>Table 2.1.1: Budgeted expenses for Outcome 1</w:t>
      </w:r>
    </w:p>
    <w:tbl>
      <w:tblPr>
        <w:tblStyle w:val="CDMRange1"/>
        <w:tblW w:w="7650" w:type="dxa"/>
        <w:tblLayout w:type="fixed"/>
        <w:tblLook w:val="0600" w:firstRow="0" w:lastRow="0" w:firstColumn="0" w:lastColumn="0" w:noHBand="1" w:noVBand="1"/>
      </w:tblPr>
      <w:tblGrid>
        <w:gridCol w:w="3300"/>
        <w:gridCol w:w="870"/>
        <w:gridCol w:w="870"/>
        <w:gridCol w:w="870"/>
        <w:gridCol w:w="870"/>
        <w:gridCol w:w="870"/>
      </w:tblGrid>
      <w:tr w:rsidR="00253274">
        <w:trPr>
          <w:trHeight w:val="540"/>
        </w:trPr>
        <w:tc>
          <w:tcPr>
            <w:tcW w:w="7650"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Outcome 1: </w:t>
            </w:r>
            <w:r>
              <w:rPr>
                <w:rFonts w:ascii="Arial" w:eastAsia="Arial" w:hAnsi="Arial" w:cs="Arial"/>
                <w:color w:val="000000"/>
                <w:sz w:val="16"/>
              </w:rPr>
              <w:t>Growth of knowledge to support protection and sustainable development of Australia's marine resources through innovative marine science and technology</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5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Program 1.1: Marine Research</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49,548</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59,193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60,172</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48,843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49,462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5,464</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6,663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7,014</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13,736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13,410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36,729</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41,967</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32,503</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36,391</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37,451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91,741</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107,823</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99,689</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98,970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100,323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5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49,548</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59,193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60,172</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48,843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49,462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5,464</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6,663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7,014</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13,736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13,410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36,729</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41,967</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32,503</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36,391</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37,451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91,741</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107,823</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99,689</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98,970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100,323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4"/>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273</w:t>
            </w:r>
          </w:p>
        </w:tc>
        <w:tc>
          <w:tcPr>
            <w:tcW w:w="87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bl>
    <w:p w:rsidR="007E6680" w:rsidRDefault="00BA7A7F" w:rsidP="002435FC">
      <w:pPr>
        <w:numPr>
          <w:ilvl w:val="0"/>
          <w:numId w:val="43"/>
        </w:numPr>
        <w:tabs>
          <w:tab w:val="left" w:pos="142"/>
        </w:tabs>
        <w:spacing w:after="0" w:line="240" w:lineRule="auto"/>
        <w:rPr>
          <w:rFonts w:ascii="Arial" w:eastAsia="Calibri" w:hAnsi="Arial" w:cs="Arial"/>
          <w:sz w:val="16"/>
          <w:szCs w:val="16"/>
          <w:bdr w:val="none" w:sz="0" w:space="0" w:color="auto" w:frame="1"/>
          <w:lang w:eastAsia="en-US"/>
        </w:rPr>
      </w:pPr>
      <w:r w:rsidRPr="00915FB8">
        <w:rPr>
          <w:rFonts w:ascii="Arial" w:eastAsia="Calibri" w:hAnsi="Arial" w:cs="Arial"/>
          <w:sz w:val="16"/>
          <w:szCs w:val="16"/>
          <w:bdr w:val="none" w:sz="0" w:space="0" w:color="auto" w:frame="1"/>
          <w:lang w:eastAsia="en-US"/>
        </w:rPr>
        <w:t>Expenses not requiring appropriation in the Budget year are made up depreciation / amortisation expenses and other</w:t>
      </w:r>
      <w:r>
        <w:rPr>
          <w:rFonts w:ascii="Arial" w:eastAsia="Calibri" w:hAnsi="Arial" w:cs="Arial"/>
          <w:sz w:val="16"/>
          <w:szCs w:val="16"/>
          <w:bdr w:val="none" w:sz="0" w:space="0" w:color="auto" w:frame="1"/>
          <w:lang w:eastAsia="en-US"/>
        </w:rPr>
        <w:t xml:space="preserve"> expenses not requiring an appropriation.</w:t>
      </w:r>
    </w:p>
    <w:p w:rsidR="004778BF" w:rsidRPr="004778BF" w:rsidRDefault="00BA7A7F" w:rsidP="004778BF">
      <w:pPr>
        <w:tabs>
          <w:tab w:val="left" w:pos="142"/>
        </w:tabs>
        <w:spacing w:before="40" w:after="0" w:line="240" w:lineRule="auto"/>
        <w:rPr>
          <w:rFonts w:ascii="Arial" w:eastAsia="Calibri" w:hAnsi="Arial" w:cs="Arial"/>
          <w:sz w:val="16"/>
          <w:szCs w:val="16"/>
          <w:bdr w:val="none" w:sz="0" w:space="0" w:color="auto" w:frame="1"/>
          <w:lang w:eastAsia="en-US"/>
        </w:rPr>
      </w:pPr>
      <w:r w:rsidRPr="004778BF">
        <w:rPr>
          <w:rFonts w:ascii="Arial" w:eastAsia="Calibri" w:hAnsi="Arial" w:cs="Arial"/>
          <w:sz w:val="16"/>
          <w:szCs w:val="16"/>
          <w:bdr w:val="none" w:sz="0" w:space="0" w:color="auto" w:frame="1"/>
          <w:lang w:eastAsia="en-US"/>
        </w:rPr>
        <w:t>Note: Departmental appropriation splits and totals are indicative estimates and may change in the course of the budget year as government priorities change.</w:t>
      </w:r>
    </w:p>
    <w:p w:rsidR="004778BF" w:rsidRPr="00915FB8" w:rsidRDefault="004778BF" w:rsidP="004778BF">
      <w:pPr>
        <w:tabs>
          <w:tab w:val="left" w:pos="142"/>
        </w:tabs>
        <w:spacing w:after="0" w:line="240" w:lineRule="auto"/>
        <w:rPr>
          <w:rFonts w:ascii="Arial" w:eastAsia="Calibri" w:hAnsi="Arial" w:cs="Arial"/>
          <w:sz w:val="16"/>
          <w:szCs w:val="16"/>
          <w:bdr w:val="none" w:sz="0" w:space="0" w:color="auto" w:frame="1"/>
          <w:lang w:eastAsia="en-US"/>
        </w:rPr>
      </w:pPr>
    </w:p>
    <w:p w:rsidR="00D86095" w:rsidRDefault="00BA7A7F" w:rsidP="006634E3">
      <w:pPr>
        <w:pStyle w:val="TableHeading"/>
        <w:keepLines/>
        <w:pageBreakBefore/>
        <w:spacing w:before="0"/>
      </w:pPr>
      <w:bookmarkStart w:id="336" w:name="RG_MARKER_12211"/>
      <w:r w:rsidRPr="002E3447">
        <w:t>Table 2.1</w:t>
      </w:r>
      <w:bookmarkEnd w:id="336"/>
      <w:r>
        <w:t>.2</w:t>
      </w:r>
      <w:r w:rsidRPr="002E3447">
        <w:t xml:space="preserve">: </w:t>
      </w:r>
      <w:r>
        <w:t xml:space="preserve">Performance measure for </w:t>
      </w:r>
      <w:r w:rsidRPr="002E3447">
        <w:t>Outcome 1</w:t>
      </w:r>
    </w:p>
    <w:p w:rsidR="00C83DC3" w:rsidRDefault="00BA7A7F" w:rsidP="00C83DC3">
      <w: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53274" w:rsidTr="001E4741">
        <w:trPr>
          <w:trHeight w:val="569"/>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C83DC3" w:rsidRDefault="00BA7A7F">
            <w:pPr>
              <w:pStyle w:val="TableColumnHeadingLeft"/>
              <w:keepLines/>
            </w:pPr>
            <w:r>
              <w:rPr>
                <w:rStyle w:val="TableHeadingChar"/>
                <w:b/>
                <w:color w:val="000000"/>
              </w:rPr>
              <w:t>Outcome 1</w:t>
            </w:r>
            <w:r>
              <w:rPr>
                <w:color w:val="000000"/>
                <w:lang w:val="x-none"/>
              </w:rPr>
              <w:t xml:space="preserve"> </w:t>
            </w:r>
            <w:r>
              <w:rPr>
                <w:bCs/>
                <w:color w:val="000000"/>
              </w:rPr>
              <w:t xml:space="preserve">– </w:t>
            </w:r>
            <w:r>
              <w:rPr>
                <w:bCs/>
                <w:iCs/>
                <w:color w:val="000000"/>
              </w:rPr>
              <w:t>Growth of knowledge to support protection and sustainable development of Australia’s marine resources through innovative marine science and technology</w:t>
            </w:r>
          </w:p>
        </w:tc>
      </w:tr>
      <w:tr w:rsidR="00253274" w:rsidTr="001E4741">
        <w:trPr>
          <w:trHeight w:val="522"/>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C83DC3" w:rsidRPr="0001270B" w:rsidRDefault="00BA7A7F">
            <w:pPr>
              <w:tabs>
                <w:tab w:val="left" w:pos="709"/>
              </w:tabs>
              <w:spacing w:before="60" w:after="60" w:line="240" w:lineRule="auto"/>
              <w:jc w:val="left"/>
              <w:rPr>
                <w:rFonts w:ascii="Arial" w:hAnsi="Arial" w:cs="Arial"/>
                <w:b/>
                <w:sz w:val="18"/>
                <w:szCs w:val="18"/>
              </w:rPr>
            </w:pPr>
            <w:r w:rsidRPr="0001270B">
              <w:rPr>
                <w:rFonts w:ascii="Arial" w:hAnsi="Arial" w:cs="Arial"/>
                <w:b/>
                <w:sz w:val="18"/>
                <w:szCs w:val="18"/>
              </w:rPr>
              <w:t>Program 1 – Marine Research</w:t>
            </w:r>
          </w:p>
          <w:p w:rsidR="00C83DC3" w:rsidRDefault="00BA7A7F">
            <w:pPr>
              <w:pStyle w:val="TableTextLeft"/>
              <w:rPr>
                <w:rFonts w:eastAsia="Calibri" w:cs="Times New Roman"/>
                <w:bCs/>
                <w:szCs w:val="20"/>
              </w:rPr>
            </w:pPr>
            <w:r>
              <w:rPr>
                <w:rFonts w:eastAsia="Calibri"/>
                <w:bCs/>
                <w:sz w:val="16"/>
                <w:szCs w:val="16"/>
              </w:rPr>
              <w:t>This program contributes to the outcome by providing research services focused on supporting the sustainable development of Australia’s marine estate by industry, while ensuring the protection of high value marine and coastal ecosystems through effective environmental management. The program delivers knowledge to a broad range of stakeholders including relevant Australian Government and state/territory government ministers, departments and agencies, marine industries particularly within the oil and gas, port and tourism sectors, domestic and international science communities, traditional owners and the public.</w:t>
            </w:r>
          </w:p>
        </w:tc>
      </w:tr>
      <w:tr w:rsidR="00253274" w:rsidTr="001E4741">
        <w:trPr>
          <w:trHeight w:val="694"/>
        </w:trPr>
        <w:tc>
          <w:tcPr>
            <w:tcW w:w="1560" w:type="dxa"/>
            <w:tcBorders>
              <w:top w:val="single" w:sz="4" w:space="0" w:color="auto"/>
              <w:left w:val="single" w:sz="4" w:space="0" w:color="auto"/>
              <w:bottom w:val="double" w:sz="4" w:space="0" w:color="auto"/>
              <w:right w:val="single" w:sz="4" w:space="0" w:color="auto"/>
            </w:tcBorders>
            <w:hideMark/>
          </w:tcPr>
          <w:p w:rsidR="00C83DC3" w:rsidRDefault="00BA7A7F" w:rsidP="00C83DC3">
            <w:pPr>
              <w:tabs>
                <w:tab w:val="left" w:pos="709"/>
              </w:tabs>
              <w:spacing w:before="60"/>
              <w:rPr>
                <w:rFonts w:ascii="Arial" w:hAnsi="Arial" w:cs="Arial"/>
                <w:b/>
                <w:sz w:val="16"/>
                <w:szCs w:val="16"/>
              </w:rPr>
            </w:pPr>
            <w:r>
              <w:rPr>
                <w:rFonts w:ascii="Arial" w:hAnsi="Arial" w:cs="Arial"/>
                <w:b/>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rsidR="00C83DC3" w:rsidRDefault="00BA7A7F">
            <w:pPr>
              <w:spacing w:before="60" w:after="60" w:line="240" w:lineRule="auto"/>
              <w:jc w:val="left"/>
              <w:textAlignment w:val="baseline"/>
              <w:rPr>
                <w:rFonts w:ascii="Arial" w:eastAsia="Arial" w:hAnsi="Arial"/>
                <w:sz w:val="16"/>
                <w:bdr w:val="none" w:sz="0" w:space="0" w:color="auto" w:frame="1"/>
              </w:rPr>
            </w:pPr>
            <w:r>
              <w:rPr>
                <w:rFonts w:ascii="Arial" w:eastAsia="Arial" w:hAnsi="Arial"/>
                <w:sz w:val="16"/>
                <w:bdr w:val="none" w:sz="0" w:space="0" w:color="auto" w:frame="1"/>
                <w:lang w:val="en-US"/>
              </w:rPr>
              <w:t>AIMS delivers Program 1 by providing:</w:t>
            </w:r>
          </w:p>
          <w:p w:rsidR="00C83DC3" w:rsidRDefault="00BA7A7F" w:rsidP="00C83DC3">
            <w:pPr>
              <w:pStyle w:val="ListParagraph"/>
              <w:numPr>
                <w:ilvl w:val="0"/>
                <w:numId w:val="44"/>
              </w:numPr>
              <w:tabs>
                <w:tab w:val="left" w:pos="709"/>
              </w:tabs>
              <w:spacing w:before="60" w:after="60" w:line="240" w:lineRule="auto"/>
              <w:ind w:left="212" w:hanging="212"/>
              <w:jc w:val="left"/>
              <w:rPr>
                <w:rFonts w:eastAsia="Calibri" w:cs="Arial"/>
                <w:iCs/>
                <w:sz w:val="16"/>
                <w:szCs w:val="16"/>
                <w:lang w:val="en-AU"/>
              </w:rPr>
            </w:pPr>
            <w:r>
              <w:rPr>
                <w:rFonts w:ascii="Arial" w:eastAsia="Times New Roman" w:hAnsi="Arial" w:cs="Arial"/>
                <w:iCs/>
                <w:sz w:val="16"/>
                <w:szCs w:val="16"/>
                <w:lang w:val="en-AU"/>
              </w:rPr>
              <w:t>B</w:t>
            </w:r>
            <w:r w:rsidR="003C3C11">
              <w:rPr>
                <w:rFonts w:ascii="Arial" w:eastAsia="Times New Roman" w:hAnsi="Arial" w:cs="Arial"/>
                <w:iCs/>
                <w:sz w:val="16"/>
                <w:szCs w:val="16"/>
                <w:lang w:val="en-AU"/>
              </w:rPr>
              <w:t>aseline, status and trend data that are the trusted information base for stakeholder decisions</w:t>
            </w:r>
            <w:r>
              <w:rPr>
                <w:rFonts w:ascii="Arial" w:eastAsia="Times New Roman" w:hAnsi="Arial" w:cs="Arial"/>
                <w:iCs/>
                <w:sz w:val="16"/>
                <w:szCs w:val="16"/>
                <w:lang w:val="en-AU"/>
              </w:rPr>
              <w:t>.</w:t>
            </w:r>
          </w:p>
          <w:p w:rsidR="00C83DC3" w:rsidRDefault="00BA7A7F" w:rsidP="00C83DC3">
            <w:pPr>
              <w:pStyle w:val="ListParagraph"/>
              <w:numPr>
                <w:ilvl w:val="0"/>
                <w:numId w:val="44"/>
              </w:numPr>
              <w:tabs>
                <w:tab w:val="left" w:pos="709"/>
              </w:tabs>
              <w:spacing w:before="60" w:after="60" w:line="240" w:lineRule="auto"/>
              <w:ind w:left="212" w:hanging="212"/>
              <w:jc w:val="left"/>
              <w:rPr>
                <w:rFonts w:eastAsia="Times New Roman" w:cs="Arial"/>
                <w:iCs/>
                <w:sz w:val="16"/>
                <w:szCs w:val="16"/>
                <w:lang w:val="en-AU"/>
              </w:rPr>
            </w:pPr>
            <w:r>
              <w:rPr>
                <w:rFonts w:ascii="Arial" w:eastAsia="Times New Roman" w:hAnsi="Arial" w:cs="Arial"/>
                <w:iCs/>
                <w:sz w:val="16"/>
                <w:szCs w:val="16"/>
                <w:lang w:val="en-AU"/>
              </w:rPr>
              <w:t>M</w:t>
            </w:r>
            <w:r w:rsidR="003C3C11">
              <w:rPr>
                <w:rFonts w:ascii="Arial" w:eastAsia="Times New Roman" w:hAnsi="Arial" w:cs="Arial"/>
                <w:iCs/>
                <w:sz w:val="16"/>
                <w:szCs w:val="16"/>
                <w:lang w:val="en-AU"/>
              </w:rPr>
              <w:t>ore information for stakeholders produced through autonomous and automated technologies and processes</w:t>
            </w:r>
            <w:r>
              <w:rPr>
                <w:rFonts w:ascii="Arial" w:eastAsia="Times New Roman" w:hAnsi="Arial" w:cs="Arial"/>
                <w:iCs/>
                <w:sz w:val="16"/>
                <w:szCs w:val="16"/>
                <w:lang w:val="en-AU"/>
              </w:rPr>
              <w:t>.</w:t>
            </w:r>
          </w:p>
          <w:p w:rsidR="00C83DC3" w:rsidRDefault="00BA7A7F" w:rsidP="00C83DC3">
            <w:pPr>
              <w:pStyle w:val="ListParagraph"/>
              <w:numPr>
                <w:ilvl w:val="0"/>
                <w:numId w:val="44"/>
              </w:numPr>
              <w:tabs>
                <w:tab w:val="left" w:pos="709"/>
              </w:tabs>
              <w:spacing w:before="60" w:after="60" w:line="240" w:lineRule="auto"/>
              <w:ind w:left="212" w:hanging="212"/>
              <w:jc w:val="left"/>
              <w:rPr>
                <w:rFonts w:eastAsia="Times New Roman" w:cs="Arial"/>
                <w:iCs/>
                <w:sz w:val="16"/>
                <w:szCs w:val="16"/>
                <w:lang w:val="en-AU"/>
              </w:rPr>
            </w:pPr>
            <w:r>
              <w:rPr>
                <w:rFonts w:ascii="Arial" w:eastAsia="Times New Roman" w:hAnsi="Arial" w:cs="Arial"/>
                <w:iCs/>
                <w:sz w:val="16"/>
                <w:szCs w:val="16"/>
                <w:lang w:val="en-AU"/>
              </w:rPr>
              <w:t>S</w:t>
            </w:r>
            <w:r w:rsidR="003C3C11">
              <w:rPr>
                <w:rFonts w:ascii="Arial" w:eastAsia="Times New Roman" w:hAnsi="Arial" w:cs="Arial"/>
                <w:iCs/>
                <w:sz w:val="16"/>
                <w:szCs w:val="16"/>
                <w:lang w:val="en-AU"/>
              </w:rPr>
              <w:t>cience that underpins conservation and management of threatened and endangered marine species</w:t>
            </w:r>
            <w:r>
              <w:rPr>
                <w:rFonts w:ascii="Arial" w:eastAsia="Times New Roman" w:hAnsi="Arial" w:cs="Arial"/>
                <w:iCs/>
                <w:sz w:val="16"/>
                <w:szCs w:val="16"/>
                <w:lang w:val="en-AU"/>
              </w:rPr>
              <w:t>.</w:t>
            </w:r>
          </w:p>
          <w:p w:rsidR="00C83DC3" w:rsidRDefault="00BA7A7F" w:rsidP="00C83DC3">
            <w:pPr>
              <w:pStyle w:val="ListParagraph"/>
              <w:numPr>
                <w:ilvl w:val="0"/>
                <w:numId w:val="44"/>
              </w:numPr>
              <w:tabs>
                <w:tab w:val="left" w:pos="709"/>
              </w:tabs>
              <w:spacing w:before="60" w:after="60" w:line="240" w:lineRule="auto"/>
              <w:ind w:left="212" w:hanging="212"/>
              <w:jc w:val="left"/>
              <w:rPr>
                <w:rFonts w:eastAsia="Times New Roman" w:cs="Arial"/>
                <w:iCs/>
                <w:sz w:val="16"/>
                <w:szCs w:val="16"/>
                <w:lang w:val="en-AU"/>
              </w:rPr>
            </w:pPr>
            <w:r>
              <w:rPr>
                <w:rFonts w:ascii="Arial" w:eastAsia="Times New Roman" w:hAnsi="Arial" w:cs="Arial"/>
                <w:iCs/>
                <w:sz w:val="16"/>
                <w:szCs w:val="16"/>
                <w:lang w:val="en-AU"/>
              </w:rPr>
              <w:t>M</w:t>
            </w:r>
            <w:r w:rsidR="003C3C11">
              <w:rPr>
                <w:rFonts w:ascii="Arial" w:eastAsia="Times New Roman" w:hAnsi="Arial" w:cs="Arial"/>
                <w:iCs/>
                <w:sz w:val="16"/>
                <w:szCs w:val="16"/>
                <w:lang w:val="en-AU"/>
              </w:rPr>
              <w:t>odels of environmental condition and function that are used to manage tropical marine ecosystems</w:t>
            </w:r>
            <w:r>
              <w:rPr>
                <w:rFonts w:ascii="Arial" w:eastAsia="Times New Roman" w:hAnsi="Arial" w:cs="Arial"/>
                <w:iCs/>
                <w:sz w:val="16"/>
                <w:szCs w:val="16"/>
                <w:lang w:val="en-AU"/>
              </w:rPr>
              <w:t>.</w:t>
            </w:r>
          </w:p>
          <w:p w:rsidR="00C83DC3" w:rsidRDefault="00BA7A7F" w:rsidP="00C83DC3">
            <w:pPr>
              <w:pStyle w:val="ListParagraph"/>
              <w:numPr>
                <w:ilvl w:val="0"/>
                <w:numId w:val="44"/>
              </w:numPr>
              <w:tabs>
                <w:tab w:val="left" w:pos="709"/>
              </w:tabs>
              <w:spacing w:before="60" w:after="60" w:line="240" w:lineRule="auto"/>
              <w:ind w:left="212" w:hanging="212"/>
              <w:jc w:val="left"/>
              <w:rPr>
                <w:rFonts w:eastAsia="Times New Roman" w:cs="Arial"/>
                <w:iCs/>
                <w:sz w:val="16"/>
                <w:szCs w:val="16"/>
                <w:lang w:val="en-AU"/>
              </w:rPr>
            </w:pPr>
            <w:r>
              <w:rPr>
                <w:rFonts w:ascii="Arial" w:eastAsia="Times New Roman" w:hAnsi="Arial" w:cs="Arial"/>
                <w:iCs/>
                <w:sz w:val="16"/>
                <w:szCs w:val="16"/>
                <w:lang w:val="en-AU"/>
              </w:rPr>
              <w:t>I</w:t>
            </w:r>
            <w:r w:rsidR="003C3C11">
              <w:rPr>
                <w:rFonts w:ascii="Arial" w:eastAsia="Times New Roman" w:hAnsi="Arial" w:cs="Arial"/>
                <w:iCs/>
                <w:sz w:val="16"/>
                <w:szCs w:val="16"/>
                <w:lang w:val="en-AU"/>
              </w:rPr>
              <w:t>mproved tropical marine ecosystem health via AIMS’ solutions that mitigate local, regional and cumulative pressures</w:t>
            </w:r>
            <w:r>
              <w:rPr>
                <w:rFonts w:ascii="Arial" w:eastAsia="Times New Roman" w:hAnsi="Arial" w:cs="Arial"/>
                <w:iCs/>
                <w:sz w:val="16"/>
                <w:szCs w:val="16"/>
                <w:lang w:val="en-AU"/>
              </w:rPr>
              <w:t>.</w:t>
            </w:r>
          </w:p>
          <w:p w:rsidR="00C83DC3" w:rsidRDefault="00BA7A7F" w:rsidP="00C83DC3">
            <w:pPr>
              <w:pStyle w:val="ListParagraph"/>
              <w:numPr>
                <w:ilvl w:val="0"/>
                <w:numId w:val="44"/>
              </w:numPr>
              <w:tabs>
                <w:tab w:val="left" w:pos="709"/>
              </w:tabs>
              <w:spacing w:before="60" w:after="60" w:line="240" w:lineRule="auto"/>
              <w:ind w:left="212" w:hanging="212"/>
              <w:jc w:val="left"/>
              <w:rPr>
                <w:rFonts w:eastAsia="Times New Roman" w:cs="Arial"/>
                <w:iCs/>
                <w:sz w:val="16"/>
                <w:szCs w:val="16"/>
                <w:lang w:val="en-AU"/>
              </w:rPr>
            </w:pPr>
            <w:r>
              <w:rPr>
                <w:rFonts w:ascii="Arial" w:eastAsia="Times New Roman" w:hAnsi="Arial" w:cs="Arial"/>
                <w:iCs/>
                <w:sz w:val="16"/>
                <w:szCs w:val="16"/>
                <w:lang w:val="en-AU"/>
              </w:rPr>
              <w:t>F</w:t>
            </w:r>
            <w:r w:rsidR="003C3C11">
              <w:rPr>
                <w:rFonts w:ascii="Arial" w:eastAsia="Times New Roman" w:hAnsi="Arial" w:cs="Arial"/>
                <w:iCs/>
                <w:sz w:val="16"/>
                <w:szCs w:val="16"/>
                <w:lang w:val="en-AU"/>
              </w:rPr>
              <w:t>uture coral reef condition forecasts based on knowledge of recovery, acclimatisation and adaptation</w:t>
            </w:r>
            <w:r>
              <w:rPr>
                <w:rFonts w:ascii="Arial" w:eastAsia="Times New Roman" w:hAnsi="Arial" w:cs="Arial"/>
                <w:iCs/>
                <w:sz w:val="16"/>
                <w:szCs w:val="16"/>
                <w:lang w:val="en-AU"/>
              </w:rPr>
              <w:t>.</w:t>
            </w:r>
          </w:p>
          <w:p w:rsidR="00C83DC3" w:rsidRDefault="00BA7A7F" w:rsidP="00C83DC3">
            <w:pPr>
              <w:pStyle w:val="ListParagraph"/>
              <w:numPr>
                <w:ilvl w:val="0"/>
                <w:numId w:val="44"/>
              </w:numPr>
              <w:tabs>
                <w:tab w:val="left" w:pos="709"/>
              </w:tabs>
              <w:spacing w:before="60" w:after="60" w:line="240" w:lineRule="auto"/>
              <w:ind w:left="212" w:hanging="212"/>
              <w:jc w:val="left"/>
              <w:rPr>
                <w:rFonts w:eastAsia="Times New Roman" w:cs="Arial"/>
                <w:iCs/>
                <w:sz w:val="16"/>
                <w:szCs w:val="16"/>
                <w:lang w:val="en-AU"/>
              </w:rPr>
            </w:pPr>
            <w:r>
              <w:rPr>
                <w:rFonts w:ascii="Arial" w:eastAsia="Times New Roman" w:hAnsi="Arial" w:cs="Arial"/>
                <w:iCs/>
                <w:sz w:val="16"/>
                <w:szCs w:val="16"/>
                <w:lang w:val="en-AU"/>
              </w:rPr>
              <w:t>R</w:t>
            </w:r>
            <w:r w:rsidR="003C3C11">
              <w:rPr>
                <w:rFonts w:ascii="Arial" w:eastAsia="Times New Roman" w:hAnsi="Arial" w:cs="Arial"/>
                <w:iCs/>
                <w:sz w:val="16"/>
                <w:szCs w:val="16"/>
                <w:lang w:val="en-AU"/>
              </w:rPr>
              <w:t>estoration science and scalable technologies that help coral reefs resist, adapt to, and recover from climate change impacts</w:t>
            </w:r>
            <w:r>
              <w:rPr>
                <w:rFonts w:ascii="Arial" w:eastAsia="Times New Roman" w:hAnsi="Arial" w:cs="Arial"/>
                <w:iCs/>
                <w:sz w:val="16"/>
                <w:szCs w:val="16"/>
                <w:lang w:val="en-AU"/>
              </w:rPr>
              <w:t>.</w:t>
            </w:r>
          </w:p>
          <w:p w:rsidR="00C83DC3" w:rsidRDefault="00BA7A7F" w:rsidP="00C83DC3">
            <w:pPr>
              <w:pStyle w:val="ListParagraph"/>
              <w:numPr>
                <w:ilvl w:val="0"/>
                <w:numId w:val="44"/>
              </w:numPr>
              <w:tabs>
                <w:tab w:val="left" w:pos="709"/>
              </w:tabs>
              <w:spacing w:before="60" w:after="60" w:line="240" w:lineRule="auto"/>
              <w:ind w:left="212" w:hanging="212"/>
              <w:jc w:val="left"/>
              <w:rPr>
                <w:rFonts w:eastAsia="Times New Roman" w:cs="Arial"/>
                <w:i/>
                <w:sz w:val="16"/>
                <w:szCs w:val="16"/>
                <w:lang w:val="en-AU"/>
              </w:rPr>
            </w:pPr>
            <w:r>
              <w:rPr>
                <w:rFonts w:ascii="Arial" w:eastAsia="Times New Roman" w:hAnsi="Arial" w:cs="Arial"/>
                <w:iCs/>
                <w:sz w:val="16"/>
                <w:szCs w:val="16"/>
                <w:lang w:val="en-AU"/>
              </w:rPr>
              <w:t>A</w:t>
            </w:r>
            <w:r w:rsidR="003C3C11">
              <w:rPr>
                <w:rFonts w:ascii="Arial" w:eastAsia="Times New Roman" w:hAnsi="Arial" w:cs="Arial"/>
                <w:iCs/>
                <w:sz w:val="16"/>
                <w:szCs w:val="16"/>
                <w:lang w:val="en-AU"/>
              </w:rPr>
              <w:t>dvanced data analysis workflows and knowledge delivery systems that improve stak</w:t>
            </w:r>
            <w:r>
              <w:rPr>
                <w:rFonts w:ascii="Arial" w:eastAsia="Times New Roman" w:hAnsi="Arial" w:cs="Arial"/>
                <w:iCs/>
                <w:sz w:val="16"/>
                <w:szCs w:val="16"/>
                <w:lang w:val="en-AU"/>
              </w:rPr>
              <w:t>eholder use of AIMS information.</w:t>
            </w:r>
          </w:p>
          <w:p w:rsidR="00C83DC3" w:rsidRDefault="00BA7A7F" w:rsidP="00C83DC3">
            <w:pPr>
              <w:pStyle w:val="ListParagraph"/>
              <w:numPr>
                <w:ilvl w:val="0"/>
                <w:numId w:val="44"/>
              </w:numPr>
              <w:tabs>
                <w:tab w:val="left" w:pos="709"/>
              </w:tabs>
              <w:spacing w:before="60" w:after="60" w:line="240" w:lineRule="auto"/>
              <w:ind w:left="212" w:hanging="212"/>
              <w:jc w:val="left"/>
              <w:rPr>
                <w:rFonts w:eastAsia="Times New Roman" w:cs="Arial"/>
                <w:i/>
                <w:sz w:val="16"/>
                <w:szCs w:val="16"/>
                <w:lang w:val="en-AU"/>
              </w:rPr>
            </w:pPr>
            <w:r>
              <w:rPr>
                <w:rFonts w:ascii="Arial" w:eastAsia="Times New Roman" w:hAnsi="Arial" w:cs="Arial"/>
                <w:iCs/>
                <w:sz w:val="16"/>
                <w:szCs w:val="16"/>
                <w:lang w:val="en-AU"/>
              </w:rPr>
              <w:t>D</w:t>
            </w:r>
            <w:r w:rsidR="003C3C11">
              <w:rPr>
                <w:rFonts w:ascii="Arial" w:eastAsia="Times New Roman" w:hAnsi="Arial" w:cs="Arial"/>
                <w:iCs/>
                <w:sz w:val="16"/>
                <w:szCs w:val="16"/>
                <w:lang w:val="en-AU"/>
              </w:rPr>
              <w:t>ecision support tools that are used by stakeholders for management decisions and policies</w:t>
            </w:r>
            <w:r>
              <w:rPr>
                <w:rFonts w:ascii="Arial" w:eastAsia="Times New Roman" w:hAnsi="Arial" w:cs="Arial"/>
                <w:iCs/>
                <w:sz w:val="16"/>
                <w:szCs w:val="16"/>
                <w:lang w:val="en-AU"/>
              </w:rPr>
              <w:t>.</w:t>
            </w:r>
          </w:p>
        </w:tc>
      </w:tr>
      <w:tr w:rsidR="00253274" w:rsidTr="001E4741">
        <w:trPr>
          <w:trHeight w:val="258"/>
        </w:trPr>
        <w:tc>
          <w:tcPr>
            <w:tcW w:w="1560" w:type="dxa"/>
            <w:tcBorders>
              <w:top w:val="double" w:sz="4" w:space="0" w:color="auto"/>
              <w:left w:val="single" w:sz="4" w:space="0" w:color="auto"/>
              <w:bottom w:val="single" w:sz="4" w:space="0" w:color="auto"/>
              <w:right w:val="single" w:sz="4" w:space="0" w:color="auto"/>
            </w:tcBorders>
          </w:tcPr>
          <w:p w:rsidR="00C83DC3" w:rsidRDefault="00BA7A7F">
            <w:pPr>
              <w:pStyle w:val="TableTextBase"/>
              <w:rPr>
                <w:rFonts w:eastAsia="Calibri"/>
                <w:b/>
                <w:sz w:val="16"/>
                <w:szCs w:val="16"/>
              </w:rPr>
            </w:pPr>
            <w:r>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C83DC3" w:rsidRDefault="00BA7A7F">
            <w:pPr>
              <w:pStyle w:val="TableTextBase"/>
              <w:rPr>
                <w:rFonts w:eastAsia="Calibri"/>
                <w:b/>
                <w:sz w:val="16"/>
                <w:szCs w:val="16"/>
              </w:rPr>
            </w:pPr>
            <w:r>
              <w:rPr>
                <w:rFonts w:eastAsia="Calibri"/>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C83DC3" w:rsidRDefault="00BA7A7F">
            <w:pPr>
              <w:pStyle w:val="TableTextBase"/>
              <w:rPr>
                <w:rFonts w:eastAsia="Calibri"/>
                <w:b/>
                <w:sz w:val="16"/>
                <w:szCs w:val="16"/>
              </w:rPr>
            </w:pPr>
            <w:r>
              <w:rPr>
                <w:rFonts w:eastAsia="Calibri"/>
                <w:b/>
                <w:sz w:val="16"/>
                <w:szCs w:val="16"/>
              </w:rPr>
              <w:t>Expected Performance Results</w:t>
            </w:r>
          </w:p>
        </w:tc>
      </w:tr>
      <w:tr w:rsidR="00253274" w:rsidTr="001E4741">
        <w:trPr>
          <w:trHeight w:val="642"/>
        </w:trPr>
        <w:tc>
          <w:tcPr>
            <w:tcW w:w="1560" w:type="dxa"/>
            <w:vMerge w:val="restart"/>
            <w:tcBorders>
              <w:top w:val="single" w:sz="4" w:space="0" w:color="auto"/>
              <w:left w:val="single" w:sz="4" w:space="0" w:color="auto"/>
              <w:bottom w:val="dotted" w:sz="4" w:space="0" w:color="auto"/>
              <w:right w:val="single" w:sz="4" w:space="0" w:color="auto"/>
            </w:tcBorders>
            <w:hideMark/>
          </w:tcPr>
          <w:p w:rsidR="00C83DC3" w:rsidRDefault="00BA7A7F">
            <w:pPr>
              <w:pStyle w:val="TableTextBase"/>
              <w:rPr>
                <w:rFonts w:eastAsia="Calibri"/>
                <w:sz w:val="16"/>
                <w:szCs w:val="16"/>
              </w:rPr>
            </w:pPr>
            <w:r>
              <w:rPr>
                <w:rFonts w:eastAsia="Calibri"/>
                <w:sz w:val="16"/>
                <w:szCs w:val="16"/>
              </w:rPr>
              <w:t xml:space="preserve">Current year </w:t>
            </w:r>
          </w:p>
          <w:p w:rsidR="00C83DC3" w:rsidRDefault="00BA7A7F">
            <w:pPr>
              <w:pStyle w:val="TableTextBase"/>
              <w:rPr>
                <w:rFonts w:eastAsia="Calibri"/>
                <w:sz w:val="16"/>
                <w:szCs w:val="16"/>
              </w:rPr>
            </w:pPr>
            <w:r>
              <w:rPr>
                <w:rFonts w:eastAsia="Calibri"/>
                <w:sz w:val="16"/>
                <w:szCs w:val="16"/>
              </w:rPr>
              <w:t>2021-22</w:t>
            </w:r>
          </w:p>
        </w:tc>
        <w:tc>
          <w:tcPr>
            <w:tcW w:w="3118" w:type="dxa"/>
            <w:tcBorders>
              <w:top w:val="single" w:sz="4" w:space="0" w:color="auto"/>
              <w:left w:val="single" w:sz="4" w:space="0" w:color="auto"/>
              <w:bottom w:val="dotted" w:sz="4" w:space="0" w:color="auto"/>
              <w:right w:val="single" w:sz="4" w:space="0" w:color="auto"/>
            </w:tcBorders>
            <w:hideMark/>
          </w:tcPr>
          <w:p w:rsidR="00C83DC3" w:rsidRDefault="00BA7A7F">
            <w:pPr>
              <w:pStyle w:val="TableTextBase"/>
              <w:rPr>
                <w:rFonts w:eastAsia="Calibri" w:cs="Times New Roman"/>
                <w:i/>
                <w:color w:val="0070C0"/>
                <w:sz w:val="16"/>
                <w:szCs w:val="16"/>
              </w:rPr>
            </w:pPr>
            <w:r>
              <w:rPr>
                <w:rFonts w:eastAsia="Calibri"/>
                <w:iCs/>
                <w:sz w:val="16"/>
                <w:szCs w:val="16"/>
              </w:rPr>
              <w:t>AIMS research creates a positive triple bottom line contribution (impact value) to Australia.</w:t>
            </w:r>
            <w:r>
              <w:rPr>
                <w:rFonts w:eastAsia="Calibri"/>
                <w:i/>
                <w:color w:val="0070C0"/>
                <w:sz w:val="16"/>
                <w:szCs w:val="16"/>
              </w:rPr>
              <w:t xml:space="preserve"> </w:t>
            </w:r>
          </w:p>
        </w:tc>
        <w:tc>
          <w:tcPr>
            <w:tcW w:w="3118" w:type="dxa"/>
            <w:tcBorders>
              <w:top w:val="single" w:sz="4" w:space="0" w:color="auto"/>
              <w:left w:val="single" w:sz="4" w:space="0" w:color="auto"/>
              <w:bottom w:val="dotted" w:sz="4" w:space="0" w:color="auto"/>
              <w:right w:val="single" w:sz="4" w:space="0" w:color="auto"/>
            </w:tcBorders>
            <w:hideMark/>
          </w:tcPr>
          <w:p w:rsidR="00C83DC3" w:rsidRDefault="00BA7A7F">
            <w:pPr>
              <w:pStyle w:val="TableTextBase"/>
              <w:rPr>
                <w:rFonts w:eastAsia="Calibri"/>
                <w:i/>
                <w:color w:val="0070C0"/>
                <w:sz w:val="16"/>
                <w:szCs w:val="16"/>
              </w:rPr>
            </w:pPr>
            <w:r>
              <w:rPr>
                <w:rFonts w:eastAsia="Calibri"/>
                <w:iCs/>
                <w:sz w:val="16"/>
                <w:szCs w:val="16"/>
                <w:bdr w:val="none" w:sz="0" w:space="0" w:color="auto" w:frame="1"/>
              </w:rPr>
              <w:t>Minimum 2 case studies.</w:t>
            </w:r>
          </w:p>
        </w:tc>
      </w:tr>
      <w:tr w:rsidR="00253274" w:rsidTr="001E4741">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3DC3" w:rsidRDefault="00C83DC3">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C83DC3" w:rsidRDefault="00BA7A7F">
            <w:pPr>
              <w:pStyle w:val="TableTextBase"/>
              <w:rPr>
                <w:rFonts w:eastAsia="Calibri"/>
                <w:b/>
                <w:sz w:val="16"/>
                <w:szCs w:val="16"/>
              </w:rPr>
            </w:pPr>
            <w:r>
              <w:rPr>
                <w:rFonts w:eastAsia="Calibri"/>
                <w:iCs/>
                <w:sz w:val="16"/>
                <w:szCs w:val="16"/>
              </w:rPr>
              <w:t>Deliver strategic and applied research and monitoring that addresses national research priorities and stakeholder needs.</w:t>
            </w:r>
          </w:p>
        </w:tc>
        <w:tc>
          <w:tcPr>
            <w:tcW w:w="3118" w:type="dxa"/>
            <w:tcBorders>
              <w:top w:val="single" w:sz="4" w:space="0" w:color="auto"/>
              <w:left w:val="single" w:sz="4" w:space="0" w:color="auto"/>
              <w:bottom w:val="single" w:sz="4" w:space="0" w:color="auto"/>
              <w:right w:val="single" w:sz="4" w:space="0" w:color="auto"/>
            </w:tcBorders>
            <w:hideMark/>
          </w:tcPr>
          <w:p w:rsidR="00C83DC3" w:rsidRDefault="00BA7A7F">
            <w:pPr>
              <w:pStyle w:val="TableTextBase"/>
              <w:rPr>
                <w:rFonts w:eastAsia="Calibri"/>
                <w:b/>
                <w:sz w:val="16"/>
                <w:szCs w:val="16"/>
              </w:rPr>
            </w:pPr>
            <w:r>
              <w:rPr>
                <w:rFonts w:eastAsia="Calibri"/>
                <w:iCs/>
                <w:sz w:val="16"/>
                <w:szCs w:val="16"/>
              </w:rPr>
              <w:t>Maintain or increase the amount of research commissioned by stakeholders.</w:t>
            </w:r>
          </w:p>
        </w:tc>
      </w:tr>
    </w:tbl>
    <w:p w:rsidR="00483830" w:rsidRDefault="00BA7A7F">
      <w: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53274" w:rsidTr="001E4741">
        <w:trPr>
          <w:trHeight w:val="100"/>
        </w:trPr>
        <w:tc>
          <w:tcPr>
            <w:tcW w:w="0" w:type="auto"/>
            <w:vMerge w:val="restart"/>
            <w:tcBorders>
              <w:top w:val="single" w:sz="4" w:space="0" w:color="auto"/>
              <w:left w:val="single" w:sz="4" w:space="0" w:color="auto"/>
              <w:bottom w:val="dotted" w:sz="4" w:space="0" w:color="auto"/>
              <w:right w:val="single" w:sz="4" w:space="0" w:color="auto"/>
            </w:tcBorders>
            <w:vAlign w:val="center"/>
            <w:hideMark/>
          </w:tcPr>
          <w:p w:rsidR="00C83DC3" w:rsidRDefault="00C83DC3">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C83DC3" w:rsidRDefault="00BA7A7F">
            <w:pPr>
              <w:pStyle w:val="TableTextBase"/>
              <w:rPr>
                <w:rFonts w:eastAsia="Calibri"/>
                <w:b/>
                <w:sz w:val="16"/>
                <w:szCs w:val="16"/>
              </w:rPr>
            </w:pPr>
            <w:r>
              <w:rPr>
                <w:rFonts w:eastAsia="Calibri"/>
                <w:iCs/>
                <w:sz w:val="16"/>
                <w:szCs w:val="16"/>
              </w:rPr>
              <w:t>Maintain or increase current standings for scientific excellence, innovation and impact.</w:t>
            </w:r>
          </w:p>
        </w:tc>
        <w:tc>
          <w:tcPr>
            <w:tcW w:w="3118" w:type="dxa"/>
            <w:tcBorders>
              <w:top w:val="single" w:sz="4" w:space="0" w:color="auto"/>
              <w:left w:val="single" w:sz="4" w:space="0" w:color="auto"/>
              <w:bottom w:val="dotted" w:sz="4" w:space="0" w:color="auto"/>
              <w:right w:val="single" w:sz="4" w:space="0" w:color="auto"/>
            </w:tcBorders>
            <w:hideMark/>
          </w:tcPr>
          <w:p w:rsidR="00C83DC3" w:rsidRDefault="00BA7A7F">
            <w:pPr>
              <w:pStyle w:val="TableTextBase"/>
              <w:rPr>
                <w:rFonts w:eastAsia="Calibri"/>
                <w:b/>
                <w:sz w:val="16"/>
                <w:szCs w:val="16"/>
              </w:rPr>
            </w:pPr>
            <w:r>
              <w:rPr>
                <w:rFonts w:eastAsia="Calibri"/>
                <w:iCs/>
                <w:sz w:val="16"/>
                <w:szCs w:val="16"/>
              </w:rPr>
              <w:t>Maintain acknowledged domestic and global high standing in relevant fields of research and confidence of key stakeholders in research outputs.</w:t>
            </w:r>
          </w:p>
        </w:tc>
      </w:tr>
      <w:tr w:rsidR="00253274" w:rsidTr="001E4741">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C83DC3" w:rsidRDefault="00C83DC3">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C83DC3" w:rsidRDefault="00BA7A7F">
            <w:pPr>
              <w:pStyle w:val="TableTextBase"/>
              <w:rPr>
                <w:rFonts w:eastAsia="Calibri"/>
                <w:b/>
                <w:sz w:val="16"/>
                <w:szCs w:val="16"/>
              </w:rPr>
            </w:pPr>
            <w:r>
              <w:rPr>
                <w:rFonts w:eastAsia="Calibri"/>
                <w:iCs/>
                <w:sz w:val="16"/>
                <w:szCs w:val="16"/>
              </w:rPr>
              <w:t>Deliver research advice and scientific products that are critical for stakeholders to assess the impacts of natural and human pressures on sensitive marine ecosystems.</w:t>
            </w:r>
          </w:p>
        </w:tc>
        <w:tc>
          <w:tcPr>
            <w:tcW w:w="3118" w:type="dxa"/>
            <w:tcBorders>
              <w:top w:val="single" w:sz="4" w:space="0" w:color="auto"/>
              <w:left w:val="single" w:sz="4" w:space="0" w:color="auto"/>
              <w:bottom w:val="dotted" w:sz="4" w:space="0" w:color="auto"/>
              <w:right w:val="single" w:sz="4" w:space="0" w:color="auto"/>
            </w:tcBorders>
            <w:hideMark/>
          </w:tcPr>
          <w:p w:rsidR="00C83DC3" w:rsidRDefault="00BA7A7F">
            <w:pPr>
              <w:pStyle w:val="TableTextBase"/>
              <w:rPr>
                <w:rFonts w:eastAsia="Calibri"/>
                <w:b/>
                <w:sz w:val="16"/>
                <w:szCs w:val="16"/>
              </w:rPr>
            </w:pPr>
            <w:r>
              <w:rPr>
                <w:rFonts w:eastAsia="Calibri"/>
                <w:iCs/>
                <w:sz w:val="16"/>
                <w:szCs w:val="16"/>
              </w:rPr>
              <w:t>Maintain or increase the number of peer reviewed publications, datasets and derived knowledge products that are used by stakeholders and are publicly available.</w:t>
            </w:r>
          </w:p>
        </w:tc>
      </w:tr>
      <w:tr w:rsidR="00253274" w:rsidTr="001E4741">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C83DC3" w:rsidRDefault="00C83DC3">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C83DC3" w:rsidRDefault="00BA7A7F">
            <w:pPr>
              <w:pStyle w:val="TableTextBase"/>
              <w:rPr>
                <w:rFonts w:eastAsia="Calibri"/>
                <w:b/>
                <w:sz w:val="16"/>
                <w:szCs w:val="16"/>
              </w:rPr>
            </w:pPr>
            <w:r>
              <w:rPr>
                <w:rFonts w:eastAsia="Calibri"/>
                <w:iCs/>
                <w:sz w:val="16"/>
                <w:szCs w:val="16"/>
              </w:rPr>
              <w:t>Increase research capability, capacity, impact and science diplomacy through participation in formal national and international collaborations, joint ventures, partnerships and strategic alliances.</w:t>
            </w:r>
          </w:p>
        </w:tc>
        <w:tc>
          <w:tcPr>
            <w:tcW w:w="3118" w:type="dxa"/>
            <w:tcBorders>
              <w:top w:val="single" w:sz="4" w:space="0" w:color="auto"/>
              <w:left w:val="single" w:sz="4" w:space="0" w:color="auto"/>
              <w:bottom w:val="dotted" w:sz="4" w:space="0" w:color="auto"/>
              <w:right w:val="single" w:sz="4" w:space="0" w:color="auto"/>
            </w:tcBorders>
            <w:hideMark/>
          </w:tcPr>
          <w:p w:rsidR="00C83DC3" w:rsidRDefault="00BA7A7F">
            <w:pPr>
              <w:tabs>
                <w:tab w:val="left" w:pos="709"/>
              </w:tabs>
              <w:spacing w:before="60" w:after="60" w:line="240" w:lineRule="auto"/>
              <w:jc w:val="left"/>
              <w:rPr>
                <w:rFonts w:ascii="Calibri" w:hAnsi="Calibri" w:cs="Calibri"/>
              </w:rPr>
            </w:pPr>
            <w:r>
              <w:rPr>
                <w:rFonts w:ascii="Arial" w:hAnsi="Arial" w:cs="Arial"/>
                <w:iCs/>
                <w:sz w:val="16"/>
                <w:szCs w:val="16"/>
              </w:rPr>
              <w:t>Maintain or increase the number and scale of domestic and international research partnerships, collaborations, joint</w:t>
            </w:r>
            <w:r>
              <w:rPr>
                <w:rFonts w:ascii="Calibri" w:hAnsi="Calibri" w:cs="Calibri"/>
              </w:rPr>
              <w:t xml:space="preserve"> </w:t>
            </w:r>
            <w:r>
              <w:rPr>
                <w:rFonts w:ascii="Arial" w:hAnsi="Arial" w:cs="Arial"/>
                <w:iCs/>
                <w:sz w:val="16"/>
                <w:szCs w:val="16"/>
              </w:rPr>
              <w:t>ventures and strategic alliances.</w:t>
            </w:r>
          </w:p>
          <w:p w:rsidR="00C83DC3" w:rsidRDefault="00BA7A7F">
            <w:pPr>
              <w:pStyle w:val="TableTextBase"/>
              <w:rPr>
                <w:rFonts w:eastAsia="Calibri" w:cs="Times New Roman"/>
                <w:b/>
                <w:sz w:val="16"/>
                <w:szCs w:val="16"/>
              </w:rPr>
            </w:pPr>
            <w:r>
              <w:rPr>
                <w:rFonts w:eastAsia="Calibri"/>
                <w:iCs/>
                <w:sz w:val="16"/>
                <w:szCs w:val="16"/>
              </w:rPr>
              <w:t>Maintain or increase participation by AIMS on</w:t>
            </w:r>
            <w:r>
              <w:rPr>
                <w:rFonts w:ascii="Calibri" w:eastAsia="Calibri" w:hAnsi="Calibri" w:cs="Calibri"/>
              </w:rPr>
              <w:t xml:space="preserve"> </w:t>
            </w:r>
            <w:r>
              <w:rPr>
                <w:rFonts w:eastAsia="Calibri"/>
                <w:iCs/>
                <w:sz w:val="16"/>
                <w:szCs w:val="16"/>
              </w:rPr>
              <w:t>advisory panels and committees.</w:t>
            </w:r>
          </w:p>
        </w:tc>
      </w:tr>
      <w:tr w:rsidR="00253274" w:rsidTr="001E4741">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C83DC3" w:rsidRDefault="00C83DC3">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C83DC3" w:rsidRDefault="00BA7A7F">
            <w:pPr>
              <w:pStyle w:val="TableTextBase"/>
              <w:rPr>
                <w:rFonts w:eastAsia="Calibri"/>
                <w:b/>
                <w:sz w:val="16"/>
                <w:szCs w:val="16"/>
              </w:rPr>
            </w:pPr>
            <w:r>
              <w:rPr>
                <w:rFonts w:eastAsia="Calibri"/>
                <w:iCs/>
                <w:sz w:val="16"/>
                <w:szCs w:val="16"/>
              </w:rPr>
              <w:t>Improve research outcomes and impact through increased Traditional Owner engagement in the planning and delivery of coastal research and development.</w:t>
            </w:r>
          </w:p>
        </w:tc>
        <w:tc>
          <w:tcPr>
            <w:tcW w:w="3118" w:type="dxa"/>
            <w:tcBorders>
              <w:top w:val="single" w:sz="4" w:space="0" w:color="auto"/>
              <w:left w:val="single" w:sz="4" w:space="0" w:color="auto"/>
              <w:bottom w:val="dotted" w:sz="4" w:space="0" w:color="auto"/>
              <w:right w:val="single" w:sz="4" w:space="0" w:color="auto"/>
            </w:tcBorders>
            <w:hideMark/>
          </w:tcPr>
          <w:p w:rsidR="00C83DC3" w:rsidRDefault="00BA7A7F">
            <w:pPr>
              <w:pStyle w:val="TableTextBase"/>
              <w:rPr>
                <w:rFonts w:eastAsia="Calibri"/>
                <w:b/>
                <w:sz w:val="16"/>
                <w:szCs w:val="16"/>
              </w:rPr>
            </w:pPr>
            <w:r>
              <w:rPr>
                <w:rFonts w:eastAsia="Calibri"/>
                <w:iCs/>
                <w:sz w:val="16"/>
                <w:szCs w:val="16"/>
              </w:rPr>
              <w:t>Increase the percentage of projects with Indigenous engagement in the planning and delivery phases.</w:t>
            </w:r>
          </w:p>
        </w:tc>
      </w:tr>
      <w:tr w:rsidR="00253274" w:rsidTr="001E4741">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C83DC3" w:rsidRDefault="00C83DC3">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C83DC3" w:rsidRDefault="00BA7A7F">
            <w:pPr>
              <w:pStyle w:val="TableTextBase"/>
              <w:rPr>
                <w:rFonts w:eastAsia="Calibri"/>
                <w:b/>
                <w:sz w:val="16"/>
                <w:szCs w:val="16"/>
              </w:rPr>
            </w:pPr>
            <w:r>
              <w:rPr>
                <w:rFonts w:eastAsia="Calibri"/>
                <w:iCs/>
                <w:sz w:val="16"/>
                <w:szCs w:val="16"/>
              </w:rPr>
              <w:t>Reduce AIMS’ environmental footprint.</w:t>
            </w:r>
          </w:p>
        </w:tc>
        <w:tc>
          <w:tcPr>
            <w:tcW w:w="3118" w:type="dxa"/>
            <w:tcBorders>
              <w:top w:val="single" w:sz="4" w:space="0" w:color="auto"/>
              <w:left w:val="single" w:sz="4" w:space="0" w:color="auto"/>
              <w:bottom w:val="dotted" w:sz="4" w:space="0" w:color="auto"/>
              <w:right w:val="single" w:sz="4" w:space="0" w:color="auto"/>
            </w:tcBorders>
            <w:hideMark/>
          </w:tcPr>
          <w:p w:rsidR="00C83DC3" w:rsidRDefault="00BA7A7F">
            <w:pPr>
              <w:tabs>
                <w:tab w:val="left" w:pos="709"/>
              </w:tabs>
              <w:spacing w:before="60" w:after="60" w:line="240" w:lineRule="auto"/>
              <w:jc w:val="left"/>
              <w:rPr>
                <w:rFonts w:ascii="Arial" w:hAnsi="Arial" w:cs="Arial"/>
                <w:iCs/>
                <w:sz w:val="16"/>
                <w:szCs w:val="16"/>
              </w:rPr>
            </w:pPr>
            <w:r>
              <w:rPr>
                <w:rFonts w:ascii="Arial" w:hAnsi="Arial" w:cs="Arial"/>
                <w:iCs/>
                <w:sz w:val="16"/>
                <w:szCs w:val="16"/>
              </w:rPr>
              <w:t>20 per cent reduction in AIMS’ carbon emissions compared with 2017-18.</w:t>
            </w:r>
          </w:p>
          <w:p w:rsidR="00C83DC3" w:rsidRDefault="00BA7A7F" w:rsidP="00073DBD">
            <w:pPr>
              <w:pStyle w:val="TableTextBase"/>
              <w:rPr>
                <w:rFonts w:eastAsia="Calibri" w:cs="Times New Roman"/>
                <w:b/>
                <w:sz w:val="16"/>
                <w:szCs w:val="16"/>
              </w:rPr>
            </w:pPr>
            <w:r>
              <w:rPr>
                <w:rFonts w:eastAsia="Calibri"/>
                <w:iCs/>
                <w:sz w:val="16"/>
                <w:szCs w:val="16"/>
              </w:rPr>
              <w:t>15 per cent reduction in AIMS’ waste to landfill compared with 2018-19.</w:t>
            </w:r>
          </w:p>
        </w:tc>
      </w:tr>
      <w:tr w:rsidR="00253274" w:rsidTr="001E4741">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C83DC3" w:rsidRDefault="00C83DC3">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C83DC3" w:rsidRDefault="00BA7A7F">
            <w:pPr>
              <w:pStyle w:val="TableTextBase"/>
              <w:rPr>
                <w:rFonts w:eastAsia="Calibri"/>
                <w:b/>
                <w:sz w:val="16"/>
                <w:szCs w:val="16"/>
              </w:rPr>
            </w:pPr>
            <w:r>
              <w:rPr>
                <w:rFonts w:eastAsia="Calibri"/>
                <w:iCs/>
                <w:sz w:val="16"/>
                <w:szCs w:val="16"/>
              </w:rPr>
              <w:t>Optimal utilisation of research infrastructure assets.</w:t>
            </w:r>
          </w:p>
        </w:tc>
        <w:tc>
          <w:tcPr>
            <w:tcW w:w="3118" w:type="dxa"/>
            <w:tcBorders>
              <w:top w:val="single" w:sz="4" w:space="0" w:color="auto"/>
              <w:left w:val="single" w:sz="4" w:space="0" w:color="auto"/>
              <w:bottom w:val="dotted" w:sz="4" w:space="0" w:color="auto"/>
              <w:right w:val="single" w:sz="4" w:space="0" w:color="auto"/>
            </w:tcBorders>
            <w:hideMark/>
          </w:tcPr>
          <w:p w:rsidR="00C83DC3" w:rsidRDefault="00BA7A7F">
            <w:pPr>
              <w:pStyle w:val="TableTextBase"/>
              <w:rPr>
                <w:rFonts w:eastAsia="Calibri"/>
                <w:b/>
                <w:sz w:val="16"/>
                <w:szCs w:val="16"/>
              </w:rPr>
            </w:pPr>
            <w:r>
              <w:rPr>
                <w:rFonts w:eastAsia="Calibri"/>
                <w:iCs/>
                <w:sz w:val="16"/>
                <w:szCs w:val="16"/>
              </w:rPr>
              <w:t>Maintain or increase usage of research infrastructure.</w:t>
            </w:r>
          </w:p>
        </w:tc>
      </w:tr>
      <w:tr w:rsidR="00253274" w:rsidTr="001E4741">
        <w:trPr>
          <w:trHeight w:val="100"/>
        </w:trPr>
        <w:tc>
          <w:tcPr>
            <w:tcW w:w="1560" w:type="dxa"/>
            <w:tcBorders>
              <w:top w:val="single" w:sz="4" w:space="0" w:color="auto"/>
              <w:left w:val="single" w:sz="4" w:space="0" w:color="auto"/>
              <w:bottom w:val="dotted" w:sz="4" w:space="0" w:color="auto"/>
              <w:right w:val="single" w:sz="4" w:space="0" w:color="auto"/>
            </w:tcBorders>
          </w:tcPr>
          <w:p w:rsidR="00C83DC3" w:rsidRDefault="00BA7A7F">
            <w:pPr>
              <w:pStyle w:val="TableTextBase"/>
              <w:rPr>
                <w:rFonts w:eastAsia="Calibri"/>
                <w:b/>
                <w:sz w:val="16"/>
                <w:szCs w:val="16"/>
              </w:rPr>
            </w:pPr>
            <w:r>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C83DC3" w:rsidRDefault="00BA7A7F">
            <w:pPr>
              <w:pStyle w:val="TableTextBase"/>
              <w:rPr>
                <w:rFonts w:eastAsia="Calibri"/>
                <w:b/>
                <w:sz w:val="16"/>
                <w:szCs w:val="16"/>
              </w:rPr>
            </w:pPr>
            <w:r>
              <w:rPr>
                <w:rFonts w:eastAsia="Calibri"/>
                <w:b/>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rsidR="00C83DC3" w:rsidRDefault="00BA7A7F">
            <w:pPr>
              <w:pStyle w:val="TableTextBase"/>
              <w:rPr>
                <w:rFonts w:eastAsia="Calibri"/>
                <w:b/>
                <w:sz w:val="16"/>
                <w:szCs w:val="16"/>
              </w:rPr>
            </w:pPr>
            <w:r>
              <w:rPr>
                <w:rFonts w:eastAsia="Calibri"/>
                <w:b/>
                <w:sz w:val="16"/>
                <w:szCs w:val="16"/>
              </w:rPr>
              <w:t>Planned Performance Results</w:t>
            </w:r>
          </w:p>
        </w:tc>
      </w:tr>
      <w:tr w:rsidR="00253274" w:rsidTr="001E4741">
        <w:trPr>
          <w:trHeight w:val="100"/>
        </w:trPr>
        <w:tc>
          <w:tcPr>
            <w:tcW w:w="1560" w:type="dxa"/>
            <w:vMerge w:val="restart"/>
            <w:tcBorders>
              <w:top w:val="single" w:sz="4" w:space="0" w:color="auto"/>
              <w:left w:val="single" w:sz="4" w:space="0" w:color="auto"/>
              <w:bottom w:val="dotted" w:sz="4" w:space="0" w:color="auto"/>
              <w:right w:val="single" w:sz="4" w:space="0" w:color="auto"/>
            </w:tcBorders>
            <w:hideMark/>
          </w:tcPr>
          <w:p w:rsidR="00C83DC3" w:rsidRPr="0001270B" w:rsidRDefault="00BA7A7F">
            <w:pPr>
              <w:pStyle w:val="TableTextBase"/>
              <w:rPr>
                <w:rFonts w:eastAsia="Calibri"/>
                <w:szCs w:val="20"/>
              </w:rPr>
            </w:pPr>
            <w:r w:rsidRPr="0001270B">
              <w:rPr>
                <w:rFonts w:eastAsia="Calibri"/>
                <w:sz w:val="16"/>
                <w:szCs w:val="16"/>
              </w:rPr>
              <w:t>Budget Year     2022-23</w:t>
            </w:r>
          </w:p>
        </w:tc>
        <w:tc>
          <w:tcPr>
            <w:tcW w:w="3118" w:type="dxa"/>
            <w:tcBorders>
              <w:top w:val="single" w:sz="4" w:space="0" w:color="auto"/>
              <w:left w:val="single" w:sz="4" w:space="0" w:color="auto"/>
              <w:bottom w:val="single" w:sz="4" w:space="0" w:color="auto"/>
              <w:right w:val="single" w:sz="4" w:space="0" w:color="auto"/>
            </w:tcBorders>
            <w:hideMark/>
          </w:tcPr>
          <w:p w:rsidR="00C83DC3" w:rsidRDefault="00BA7A7F">
            <w:pPr>
              <w:pStyle w:val="TableTextBase"/>
              <w:rPr>
                <w:rFonts w:eastAsia="Calibri"/>
                <w:iCs/>
                <w:sz w:val="16"/>
                <w:szCs w:val="16"/>
              </w:rPr>
            </w:pPr>
            <w:r>
              <w:rPr>
                <w:rFonts w:eastAsia="Calibri"/>
                <w:iCs/>
                <w:sz w:val="16"/>
                <w:szCs w:val="16"/>
              </w:rPr>
              <w:t>AIMS research creates a positive triple bottom line contribution (impact value) to Australia.</w:t>
            </w:r>
          </w:p>
        </w:tc>
        <w:tc>
          <w:tcPr>
            <w:tcW w:w="3118" w:type="dxa"/>
            <w:tcBorders>
              <w:top w:val="single" w:sz="4" w:space="0" w:color="auto"/>
              <w:left w:val="single" w:sz="4" w:space="0" w:color="auto"/>
              <w:bottom w:val="single" w:sz="4" w:space="0" w:color="auto"/>
              <w:right w:val="single" w:sz="4" w:space="0" w:color="auto"/>
            </w:tcBorders>
            <w:hideMark/>
          </w:tcPr>
          <w:p w:rsidR="00C83DC3" w:rsidRDefault="00BA7A7F">
            <w:pPr>
              <w:pStyle w:val="TableTextBase"/>
              <w:rPr>
                <w:rFonts w:eastAsia="Calibri"/>
                <w:iCs/>
                <w:sz w:val="16"/>
                <w:szCs w:val="16"/>
              </w:rPr>
            </w:pPr>
            <w:r>
              <w:rPr>
                <w:rFonts w:eastAsia="Calibri"/>
                <w:iCs/>
                <w:sz w:val="16"/>
                <w:szCs w:val="16"/>
              </w:rPr>
              <w:t>Minimum two case studies.</w:t>
            </w:r>
          </w:p>
        </w:tc>
      </w:tr>
      <w:tr w:rsidR="00253274" w:rsidTr="001E4741">
        <w:trPr>
          <w:trHeight w:val="491"/>
        </w:trPr>
        <w:tc>
          <w:tcPr>
            <w:tcW w:w="0" w:type="auto"/>
            <w:vMerge/>
            <w:tcBorders>
              <w:top w:val="single" w:sz="4" w:space="0" w:color="auto"/>
              <w:left w:val="single" w:sz="4" w:space="0" w:color="auto"/>
              <w:bottom w:val="dotted" w:sz="4" w:space="0" w:color="auto"/>
              <w:right w:val="single" w:sz="4" w:space="0" w:color="auto"/>
            </w:tcBorders>
            <w:vAlign w:val="center"/>
            <w:hideMark/>
          </w:tcPr>
          <w:p w:rsidR="00C83DC3" w:rsidRDefault="00C83DC3">
            <w:pPr>
              <w:spacing w:after="0" w:line="240" w:lineRule="auto"/>
              <w:jc w:val="left"/>
              <w:rPr>
                <w:rFonts w:ascii="Arial" w:hAnsi="Arial" w:cs="Arial"/>
                <w:sz w:val="18"/>
              </w:rPr>
            </w:pPr>
          </w:p>
        </w:tc>
        <w:tc>
          <w:tcPr>
            <w:tcW w:w="3118" w:type="dxa"/>
            <w:tcBorders>
              <w:top w:val="single" w:sz="4" w:space="0" w:color="auto"/>
              <w:left w:val="single" w:sz="4" w:space="0" w:color="auto"/>
              <w:bottom w:val="single" w:sz="4" w:space="0" w:color="auto"/>
              <w:right w:val="single" w:sz="4" w:space="0" w:color="auto"/>
            </w:tcBorders>
            <w:hideMark/>
          </w:tcPr>
          <w:p w:rsidR="00C83DC3" w:rsidRDefault="00BA7A7F">
            <w:pPr>
              <w:pStyle w:val="TableTextBase"/>
              <w:rPr>
                <w:rFonts w:eastAsia="Calibri"/>
                <w:iCs/>
                <w:sz w:val="16"/>
                <w:szCs w:val="16"/>
              </w:rPr>
            </w:pPr>
            <w:r>
              <w:rPr>
                <w:rFonts w:eastAsia="Calibri"/>
                <w:iCs/>
                <w:sz w:val="16"/>
                <w:szCs w:val="16"/>
              </w:rPr>
              <w:t>Deliver strategic and applied research and monitoring that addresses national research priorities and stakeholder needs.</w:t>
            </w:r>
          </w:p>
        </w:tc>
        <w:tc>
          <w:tcPr>
            <w:tcW w:w="3118" w:type="dxa"/>
            <w:tcBorders>
              <w:top w:val="single" w:sz="4" w:space="0" w:color="auto"/>
              <w:left w:val="single" w:sz="4" w:space="0" w:color="auto"/>
              <w:bottom w:val="single" w:sz="4" w:space="0" w:color="auto"/>
              <w:right w:val="single" w:sz="4" w:space="0" w:color="auto"/>
            </w:tcBorders>
            <w:hideMark/>
          </w:tcPr>
          <w:p w:rsidR="00C83DC3" w:rsidRDefault="00BA7A7F">
            <w:pPr>
              <w:pStyle w:val="TableTextBase"/>
              <w:rPr>
                <w:rFonts w:eastAsia="Calibri"/>
                <w:iCs/>
                <w:sz w:val="16"/>
                <w:szCs w:val="16"/>
              </w:rPr>
            </w:pPr>
            <w:r>
              <w:rPr>
                <w:rFonts w:eastAsia="Calibri"/>
                <w:iCs/>
                <w:sz w:val="16"/>
                <w:szCs w:val="16"/>
              </w:rPr>
              <w:t>Achieve revenue budget from stakeholder commissioned research.</w:t>
            </w:r>
          </w:p>
        </w:tc>
      </w:tr>
      <w:tr w:rsidR="00253274" w:rsidTr="001E4741">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3DC3" w:rsidRDefault="00C83DC3">
            <w:pPr>
              <w:spacing w:after="0" w:line="240" w:lineRule="auto"/>
              <w:jc w:val="left"/>
              <w:rPr>
                <w:rFonts w:ascii="Arial" w:hAnsi="Arial" w:cs="Arial"/>
                <w:sz w:val="18"/>
              </w:rPr>
            </w:pPr>
          </w:p>
        </w:tc>
        <w:tc>
          <w:tcPr>
            <w:tcW w:w="3118" w:type="dxa"/>
            <w:tcBorders>
              <w:top w:val="single" w:sz="4" w:space="0" w:color="auto"/>
              <w:left w:val="single" w:sz="4" w:space="0" w:color="auto"/>
              <w:bottom w:val="single" w:sz="4" w:space="0" w:color="auto"/>
              <w:right w:val="single" w:sz="4" w:space="0" w:color="auto"/>
            </w:tcBorders>
            <w:hideMark/>
          </w:tcPr>
          <w:p w:rsidR="00C83DC3" w:rsidRDefault="00BA7A7F">
            <w:pPr>
              <w:pStyle w:val="TableTextBase"/>
              <w:rPr>
                <w:rFonts w:eastAsia="Calibri"/>
                <w:iCs/>
                <w:sz w:val="16"/>
                <w:szCs w:val="16"/>
              </w:rPr>
            </w:pPr>
            <w:r>
              <w:rPr>
                <w:rFonts w:eastAsia="Calibri"/>
                <w:iCs/>
                <w:sz w:val="16"/>
                <w:szCs w:val="16"/>
              </w:rPr>
              <w:t>Maintain or increase current standings for scientific excellence, innovation and impact.</w:t>
            </w:r>
          </w:p>
        </w:tc>
        <w:tc>
          <w:tcPr>
            <w:tcW w:w="3118" w:type="dxa"/>
            <w:tcBorders>
              <w:top w:val="single" w:sz="4" w:space="0" w:color="auto"/>
              <w:left w:val="single" w:sz="4" w:space="0" w:color="auto"/>
              <w:bottom w:val="single" w:sz="4" w:space="0" w:color="auto"/>
              <w:right w:val="single" w:sz="4" w:space="0" w:color="auto"/>
            </w:tcBorders>
            <w:hideMark/>
          </w:tcPr>
          <w:p w:rsidR="00C83DC3" w:rsidRDefault="00BA7A7F">
            <w:pPr>
              <w:pStyle w:val="TableTextBase"/>
              <w:rPr>
                <w:rFonts w:eastAsia="Calibri"/>
                <w:iCs/>
                <w:sz w:val="16"/>
                <w:szCs w:val="16"/>
              </w:rPr>
            </w:pPr>
            <w:r>
              <w:rPr>
                <w:rFonts w:eastAsia="Calibri"/>
                <w:iCs/>
                <w:sz w:val="16"/>
                <w:szCs w:val="16"/>
              </w:rPr>
              <w:t>Maintain acknowledged domestic and global high standing in relevant fields of research, and confidence of key stakeholders in research outputs.</w:t>
            </w:r>
          </w:p>
        </w:tc>
      </w:tr>
      <w:tr w:rsidR="00253274" w:rsidTr="001E4741">
        <w:trPr>
          <w:trHeight w:val="491"/>
        </w:trPr>
        <w:tc>
          <w:tcPr>
            <w:tcW w:w="0" w:type="auto"/>
            <w:vMerge/>
            <w:tcBorders>
              <w:top w:val="single" w:sz="4" w:space="0" w:color="auto"/>
              <w:left w:val="single" w:sz="4" w:space="0" w:color="auto"/>
              <w:bottom w:val="dotted" w:sz="4" w:space="0" w:color="auto"/>
              <w:right w:val="single" w:sz="4" w:space="0" w:color="auto"/>
            </w:tcBorders>
            <w:vAlign w:val="center"/>
            <w:hideMark/>
          </w:tcPr>
          <w:p w:rsidR="00C83DC3" w:rsidRDefault="00C83DC3">
            <w:pPr>
              <w:spacing w:after="0" w:line="240" w:lineRule="auto"/>
              <w:jc w:val="left"/>
              <w:rPr>
                <w:rFonts w:ascii="Arial" w:hAnsi="Arial" w:cs="Arial"/>
                <w:sz w:val="18"/>
              </w:rPr>
            </w:pPr>
          </w:p>
        </w:tc>
        <w:tc>
          <w:tcPr>
            <w:tcW w:w="3118" w:type="dxa"/>
            <w:tcBorders>
              <w:top w:val="single" w:sz="4" w:space="0" w:color="auto"/>
              <w:left w:val="single" w:sz="4" w:space="0" w:color="auto"/>
              <w:bottom w:val="single" w:sz="4" w:space="0" w:color="auto"/>
              <w:right w:val="single" w:sz="4" w:space="0" w:color="auto"/>
            </w:tcBorders>
            <w:hideMark/>
          </w:tcPr>
          <w:p w:rsidR="00C83DC3" w:rsidRDefault="00BA7A7F">
            <w:pPr>
              <w:pStyle w:val="TableTextBase"/>
              <w:rPr>
                <w:rFonts w:eastAsia="Calibri"/>
                <w:iCs/>
                <w:sz w:val="16"/>
                <w:szCs w:val="16"/>
              </w:rPr>
            </w:pPr>
            <w:r>
              <w:rPr>
                <w:rFonts w:eastAsia="Calibri"/>
                <w:iCs/>
                <w:sz w:val="16"/>
                <w:szCs w:val="16"/>
              </w:rPr>
              <w:t>Deliver research advice and scientific products that are critical for stakeholders to assess the impacts of natural and human pressures on sensitive marine ecosystems.</w:t>
            </w:r>
          </w:p>
        </w:tc>
        <w:tc>
          <w:tcPr>
            <w:tcW w:w="3118" w:type="dxa"/>
            <w:tcBorders>
              <w:top w:val="single" w:sz="4" w:space="0" w:color="auto"/>
              <w:left w:val="single" w:sz="4" w:space="0" w:color="auto"/>
              <w:bottom w:val="single" w:sz="4" w:space="0" w:color="auto"/>
              <w:right w:val="single" w:sz="4" w:space="0" w:color="auto"/>
            </w:tcBorders>
            <w:hideMark/>
          </w:tcPr>
          <w:p w:rsidR="00C83DC3" w:rsidRDefault="00BA7A7F">
            <w:pPr>
              <w:pStyle w:val="TableTextBase"/>
              <w:rPr>
                <w:rFonts w:eastAsia="Calibri"/>
                <w:iCs/>
                <w:sz w:val="16"/>
                <w:szCs w:val="16"/>
              </w:rPr>
            </w:pPr>
            <w:r>
              <w:rPr>
                <w:rFonts w:eastAsia="Calibri"/>
                <w:iCs/>
                <w:sz w:val="16"/>
                <w:szCs w:val="16"/>
              </w:rPr>
              <w:t>Maintain or increase the number of peer reviewed publications and other knowledge products, and make datasets or data products publicly available.</w:t>
            </w:r>
          </w:p>
        </w:tc>
      </w:tr>
    </w:tbl>
    <w:p w:rsidR="00885C09" w:rsidRDefault="00BA7A7F">
      <w: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53274" w:rsidTr="001E4741">
        <w:trPr>
          <w:trHeight w:val="491"/>
        </w:trPr>
        <w:tc>
          <w:tcPr>
            <w:tcW w:w="0" w:type="auto"/>
            <w:vMerge w:val="restart"/>
            <w:tcBorders>
              <w:top w:val="single" w:sz="4" w:space="0" w:color="auto"/>
              <w:left w:val="single" w:sz="4" w:space="0" w:color="auto"/>
              <w:bottom w:val="dotted" w:sz="4" w:space="0" w:color="auto"/>
              <w:right w:val="single" w:sz="4" w:space="0" w:color="auto"/>
            </w:tcBorders>
            <w:vAlign w:val="center"/>
            <w:hideMark/>
          </w:tcPr>
          <w:p w:rsidR="00C83DC3" w:rsidRDefault="00C83DC3">
            <w:pPr>
              <w:spacing w:after="0" w:line="240" w:lineRule="auto"/>
              <w:jc w:val="left"/>
              <w:rPr>
                <w:rFonts w:ascii="Arial" w:hAnsi="Arial" w:cs="Arial"/>
                <w:sz w:val="18"/>
              </w:rPr>
            </w:pPr>
          </w:p>
        </w:tc>
        <w:tc>
          <w:tcPr>
            <w:tcW w:w="3118" w:type="dxa"/>
            <w:tcBorders>
              <w:top w:val="single" w:sz="4" w:space="0" w:color="auto"/>
              <w:left w:val="single" w:sz="4" w:space="0" w:color="auto"/>
              <w:bottom w:val="single" w:sz="4" w:space="0" w:color="auto"/>
              <w:right w:val="single" w:sz="4" w:space="0" w:color="auto"/>
            </w:tcBorders>
            <w:hideMark/>
          </w:tcPr>
          <w:p w:rsidR="00C83DC3" w:rsidRDefault="00BA7A7F">
            <w:pPr>
              <w:pStyle w:val="TableTextBase"/>
              <w:rPr>
                <w:rFonts w:eastAsia="Calibri"/>
                <w:iCs/>
                <w:sz w:val="16"/>
                <w:szCs w:val="16"/>
              </w:rPr>
            </w:pPr>
            <w:r>
              <w:rPr>
                <w:rFonts w:eastAsia="Calibri"/>
                <w:iCs/>
                <w:sz w:val="16"/>
                <w:szCs w:val="16"/>
              </w:rPr>
              <w:t>Increase research capability, capacity, impact and science diplomacy through participation in formal national and international collaborations, joint ventures, partnerships and strategic alliances.</w:t>
            </w:r>
          </w:p>
        </w:tc>
        <w:tc>
          <w:tcPr>
            <w:tcW w:w="3118" w:type="dxa"/>
            <w:tcBorders>
              <w:top w:val="single" w:sz="4" w:space="0" w:color="auto"/>
              <w:left w:val="single" w:sz="4" w:space="0" w:color="auto"/>
              <w:bottom w:val="single" w:sz="4" w:space="0" w:color="auto"/>
              <w:right w:val="single" w:sz="4" w:space="0" w:color="auto"/>
            </w:tcBorders>
            <w:hideMark/>
          </w:tcPr>
          <w:p w:rsidR="00C83DC3" w:rsidRDefault="00BA7A7F">
            <w:pPr>
              <w:pStyle w:val="TableTextBase"/>
              <w:rPr>
                <w:rFonts w:eastAsia="Calibri"/>
                <w:iCs/>
                <w:sz w:val="16"/>
                <w:szCs w:val="16"/>
              </w:rPr>
            </w:pPr>
            <w:r>
              <w:rPr>
                <w:rFonts w:eastAsia="Calibri"/>
                <w:iCs/>
                <w:sz w:val="16"/>
                <w:szCs w:val="16"/>
              </w:rPr>
              <w:t>Maintain or increase the number and scale of domestic and international research partnerships, collaborations, joint ventures and strategic alliances.</w:t>
            </w:r>
          </w:p>
          <w:p w:rsidR="00C83DC3" w:rsidRDefault="00BA7A7F">
            <w:pPr>
              <w:pStyle w:val="TableTextBase"/>
              <w:rPr>
                <w:rFonts w:eastAsia="Calibri"/>
                <w:iCs/>
                <w:sz w:val="16"/>
                <w:szCs w:val="16"/>
              </w:rPr>
            </w:pPr>
            <w:r>
              <w:rPr>
                <w:rFonts w:eastAsia="Calibri"/>
                <w:iCs/>
                <w:sz w:val="16"/>
                <w:szCs w:val="16"/>
              </w:rPr>
              <w:t>Specialist advice and expertise provided by AIMS is used by relevant advisory panels and committees.</w:t>
            </w:r>
          </w:p>
        </w:tc>
      </w:tr>
      <w:tr w:rsidR="00253274" w:rsidTr="001E4741">
        <w:trPr>
          <w:trHeight w:val="491"/>
        </w:trPr>
        <w:tc>
          <w:tcPr>
            <w:tcW w:w="0" w:type="auto"/>
            <w:vMerge/>
            <w:tcBorders>
              <w:top w:val="single" w:sz="4" w:space="0" w:color="auto"/>
              <w:left w:val="single" w:sz="4" w:space="0" w:color="auto"/>
              <w:bottom w:val="dotted" w:sz="4" w:space="0" w:color="auto"/>
              <w:right w:val="single" w:sz="4" w:space="0" w:color="auto"/>
            </w:tcBorders>
            <w:vAlign w:val="center"/>
            <w:hideMark/>
          </w:tcPr>
          <w:p w:rsidR="00C83DC3" w:rsidRDefault="00C83DC3">
            <w:pPr>
              <w:spacing w:after="0" w:line="240" w:lineRule="auto"/>
              <w:jc w:val="left"/>
              <w:rPr>
                <w:rFonts w:ascii="Arial" w:hAnsi="Arial" w:cs="Arial"/>
                <w:sz w:val="18"/>
              </w:rPr>
            </w:pPr>
          </w:p>
        </w:tc>
        <w:tc>
          <w:tcPr>
            <w:tcW w:w="3118" w:type="dxa"/>
            <w:tcBorders>
              <w:top w:val="single" w:sz="4" w:space="0" w:color="auto"/>
              <w:left w:val="single" w:sz="4" w:space="0" w:color="auto"/>
              <w:bottom w:val="single" w:sz="4" w:space="0" w:color="auto"/>
              <w:right w:val="single" w:sz="4" w:space="0" w:color="auto"/>
            </w:tcBorders>
            <w:hideMark/>
          </w:tcPr>
          <w:p w:rsidR="00C83DC3" w:rsidRDefault="00BA7A7F">
            <w:pPr>
              <w:pStyle w:val="TableTextBase"/>
              <w:rPr>
                <w:rFonts w:eastAsia="Calibri"/>
                <w:iCs/>
                <w:sz w:val="16"/>
                <w:szCs w:val="16"/>
              </w:rPr>
            </w:pPr>
            <w:r>
              <w:rPr>
                <w:rFonts w:eastAsia="Calibri"/>
                <w:iCs/>
                <w:sz w:val="16"/>
                <w:szCs w:val="16"/>
              </w:rPr>
              <w:t>Improve research outcomes and impact through increasing Traditional Owner engagement in the planning and delivery of coastal research and development.</w:t>
            </w:r>
          </w:p>
        </w:tc>
        <w:tc>
          <w:tcPr>
            <w:tcW w:w="3118" w:type="dxa"/>
            <w:tcBorders>
              <w:top w:val="single" w:sz="4" w:space="0" w:color="auto"/>
              <w:left w:val="single" w:sz="4" w:space="0" w:color="auto"/>
              <w:bottom w:val="single" w:sz="4" w:space="0" w:color="auto"/>
              <w:right w:val="single" w:sz="4" w:space="0" w:color="auto"/>
            </w:tcBorders>
            <w:hideMark/>
          </w:tcPr>
          <w:p w:rsidR="00C83DC3" w:rsidRDefault="00BA7A7F">
            <w:pPr>
              <w:pStyle w:val="TableTextBase"/>
              <w:rPr>
                <w:rFonts w:eastAsia="Calibri"/>
                <w:iCs/>
                <w:sz w:val="16"/>
                <w:szCs w:val="16"/>
              </w:rPr>
            </w:pPr>
            <w:r>
              <w:rPr>
                <w:rFonts w:eastAsia="Calibri"/>
                <w:iCs/>
                <w:sz w:val="16"/>
                <w:szCs w:val="16"/>
              </w:rPr>
              <w:t>Improve research outcomes and impact through increasing Traditional Owner engagement in the planning and delivery of coastal research and development.</w:t>
            </w:r>
          </w:p>
        </w:tc>
      </w:tr>
      <w:tr w:rsidR="00253274" w:rsidTr="001E4741">
        <w:trPr>
          <w:trHeight w:val="491"/>
        </w:trPr>
        <w:tc>
          <w:tcPr>
            <w:tcW w:w="0" w:type="auto"/>
            <w:vMerge/>
            <w:tcBorders>
              <w:top w:val="single" w:sz="4" w:space="0" w:color="auto"/>
              <w:left w:val="single" w:sz="4" w:space="0" w:color="auto"/>
              <w:bottom w:val="dotted" w:sz="4" w:space="0" w:color="auto"/>
              <w:right w:val="single" w:sz="4" w:space="0" w:color="auto"/>
            </w:tcBorders>
            <w:vAlign w:val="center"/>
            <w:hideMark/>
          </w:tcPr>
          <w:p w:rsidR="00C83DC3" w:rsidRDefault="00C83DC3">
            <w:pPr>
              <w:spacing w:after="0" w:line="240" w:lineRule="auto"/>
              <w:jc w:val="left"/>
              <w:rPr>
                <w:rFonts w:ascii="Arial" w:hAnsi="Arial" w:cs="Arial"/>
                <w:sz w:val="18"/>
              </w:rPr>
            </w:pPr>
          </w:p>
        </w:tc>
        <w:tc>
          <w:tcPr>
            <w:tcW w:w="3118" w:type="dxa"/>
            <w:tcBorders>
              <w:top w:val="single" w:sz="4" w:space="0" w:color="auto"/>
              <w:left w:val="single" w:sz="4" w:space="0" w:color="auto"/>
              <w:bottom w:val="single" w:sz="4" w:space="0" w:color="auto"/>
              <w:right w:val="single" w:sz="4" w:space="0" w:color="auto"/>
            </w:tcBorders>
            <w:hideMark/>
          </w:tcPr>
          <w:p w:rsidR="00C83DC3" w:rsidRDefault="00BA7A7F">
            <w:pPr>
              <w:pStyle w:val="TableTextBase"/>
              <w:rPr>
                <w:rFonts w:eastAsia="Calibri"/>
                <w:iCs/>
                <w:sz w:val="16"/>
                <w:szCs w:val="16"/>
              </w:rPr>
            </w:pPr>
            <w:r>
              <w:rPr>
                <w:rFonts w:eastAsia="Calibri"/>
                <w:iCs/>
                <w:sz w:val="16"/>
                <w:szCs w:val="16"/>
              </w:rPr>
              <w:t>Reduce AIMS’ environmental footprint.</w:t>
            </w:r>
          </w:p>
        </w:tc>
        <w:tc>
          <w:tcPr>
            <w:tcW w:w="3118" w:type="dxa"/>
            <w:tcBorders>
              <w:top w:val="single" w:sz="4" w:space="0" w:color="auto"/>
              <w:left w:val="single" w:sz="4" w:space="0" w:color="auto"/>
              <w:bottom w:val="single" w:sz="4" w:space="0" w:color="auto"/>
              <w:right w:val="single" w:sz="4" w:space="0" w:color="auto"/>
            </w:tcBorders>
            <w:hideMark/>
          </w:tcPr>
          <w:p w:rsidR="00C83DC3" w:rsidRDefault="00BA7A7F">
            <w:pPr>
              <w:pStyle w:val="TableTextBase"/>
              <w:rPr>
                <w:rFonts w:eastAsia="Calibri"/>
                <w:iCs/>
                <w:sz w:val="16"/>
                <w:szCs w:val="16"/>
              </w:rPr>
            </w:pPr>
            <w:r>
              <w:rPr>
                <w:rFonts w:eastAsia="Calibri"/>
                <w:iCs/>
                <w:sz w:val="16"/>
                <w:szCs w:val="16"/>
              </w:rPr>
              <w:t>20% reduction in AIMS’ carbon emissions compared with 2017-18.</w:t>
            </w:r>
          </w:p>
          <w:p w:rsidR="00C83DC3" w:rsidRDefault="00BA7A7F" w:rsidP="00EB75C8">
            <w:pPr>
              <w:pStyle w:val="TableTextBase"/>
              <w:rPr>
                <w:rFonts w:eastAsia="Calibri"/>
                <w:iCs/>
                <w:sz w:val="16"/>
                <w:szCs w:val="16"/>
              </w:rPr>
            </w:pPr>
            <w:r>
              <w:rPr>
                <w:rFonts w:eastAsia="Calibri"/>
                <w:iCs/>
                <w:sz w:val="16"/>
                <w:szCs w:val="16"/>
              </w:rPr>
              <w:t>20% cent reduction in AIMS’ waste to landfill compared with 2018-19.</w:t>
            </w:r>
          </w:p>
        </w:tc>
      </w:tr>
      <w:tr w:rsidR="00253274" w:rsidTr="001E4741">
        <w:trPr>
          <w:trHeight w:val="491"/>
        </w:trPr>
        <w:tc>
          <w:tcPr>
            <w:tcW w:w="0" w:type="auto"/>
            <w:vMerge/>
            <w:tcBorders>
              <w:top w:val="single" w:sz="4" w:space="0" w:color="auto"/>
              <w:left w:val="single" w:sz="4" w:space="0" w:color="auto"/>
              <w:bottom w:val="dotted" w:sz="4" w:space="0" w:color="auto"/>
              <w:right w:val="single" w:sz="4" w:space="0" w:color="auto"/>
            </w:tcBorders>
            <w:vAlign w:val="center"/>
            <w:hideMark/>
          </w:tcPr>
          <w:p w:rsidR="00C83DC3" w:rsidRDefault="00C83DC3">
            <w:pPr>
              <w:spacing w:after="0" w:line="240" w:lineRule="auto"/>
              <w:jc w:val="left"/>
              <w:rPr>
                <w:rFonts w:ascii="Arial" w:hAnsi="Arial" w:cs="Arial"/>
                <w:sz w:val="18"/>
              </w:rPr>
            </w:pPr>
          </w:p>
        </w:tc>
        <w:tc>
          <w:tcPr>
            <w:tcW w:w="3118" w:type="dxa"/>
            <w:tcBorders>
              <w:top w:val="single" w:sz="4" w:space="0" w:color="auto"/>
              <w:left w:val="single" w:sz="4" w:space="0" w:color="auto"/>
              <w:bottom w:val="dotted" w:sz="4" w:space="0" w:color="auto"/>
              <w:right w:val="single" w:sz="4" w:space="0" w:color="auto"/>
            </w:tcBorders>
            <w:hideMark/>
          </w:tcPr>
          <w:p w:rsidR="00C83DC3" w:rsidRDefault="00BA7A7F">
            <w:pPr>
              <w:pStyle w:val="TableTextBase"/>
              <w:rPr>
                <w:rFonts w:eastAsia="Calibri"/>
                <w:iCs/>
                <w:sz w:val="16"/>
                <w:szCs w:val="16"/>
              </w:rPr>
            </w:pPr>
            <w:r>
              <w:rPr>
                <w:rFonts w:eastAsia="Calibri"/>
                <w:iCs/>
                <w:sz w:val="16"/>
                <w:szCs w:val="16"/>
              </w:rPr>
              <w:t>Optimise use of research infrastructure assets.</w:t>
            </w:r>
          </w:p>
        </w:tc>
        <w:tc>
          <w:tcPr>
            <w:tcW w:w="3118" w:type="dxa"/>
            <w:tcBorders>
              <w:top w:val="single" w:sz="4" w:space="0" w:color="auto"/>
              <w:left w:val="single" w:sz="4" w:space="0" w:color="auto"/>
              <w:bottom w:val="dotted" w:sz="4" w:space="0" w:color="auto"/>
              <w:right w:val="single" w:sz="4" w:space="0" w:color="auto"/>
            </w:tcBorders>
            <w:hideMark/>
          </w:tcPr>
          <w:p w:rsidR="00C83DC3" w:rsidRDefault="00BA7A7F">
            <w:pPr>
              <w:pStyle w:val="TableTextBase"/>
              <w:rPr>
                <w:rFonts w:eastAsia="Calibri"/>
                <w:iCs/>
                <w:sz w:val="16"/>
                <w:szCs w:val="16"/>
              </w:rPr>
            </w:pPr>
            <w:r>
              <w:rPr>
                <w:rFonts w:eastAsia="Calibri"/>
                <w:iCs/>
                <w:sz w:val="16"/>
                <w:szCs w:val="16"/>
              </w:rPr>
              <w:t>Maintain or increase use of research infrastructure.</w:t>
            </w:r>
          </w:p>
        </w:tc>
      </w:tr>
      <w:tr w:rsidR="00253274" w:rsidTr="001E4741">
        <w:trPr>
          <w:trHeight w:val="491"/>
        </w:trPr>
        <w:tc>
          <w:tcPr>
            <w:tcW w:w="1560" w:type="dxa"/>
            <w:tcBorders>
              <w:top w:val="single" w:sz="4" w:space="0" w:color="auto"/>
              <w:left w:val="single" w:sz="4" w:space="0" w:color="auto"/>
              <w:bottom w:val="dotted" w:sz="4" w:space="0" w:color="auto"/>
              <w:right w:val="single" w:sz="4" w:space="0" w:color="auto"/>
            </w:tcBorders>
            <w:hideMark/>
          </w:tcPr>
          <w:p w:rsidR="00C83DC3" w:rsidRPr="0001270B" w:rsidRDefault="00BA7A7F">
            <w:pPr>
              <w:pStyle w:val="TableTextBase"/>
              <w:rPr>
                <w:rFonts w:eastAsia="Calibri"/>
                <w:sz w:val="16"/>
                <w:szCs w:val="16"/>
              </w:rPr>
            </w:pPr>
            <w:r w:rsidRPr="0001270B">
              <w:rPr>
                <w:rFonts w:eastAsia="Calibri"/>
                <w:sz w:val="16"/>
                <w:szCs w:val="16"/>
              </w:rPr>
              <w:t xml:space="preserve">Forward Estimates </w:t>
            </w:r>
          </w:p>
          <w:p w:rsidR="00C83DC3" w:rsidRPr="0001270B" w:rsidRDefault="00BA7A7F">
            <w:pPr>
              <w:pStyle w:val="TableTextBase"/>
              <w:rPr>
                <w:rFonts w:eastAsia="Calibri"/>
                <w:sz w:val="16"/>
                <w:szCs w:val="16"/>
              </w:rPr>
            </w:pPr>
            <w:r w:rsidRPr="0001270B">
              <w:rPr>
                <w:rFonts w:eastAsia="Calibri"/>
                <w:sz w:val="16"/>
                <w:szCs w:val="16"/>
              </w:rPr>
              <w:t>2023-26</w:t>
            </w:r>
          </w:p>
        </w:tc>
        <w:tc>
          <w:tcPr>
            <w:tcW w:w="3118" w:type="dxa"/>
            <w:tcBorders>
              <w:top w:val="single" w:sz="4" w:space="0" w:color="auto"/>
              <w:left w:val="single" w:sz="4" w:space="0" w:color="auto"/>
              <w:bottom w:val="dotted" w:sz="4" w:space="0" w:color="auto"/>
              <w:right w:val="single" w:sz="4" w:space="0" w:color="auto"/>
            </w:tcBorders>
            <w:hideMark/>
          </w:tcPr>
          <w:p w:rsidR="00C83DC3" w:rsidRPr="0001270B" w:rsidRDefault="00BA7A7F">
            <w:pPr>
              <w:pStyle w:val="TableTextBase"/>
              <w:rPr>
                <w:rFonts w:eastAsia="Calibri"/>
                <w:sz w:val="16"/>
                <w:szCs w:val="16"/>
              </w:rPr>
            </w:pPr>
            <w:r w:rsidRPr="0001270B">
              <w:rPr>
                <w:rFonts w:eastAsia="Calibri"/>
                <w:sz w:val="16"/>
                <w:szCs w:val="16"/>
              </w:rPr>
              <w:t>As per 2022-23</w:t>
            </w:r>
            <w:r>
              <w:rPr>
                <w:rFonts w:eastAsia="Calibri"/>
                <w:sz w:val="16"/>
                <w:szCs w:val="16"/>
              </w:rPr>
              <w:t>.</w:t>
            </w:r>
          </w:p>
        </w:tc>
        <w:tc>
          <w:tcPr>
            <w:tcW w:w="3118" w:type="dxa"/>
            <w:tcBorders>
              <w:top w:val="single" w:sz="4" w:space="0" w:color="auto"/>
              <w:left w:val="single" w:sz="4" w:space="0" w:color="auto"/>
              <w:bottom w:val="dotted" w:sz="4" w:space="0" w:color="auto"/>
              <w:right w:val="single" w:sz="4" w:space="0" w:color="auto"/>
            </w:tcBorders>
            <w:hideMark/>
          </w:tcPr>
          <w:p w:rsidR="00C83DC3" w:rsidRPr="0001270B" w:rsidRDefault="00BA7A7F">
            <w:pPr>
              <w:pStyle w:val="TableTextBase"/>
              <w:rPr>
                <w:rFonts w:eastAsia="Calibri"/>
                <w:sz w:val="16"/>
                <w:szCs w:val="16"/>
              </w:rPr>
            </w:pPr>
            <w:r w:rsidRPr="0001270B">
              <w:rPr>
                <w:rFonts w:eastAsia="Calibri"/>
                <w:sz w:val="16"/>
                <w:szCs w:val="16"/>
              </w:rPr>
              <w:t>As per 2022-23</w:t>
            </w:r>
            <w:r>
              <w:rPr>
                <w:rFonts w:eastAsia="Calibri"/>
                <w:sz w:val="16"/>
                <w:szCs w:val="16"/>
              </w:rPr>
              <w:t>.</w:t>
            </w:r>
          </w:p>
        </w:tc>
      </w:tr>
      <w:tr w:rsidR="00253274" w:rsidTr="001E4741">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C83DC3" w:rsidRDefault="00BA7A7F">
            <w:pPr>
              <w:pStyle w:val="TableTextBase"/>
              <w:rPr>
                <w:rFonts w:eastAsia="Cambria" w:cs="Times New Roman"/>
                <w:bCs/>
                <w:iCs/>
                <w:spacing w:val="-6"/>
                <w:sz w:val="16"/>
                <w:szCs w:val="16"/>
                <w:lang w:val="x-none"/>
              </w:rPr>
            </w:pPr>
            <w:r>
              <w:rPr>
                <w:rFonts w:eastAsia="Calibri"/>
                <w:sz w:val="16"/>
                <w:szCs w:val="16"/>
              </w:rPr>
              <w:t xml:space="preserve">Material changes to Program 1 resulting from 2022-23 Budget </w:t>
            </w:r>
            <w:r w:rsidRPr="008740B4">
              <w:rPr>
                <w:rFonts w:eastAsia="Calibri"/>
                <w:sz w:val="16"/>
                <w:szCs w:val="16"/>
              </w:rPr>
              <w:t>Measures:</w:t>
            </w:r>
            <w:r w:rsidRPr="008740B4">
              <w:rPr>
                <w:rStyle w:val="BodyTextChar"/>
                <w:rFonts w:ascii="Arial" w:eastAsia="Calibri" w:hAnsi="Arial" w:cs="Arial"/>
                <w:bCs/>
                <w:iCs/>
                <w:spacing w:val="-6"/>
                <w:sz w:val="16"/>
                <w:szCs w:val="16"/>
              </w:rPr>
              <w:t xml:space="preserve"> Nil</w:t>
            </w:r>
          </w:p>
        </w:tc>
      </w:tr>
    </w:tbl>
    <w:p w:rsidR="005B2053" w:rsidRPr="00AB6473" w:rsidRDefault="00BA7A7F" w:rsidP="00AB6473">
      <w:pPr>
        <w:pStyle w:val="Heading2"/>
        <w:pageBreakBefore/>
        <w:spacing w:after="120"/>
        <w:rPr>
          <w:b/>
          <w:sz w:val="26"/>
          <w:szCs w:val="26"/>
        </w:rPr>
      </w:pPr>
      <w:bookmarkStart w:id="337" w:name="RG_MARKER_11710"/>
      <w:bookmarkStart w:id="338" w:name="RG_MARKER_11703"/>
      <w:bookmarkStart w:id="339" w:name="RG_MARKER_12094"/>
      <w:r w:rsidRPr="00AB6473">
        <w:rPr>
          <w:b/>
          <w:sz w:val="26"/>
          <w:szCs w:val="26"/>
        </w:rPr>
        <w:t>Section 3</w:t>
      </w:r>
      <w:bookmarkStart w:id="340" w:name="_Toc449255782_0"/>
      <w:bookmarkStart w:id="341" w:name="_Toc446237038_0"/>
      <w:bookmarkStart w:id="342" w:name="_Toc436625460_0"/>
      <w:bookmarkStart w:id="343" w:name="_Toc436624159_0"/>
      <w:bookmarkEnd w:id="337"/>
      <w:bookmarkEnd w:id="338"/>
      <w:bookmarkEnd w:id="339"/>
      <w:r w:rsidRPr="00AB6473">
        <w:rPr>
          <w:b/>
          <w:sz w:val="26"/>
          <w:szCs w:val="26"/>
        </w:rPr>
        <w:t>: Budgeted financial statements</w:t>
      </w:r>
      <w:bookmarkEnd w:id="340"/>
      <w:bookmarkEnd w:id="341"/>
      <w:bookmarkEnd w:id="342"/>
      <w:bookmarkEnd w:id="343"/>
    </w:p>
    <w:p w:rsidR="00445F72" w:rsidRDefault="00BA7A7F" w:rsidP="00445F72">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rsidR="0000614C" w:rsidRPr="00AD3112" w:rsidRDefault="00BA7A7F" w:rsidP="00AD3112">
      <w:pPr>
        <w:pStyle w:val="Heading3"/>
        <w:rPr>
          <w:smallCaps w:val="0"/>
          <w:sz w:val="22"/>
          <w:szCs w:val="22"/>
        </w:rPr>
      </w:pPr>
      <w:bookmarkStart w:id="344" w:name="_Toc210703218_0"/>
      <w:bookmarkStart w:id="345" w:name="_Toc190682533_0"/>
      <w:bookmarkStart w:id="346" w:name="_Toc190682316_0"/>
      <w:r w:rsidRPr="00AB6473">
        <w:rPr>
          <w:smallCaps w:val="0"/>
          <w:sz w:val="22"/>
          <w:szCs w:val="22"/>
        </w:rPr>
        <w:t>3.1</w:t>
      </w:r>
      <w:r w:rsidRPr="00AB6473">
        <w:rPr>
          <w:smallCaps w:val="0"/>
          <w:sz w:val="22"/>
          <w:szCs w:val="22"/>
        </w:rPr>
        <w:tab/>
        <w:t>Budgeted financial statements</w:t>
      </w:r>
      <w:bookmarkEnd w:id="344"/>
      <w:bookmarkEnd w:id="345"/>
      <w:bookmarkEnd w:id="346"/>
    </w:p>
    <w:p w:rsidR="0000614C" w:rsidRPr="008D72C4" w:rsidRDefault="00BA7A7F" w:rsidP="0000614C">
      <w:pPr>
        <w:pStyle w:val="Heading4"/>
        <w:rPr>
          <w:sz w:val="20"/>
        </w:rPr>
      </w:pPr>
      <w:r w:rsidRPr="008D72C4">
        <w:rPr>
          <w:sz w:val="20"/>
        </w:rPr>
        <w:t>3.1.1</w:t>
      </w:r>
      <w:r w:rsidRPr="008D72C4">
        <w:rPr>
          <w:sz w:val="20"/>
        </w:rPr>
        <w:tab/>
        <w:t>Explanatory notes and analysis of budgeted financial statements</w:t>
      </w:r>
    </w:p>
    <w:p w:rsidR="001829BA" w:rsidRDefault="00BA7A7F" w:rsidP="001829BA">
      <w:pPr>
        <w:pStyle w:val="ExampleText0"/>
        <w:spacing w:after="160"/>
        <w:jc w:val="both"/>
        <w:rPr>
          <w:i w:val="0"/>
          <w:iCs/>
          <w:color w:val="auto"/>
        </w:rPr>
      </w:pPr>
      <w:r>
        <w:rPr>
          <w:i w:val="0"/>
          <w:iCs/>
          <w:color w:val="auto"/>
        </w:rPr>
        <w:t>AIMS’ budget statements have been prepared on an accrual accounting basis, having regard to the Statement of Accounting concepts, and in accordance with:</w:t>
      </w:r>
    </w:p>
    <w:p w:rsidR="001829BA" w:rsidRDefault="00BA7A7F" w:rsidP="001829BA">
      <w:pPr>
        <w:pStyle w:val="ExampleText0"/>
        <w:keepLines w:val="0"/>
        <w:numPr>
          <w:ilvl w:val="0"/>
          <w:numId w:val="45"/>
        </w:numPr>
        <w:spacing w:after="160"/>
        <w:jc w:val="both"/>
        <w:rPr>
          <w:i w:val="0"/>
          <w:iCs/>
          <w:color w:val="auto"/>
        </w:rPr>
      </w:pPr>
      <w:r>
        <w:rPr>
          <w:i w:val="0"/>
          <w:iCs/>
          <w:color w:val="auto"/>
        </w:rPr>
        <w:t>Finance Reporting Rules (FRR)</w:t>
      </w:r>
    </w:p>
    <w:p w:rsidR="001829BA" w:rsidRDefault="00BA7A7F" w:rsidP="001829BA">
      <w:pPr>
        <w:pStyle w:val="ExampleText0"/>
        <w:keepLines w:val="0"/>
        <w:numPr>
          <w:ilvl w:val="0"/>
          <w:numId w:val="45"/>
        </w:numPr>
        <w:spacing w:after="160"/>
        <w:jc w:val="both"/>
        <w:rPr>
          <w:i w:val="0"/>
          <w:iCs/>
          <w:color w:val="auto"/>
        </w:rPr>
      </w:pPr>
      <w:r>
        <w:rPr>
          <w:i w:val="0"/>
          <w:iCs/>
          <w:color w:val="auto"/>
        </w:rPr>
        <w:t>Australian Accounting Standards and Interpretations issued by the Australian Accounting Standards Board (AASB).</w:t>
      </w:r>
    </w:p>
    <w:p w:rsidR="001829BA" w:rsidRDefault="00BA7A7F" w:rsidP="001829BA">
      <w:pPr>
        <w:pStyle w:val="Outcome"/>
        <w:spacing w:before="0" w:line="240" w:lineRule="auto"/>
        <w:rPr>
          <w:rFonts w:ascii="Book Antiqua" w:hAnsi="Book Antiqua" w:cs="Times New Roman"/>
          <w:b w:val="0"/>
        </w:rPr>
      </w:pPr>
      <w:r>
        <w:rPr>
          <w:rFonts w:ascii="Book Antiqua" w:hAnsi="Book Antiqua" w:cs="Times New Roman"/>
          <w:b w:val="0"/>
        </w:rPr>
        <w:t>AIMS’ estimated actual, budgeted and forward estimate financial statements are impacted by a number of measures which are a mixture of operational and capital funding to support financial sustainability and maintain and grow key research infrastructure.</w:t>
      </w:r>
    </w:p>
    <w:p w:rsidR="001829BA" w:rsidRDefault="00BA7A7F" w:rsidP="001829BA">
      <w:pPr>
        <w:pStyle w:val="Outcome"/>
        <w:numPr>
          <w:ilvl w:val="0"/>
          <w:numId w:val="46"/>
        </w:numPr>
        <w:spacing w:before="0" w:line="240" w:lineRule="auto"/>
        <w:rPr>
          <w:rFonts w:ascii="Book Antiqua" w:hAnsi="Book Antiqua" w:cs="Times New Roman"/>
          <w:bCs/>
        </w:rPr>
      </w:pPr>
      <w:r>
        <w:rPr>
          <w:rFonts w:ascii="Book Antiqua" w:hAnsi="Book Antiqua" w:cs="Times New Roman"/>
          <w:bCs/>
        </w:rPr>
        <w:t>Financ</w:t>
      </w:r>
      <w:r w:rsidR="00EA49C1">
        <w:rPr>
          <w:rFonts w:ascii="Book Antiqua" w:hAnsi="Book Antiqua" w:cs="Times New Roman"/>
          <w:bCs/>
        </w:rPr>
        <w:t xml:space="preserve">ial Sustainability </w:t>
      </w:r>
    </w:p>
    <w:p w:rsidR="001829BA" w:rsidRDefault="00BA7A7F" w:rsidP="001829BA">
      <w:pPr>
        <w:pStyle w:val="Outcome"/>
        <w:spacing w:before="0" w:line="240" w:lineRule="auto"/>
        <w:rPr>
          <w:rFonts w:ascii="Book Antiqua" w:hAnsi="Book Antiqua" w:cs="Times New Roman"/>
          <w:b w:val="0"/>
        </w:rPr>
      </w:pPr>
      <w:r>
        <w:rPr>
          <w:rFonts w:ascii="Book Antiqua" w:hAnsi="Book Antiqua" w:cs="Times New Roman"/>
          <w:b w:val="0"/>
        </w:rPr>
        <w:t>AIMS is to receive additional appropriation over the 2021-22 to 2023-24 years. This additional funding will ensure AIMS is resourced to continue its significant, and critical, contribution to national marine science.</w:t>
      </w:r>
    </w:p>
    <w:p w:rsidR="001829BA" w:rsidRDefault="00BA7A7F" w:rsidP="001829BA">
      <w:pPr>
        <w:pStyle w:val="Outcome"/>
        <w:numPr>
          <w:ilvl w:val="0"/>
          <w:numId w:val="46"/>
        </w:numPr>
        <w:spacing w:before="0" w:line="240" w:lineRule="auto"/>
        <w:rPr>
          <w:rFonts w:ascii="Book Antiqua" w:hAnsi="Book Antiqua" w:cs="Times New Roman"/>
          <w:bCs/>
        </w:rPr>
      </w:pPr>
      <w:r>
        <w:rPr>
          <w:rFonts w:ascii="Book Antiqua" w:hAnsi="Book Antiqua" w:cs="Times New Roman"/>
          <w:bCs/>
        </w:rPr>
        <w:t>Nati</w:t>
      </w:r>
      <w:r w:rsidR="006660D7">
        <w:rPr>
          <w:rFonts w:ascii="Book Antiqua" w:hAnsi="Book Antiqua" w:cs="Times New Roman"/>
          <w:bCs/>
        </w:rPr>
        <w:t xml:space="preserve">onal Sea Simulator </w:t>
      </w:r>
    </w:p>
    <w:p w:rsidR="001829BA" w:rsidRDefault="00BA7A7F" w:rsidP="001829BA">
      <w:r>
        <w:t>AIMS received a grant from the National Collaborative Research Infrastructure Strategy (NCRIS) to expand and operate the National Sea Simulator. The grant commenced in June 2021 and will fund expansion of the facility, base line operations of the expanded facility and operation of a proportion of the existing facility with fully funded competitive access for meritorious science. The grant will enable research that supports nationally important programs such as the Reef 2050 Long Term Sustainability Plan and the Reef Restoration and Adaption Program.</w:t>
      </w:r>
    </w:p>
    <w:p w:rsidR="001829BA" w:rsidRDefault="00BA7A7F" w:rsidP="001829BA">
      <w:pPr>
        <w:pStyle w:val="ListParagraph"/>
        <w:numPr>
          <w:ilvl w:val="0"/>
          <w:numId w:val="46"/>
        </w:numPr>
        <w:spacing w:after="120" w:line="240" w:lineRule="auto"/>
        <w:jc w:val="left"/>
        <w:rPr>
          <w:rFonts w:eastAsia="Times New Roman" w:cs="Times New Roman"/>
          <w:b/>
          <w:bCs/>
          <w:sz w:val="20"/>
          <w:szCs w:val="20"/>
          <w:lang w:val="en-AU"/>
        </w:rPr>
      </w:pPr>
      <w:r>
        <w:rPr>
          <w:rFonts w:eastAsia="Times New Roman" w:cs="Times New Roman"/>
          <w:b/>
          <w:bCs/>
          <w:sz w:val="20"/>
          <w:szCs w:val="20"/>
          <w:lang w:val="en-AU"/>
        </w:rPr>
        <w:t xml:space="preserve">Wharf Remediation </w:t>
      </w:r>
    </w:p>
    <w:p w:rsidR="001829BA" w:rsidRDefault="00BA7A7F" w:rsidP="001829BA">
      <w:r>
        <w:t xml:space="preserve">AIMS has received funding to complete detailed design and construction of a new wharf at the Cape Cleveland facility near Townsville, Queensland.  The wharf will re-establish critical research infrastructure for AIMS that had been lost due to siltation arising from a major change in coastal sediment transport conditions. It will return to operation the only major research vessel access facility located in a scientific protected zone in Australia. </w:t>
      </w:r>
    </w:p>
    <w:p w:rsidR="00D7332B" w:rsidRDefault="00D7332B" w:rsidP="001829BA"/>
    <w:p w:rsidR="001829BA" w:rsidRDefault="00BA7A7F" w:rsidP="001829BA">
      <w:pPr>
        <w:pStyle w:val="Outcome"/>
        <w:numPr>
          <w:ilvl w:val="0"/>
          <w:numId w:val="46"/>
        </w:numPr>
        <w:spacing w:before="0" w:line="240" w:lineRule="auto"/>
        <w:rPr>
          <w:rFonts w:ascii="Book Antiqua" w:hAnsi="Book Antiqua" w:cs="Times New Roman"/>
          <w:bCs/>
        </w:rPr>
      </w:pPr>
      <w:r>
        <w:rPr>
          <w:rFonts w:ascii="Book Antiqua" w:hAnsi="Book Antiqua" w:cs="Times New Roman"/>
          <w:bCs/>
        </w:rPr>
        <w:t xml:space="preserve">Replacement Vessel </w:t>
      </w:r>
    </w:p>
    <w:p w:rsidR="00646F55" w:rsidRDefault="00BA7A7F" w:rsidP="00646F55">
      <w:r>
        <w:t xml:space="preserve">AIMS has received funding to complete the detailed design for replacement of AIMS research vessels, the RV Cape Ferguson. </w:t>
      </w:r>
      <w:r w:rsidRPr="00646F55">
        <w:t>This vessel - a dedicated coastal class research platforms operating in northern Australia - is reaching the end of its design life. The new vessel design will provide a flexible platform that supports future marine monitoring technologies, green operation, and collection of underway data to support long term data sets and knowledge gaps.</w:t>
      </w:r>
    </w:p>
    <w:p w:rsidR="008B037D" w:rsidRPr="008B037D" w:rsidRDefault="00BA7A7F" w:rsidP="008B037D">
      <w:pPr>
        <w:keepNext/>
        <w:spacing w:after="120" w:line="240" w:lineRule="auto"/>
        <w:jc w:val="left"/>
        <w:outlineLvl w:val="3"/>
        <w:rPr>
          <w:b/>
          <w:bCs/>
        </w:rPr>
      </w:pPr>
      <w:r>
        <w:rPr>
          <w:b/>
          <w:bCs/>
        </w:rPr>
        <w:t>Budgeted Departmental Income Statement</w:t>
      </w:r>
    </w:p>
    <w:p w:rsidR="00646F55" w:rsidRDefault="00BA7A7F" w:rsidP="00646F55">
      <w:pPr>
        <w:spacing w:after="120" w:line="240" w:lineRule="auto"/>
      </w:pPr>
      <w:r>
        <w:t>The income statement shows the estimated net cost of services for AIMS.</w:t>
      </w:r>
    </w:p>
    <w:p w:rsidR="00646F55" w:rsidRPr="00586D57" w:rsidRDefault="00BA7A7F" w:rsidP="00646F55">
      <w:pPr>
        <w:spacing w:after="120" w:line="240" w:lineRule="auto"/>
      </w:pPr>
      <w:r>
        <w:t xml:space="preserve">AIMS is projecting a </w:t>
      </w:r>
      <w:r w:rsidRPr="00586D57">
        <w:t>loss of $3.4 million in 2022-23.  The loss includes unfunded depreciation expenses relating to assets for which capital was previously provided by the Government partially offset by additional financial sustainability revenue from Government.</w:t>
      </w:r>
    </w:p>
    <w:p w:rsidR="008B037D" w:rsidRDefault="00BA7A7F" w:rsidP="00646F55">
      <w:pPr>
        <w:spacing w:line="240" w:lineRule="auto"/>
      </w:pPr>
      <w:r w:rsidRPr="00586D57">
        <w:t>Sales of goods and rendering of services represent co-investments and</w:t>
      </w:r>
      <w:r>
        <w:t xml:space="preserve"> fees for services contracts with external organisations and companies. The figures provided for sales of goods and services are estimates based on thorough market analysis; however, these may vary with changes to economic conditions including impacts of COVID-19.</w:t>
      </w:r>
    </w:p>
    <w:p w:rsidR="00646F55" w:rsidRPr="008B037D" w:rsidRDefault="00BA7A7F" w:rsidP="008B037D">
      <w:pPr>
        <w:keepNext/>
        <w:spacing w:before="120" w:after="120" w:line="240" w:lineRule="auto"/>
        <w:jc w:val="left"/>
        <w:outlineLvl w:val="3"/>
        <w:rPr>
          <w:b/>
          <w:bCs/>
        </w:rPr>
      </w:pPr>
      <w:r>
        <w:t xml:space="preserve"> </w:t>
      </w:r>
      <w:r>
        <w:rPr>
          <w:b/>
          <w:bCs/>
        </w:rPr>
        <w:t>Budgeted Departmental Balance Sheet</w:t>
      </w:r>
    </w:p>
    <w:p w:rsidR="00646F55" w:rsidRDefault="00BA7A7F" w:rsidP="00646F55">
      <w:pPr>
        <w:spacing w:after="120"/>
      </w:pPr>
      <w:r>
        <w:t>This  statement  shows  the  estimated  financial  position  for  AIMS  at  the  end  of  each financial year.</w:t>
      </w:r>
    </w:p>
    <w:p w:rsidR="00646F55" w:rsidRDefault="00BA7A7F" w:rsidP="00646F55">
      <w:r w:rsidRPr="00586D57">
        <w:t>The National SeaSimulator NCRIS funding is being provided as an equity injection showing a reversal of the previous decline across the remainder of the forward estimates in last years’ Portfolio Budget Statements.</w:t>
      </w:r>
    </w:p>
    <w:p w:rsidR="008B037D" w:rsidRPr="008B037D" w:rsidRDefault="00BA7A7F" w:rsidP="008B037D">
      <w:pPr>
        <w:spacing w:before="120" w:after="120"/>
        <w:jc w:val="left"/>
        <w:rPr>
          <w:b/>
          <w:bCs/>
        </w:rPr>
      </w:pPr>
      <w:r>
        <w:rPr>
          <w:b/>
          <w:bCs/>
        </w:rPr>
        <w:t>Budgeted Departmental Statement of Cash Flows</w:t>
      </w:r>
    </w:p>
    <w:p w:rsidR="00646F55" w:rsidRPr="00586D57" w:rsidRDefault="00BA7A7F" w:rsidP="00646F55">
      <w:pPr>
        <w:spacing w:after="120"/>
      </w:pPr>
      <w:r w:rsidRPr="00586D57">
        <w:t>The budgeted statement of cash flows provides information on the extent and nature of cash flows by categorising them into expected cash flows from operating activities, investing activities and financing activities.</w:t>
      </w:r>
    </w:p>
    <w:p w:rsidR="00646F55" w:rsidRDefault="00BA7A7F" w:rsidP="00646F55">
      <w:r w:rsidRPr="00586D57">
        <w:t>AIMS’ level of cash for the budget year remains strong with the additional funding and declines over the forward estimates in line with the losses in the income statement.</w:t>
      </w:r>
    </w:p>
    <w:p w:rsidR="008B037D" w:rsidRPr="008B037D" w:rsidRDefault="00BA7A7F" w:rsidP="008B037D">
      <w:pPr>
        <w:spacing w:after="120"/>
        <w:jc w:val="left"/>
        <w:rPr>
          <w:b/>
          <w:bCs/>
        </w:rPr>
      </w:pPr>
      <w:r>
        <w:rPr>
          <w:b/>
          <w:bCs/>
        </w:rPr>
        <w:t>Budgeted Departments Capital Expenditure Statement</w:t>
      </w:r>
    </w:p>
    <w:p w:rsidR="001829BA" w:rsidRDefault="00BA7A7F" w:rsidP="00F25B28">
      <w:pPr>
        <w:spacing w:after="120"/>
      </w:pPr>
      <w:r>
        <w:t xml:space="preserve">The </w:t>
      </w:r>
      <w:r w:rsidRPr="00586D57">
        <w:t>budgeted internal funded capital expenditure relates to expenditure occurring in construction of new buildings, infrastructure, and purchase of plant and equipment, including information technology rela</w:t>
      </w:r>
      <w:r>
        <w:t>ted assets. It also includes</w:t>
      </w:r>
      <w:r w:rsidRPr="00586D57">
        <w:t xml:space="preserve"> cap</w:t>
      </w:r>
      <w:r>
        <w:t>ital expenditure relating to</w:t>
      </w:r>
      <w:r w:rsidRPr="00586D57">
        <w:t xml:space="preserve"> construction of the National Sea Simulator expansion.</w:t>
      </w:r>
    </w:p>
    <w:p w:rsidR="001829BA" w:rsidRDefault="001829BA" w:rsidP="00BC0408">
      <w:pPr>
        <w:spacing w:after="160"/>
        <w:rPr>
          <w:vanish/>
        </w:rPr>
      </w:pPr>
    </w:p>
    <w:p w:rsidR="006B6EF0" w:rsidRPr="003A183A" w:rsidRDefault="00BA7A7F" w:rsidP="00035DB7">
      <w:pPr>
        <w:pStyle w:val="Heading3"/>
        <w:pageBreakBefore/>
        <w:spacing w:before="360" w:after="120"/>
        <w:rPr>
          <w:rFonts w:ascii="Arial Bold" w:hAnsi="Arial Bold"/>
          <w:smallCaps w:val="0"/>
          <w:sz w:val="22"/>
          <w:szCs w:val="22"/>
        </w:rPr>
      </w:pPr>
      <w:bookmarkStart w:id="347" w:name="RG_MARKER_11708"/>
      <w:bookmarkStart w:id="348" w:name="RG_MARKER_12204"/>
      <w:r w:rsidRPr="003A183A">
        <w:rPr>
          <w:rFonts w:ascii="Arial Bold" w:hAnsi="Arial Bold"/>
          <w:smallCaps w:val="0"/>
          <w:sz w:val="22"/>
          <w:szCs w:val="22"/>
        </w:rPr>
        <w:t>3.2</w:t>
      </w:r>
      <w:bookmarkEnd w:id="347"/>
      <w:bookmarkEnd w:id="348"/>
      <w:r w:rsidRPr="003A183A">
        <w:rPr>
          <w:rFonts w:ascii="Arial Bold" w:hAnsi="Arial Bold"/>
          <w:smallCaps w:val="0"/>
          <w:sz w:val="22"/>
          <w:szCs w:val="22"/>
        </w:rPr>
        <w:tab/>
        <w:t>Budgeted financial statements tables</w:t>
      </w:r>
    </w:p>
    <w:p w:rsidR="005E7F55" w:rsidRDefault="00BA7A7F" w:rsidP="00D17BDF">
      <w:pPr>
        <w:pStyle w:val="TableHeading"/>
        <w:keepLines/>
        <w:spacing w:before="0"/>
      </w:pPr>
      <w:r>
        <w:t>Table 3.1: Comprehensive income statement (showing net cost of services) for the period ended 30 June</w:t>
      </w:r>
    </w:p>
    <w:tbl>
      <w:tblPr>
        <w:tblStyle w:val="CDMRange1"/>
        <w:tblW w:w="7650" w:type="dxa"/>
        <w:tblLayout w:type="fixed"/>
        <w:tblLook w:val="0600" w:firstRow="0" w:lastRow="0" w:firstColumn="0" w:lastColumn="0" w:noHBand="1" w:noVBand="1"/>
      </w:tblPr>
      <w:tblGrid>
        <w:gridCol w:w="3525"/>
        <w:gridCol w:w="825"/>
        <w:gridCol w:w="825"/>
        <w:gridCol w:w="825"/>
        <w:gridCol w:w="825"/>
        <w:gridCol w:w="825"/>
      </w:tblGrid>
      <w:tr w:rsidR="00253274">
        <w:trPr>
          <w:trHeight w:val="870"/>
        </w:trPr>
        <w:tc>
          <w:tcPr>
            <w:tcW w:w="3525"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38,822</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45,275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43,447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37,763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37,974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39,237</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47,696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41,034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45,255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46,809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13,560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14,754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15,085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15,808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15,483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Losses from asset sales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103</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107</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129</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91,741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107,823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99,689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98,970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100,323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2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32,856</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34,073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31,695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35,608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36,688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3,320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7,492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36,626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41,887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32,396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36,262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37,408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Gains </w:t>
            </w:r>
          </w:p>
        </w:tc>
        <w:tc>
          <w:tcPr>
            <w:tcW w:w="82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assets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103</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103</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36,729</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41,967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32,503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36,391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37,451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52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55,012</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65,856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67,186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62,579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62,872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49,548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59,193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60,172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48,843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49,462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52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(5,464)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(6,663)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(7,014)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(13,736)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(13,410)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525" w:type="dxa"/>
            <w:tcBorders>
              <w:top w:val="nil"/>
              <w:left w:val="nil"/>
              <w:bottom w:val="dotted" w:sz="2"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(5,464)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(6,663)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(7,014)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(13,736)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(13,410)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352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75" w:type="dxa"/>
            <w:gridSpan w:val="3"/>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25" w:type="dxa"/>
            <w:tcBorders>
              <w:top w:val="dotted" w:sz="2" w:space="0" w:color="000000"/>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(5,464)</w:t>
            </w:r>
          </w:p>
        </w:tc>
        <w:tc>
          <w:tcPr>
            <w:tcW w:w="82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(6,663)</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(7,014)</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(13,736)</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(13,410)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52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(a)</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76</w:t>
            </w:r>
          </w:p>
        </w:tc>
        <w:tc>
          <w:tcPr>
            <w:tcW w:w="825" w:type="dxa"/>
            <w:tcBorders>
              <w:top w:val="nil"/>
              <w:left w:val="nil"/>
              <w:bottom w:val="nil"/>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2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(108)</w:t>
            </w:r>
          </w:p>
        </w:tc>
        <w:tc>
          <w:tcPr>
            <w:tcW w:w="825" w:type="dxa"/>
            <w:tcBorders>
              <w:top w:val="nil"/>
              <w:left w:val="nil"/>
              <w:bottom w:val="dotted" w:sz="2" w:space="0" w:color="000000"/>
              <w:right w:val="nil"/>
              <w:tl2br w:val="nil"/>
              <w:tr2bl w:val="nil"/>
            </w:tcBorders>
            <w:shd w:val="clear" w:color="FFFFFF" w:fill="E6E6E6"/>
            <w:noWrap/>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25"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(5,496)</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(6,674)</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(7,006)</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(13,730)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(13,406)</w:t>
            </w:r>
          </w:p>
        </w:tc>
      </w:tr>
    </w:tbl>
    <w:p w:rsidR="000C43C5" w:rsidRPr="002462C0" w:rsidRDefault="00BA7A7F" w:rsidP="0057715E">
      <w:pPr>
        <w:spacing w:after="0" w:line="240" w:lineRule="auto"/>
        <w:rPr>
          <w:rFonts w:ascii="Arial" w:eastAsia="Calibri" w:hAnsi="Arial" w:cs="Arial"/>
          <w:sz w:val="16"/>
          <w:szCs w:val="16"/>
          <w:bdr w:val="none" w:sz="0" w:space="0" w:color="auto" w:frame="1"/>
        </w:rPr>
      </w:pPr>
      <w:r w:rsidRPr="002462C0">
        <w:rPr>
          <w:rFonts w:ascii="Arial" w:eastAsia="Calibri" w:hAnsi="Arial" w:cs="Arial"/>
          <w:sz w:val="16"/>
          <w:szCs w:val="16"/>
          <w:bdr w:val="none" w:sz="0" w:space="0" w:color="auto" w:frame="1"/>
        </w:rPr>
        <w:t>Prepared on Australian Accounting Standards basis.</w:t>
      </w:r>
    </w:p>
    <w:p w:rsidR="009F2DAB" w:rsidRDefault="00BA7A7F" w:rsidP="00A152D9">
      <w:pPr>
        <w:pStyle w:val="ListParagraph"/>
        <w:keepLines/>
        <w:numPr>
          <w:ilvl w:val="0"/>
          <w:numId w:val="47"/>
        </w:numPr>
        <w:spacing w:before="40" w:after="0" w:line="240" w:lineRule="auto"/>
        <w:ind w:left="360"/>
        <w:jc w:val="left"/>
        <w:rPr>
          <w:rFonts w:eastAsia="Calibri" w:cs="Arial"/>
          <w:sz w:val="16"/>
          <w:szCs w:val="16"/>
          <w:bdr w:val="none" w:sz="0" w:space="0" w:color="auto" w:frame="1"/>
          <w:lang w:val="en-AU"/>
        </w:rPr>
      </w:pPr>
      <w:r w:rsidRPr="002462C0">
        <w:rPr>
          <w:rFonts w:ascii="Arial" w:eastAsia="Calibri" w:hAnsi="Arial" w:cs="Arial"/>
          <w:sz w:val="16"/>
          <w:szCs w:val="16"/>
          <w:bdr w:val="none" w:sz="0" w:space="0" w:color="auto" w:frame="1"/>
          <w:lang w:val="en-AU"/>
        </w:rPr>
        <w:t>Applies leases under AASB 16 Leases.</w:t>
      </w:r>
    </w:p>
    <w:p w:rsidR="009F2DAB" w:rsidRPr="009F2DAB" w:rsidRDefault="009F2DAB" w:rsidP="0057066B">
      <w:pPr>
        <w:rPr>
          <w:rFonts w:ascii="Arial" w:eastAsia="Calibri" w:hAnsi="Arial" w:cs="Arial"/>
          <w:sz w:val="16"/>
          <w:szCs w:val="16"/>
          <w:bdr w:val="none" w:sz="0" w:space="0" w:color="auto" w:frame="1"/>
        </w:rPr>
      </w:pPr>
    </w:p>
    <w:p w:rsidR="005E7F55" w:rsidRDefault="00BA7A7F" w:rsidP="00D17BDF">
      <w:pPr>
        <w:pStyle w:val="TableHeading"/>
        <w:keepLines/>
        <w:pageBreakBefore/>
        <w:spacing w:before="0"/>
        <w:rPr>
          <w:rStyle w:val="BookTitle"/>
          <w:i w:val="0"/>
          <w:iCs/>
          <w:spacing w:val="0"/>
          <w:bdr w:val="none" w:sz="0" w:space="0" w:color="auto" w:frame="1"/>
        </w:rPr>
      </w:pPr>
      <w:r>
        <w:rPr>
          <w:bdr w:val="none" w:sz="0" w:space="0" w:color="auto" w:frame="1"/>
        </w:rPr>
        <w:t xml:space="preserve">Table 3.2: Budgeted departmental balance sheet (as at </w:t>
      </w:r>
      <w:r>
        <w:t>30 June)</w:t>
      </w:r>
    </w:p>
    <w:tbl>
      <w:tblPr>
        <w:tblStyle w:val="CDMRange2"/>
        <w:tblW w:w="7575" w:type="dxa"/>
        <w:tblLayout w:type="fixed"/>
        <w:tblLook w:val="0600" w:firstRow="0" w:lastRow="0" w:firstColumn="0" w:lastColumn="0" w:noHBand="1" w:noVBand="1"/>
      </w:tblPr>
      <w:tblGrid>
        <w:gridCol w:w="3300"/>
        <w:gridCol w:w="855"/>
        <w:gridCol w:w="855"/>
        <w:gridCol w:w="855"/>
        <w:gridCol w:w="855"/>
        <w:gridCol w:w="855"/>
      </w:tblGrid>
      <w:tr w:rsidR="00253274">
        <w:trPr>
          <w:trHeight w:val="900"/>
        </w:trPr>
        <w:tc>
          <w:tcPr>
            <w:tcW w:w="3300"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5,682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6,101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7,216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7,396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8,028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56,126</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39,182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34,843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17,541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10,508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4,818</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4,750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2,878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3,922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3,481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66,876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50,283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45,187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29,109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22,267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102,787</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131,124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143,766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140,934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137,646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49,763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52,718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49,886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53,669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51,416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3,925</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3,620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3,055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3,947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4,212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3,781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3,806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3,751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160,724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192,047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201,098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201,806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195,921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227,600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242,330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246,285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230,915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218,188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6,738</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8,330</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7,035</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4,702</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4,942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6,752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7,076</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6,601</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7,281</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7,488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13,490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15,406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13,636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11,983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12,430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Leases </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764</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642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764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685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642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597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14,787</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15,305</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15,488</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15,552</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15,835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14,804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15,305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15,488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15,552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15,835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29,058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31,396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29,766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28,132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28,815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198,542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210,934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216,519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202,783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189,373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113,142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132,197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144,796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144,796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144,796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109,018</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109,018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109,018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109,018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109,018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(23,618)</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(30,281)</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(37,295)</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(51,031)</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(64,441)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198,542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210,934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216,519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202,783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189,373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198,542</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210,934</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216,519</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202,783</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189,373</w:t>
            </w:r>
          </w:p>
        </w:tc>
      </w:tr>
    </w:tbl>
    <w:p w:rsidR="005E7F55" w:rsidRPr="00541680" w:rsidRDefault="00BA7A7F" w:rsidP="00196174">
      <w:pPr>
        <w:spacing w:before="40" w:after="0" w:line="240" w:lineRule="auto"/>
        <w:rPr>
          <w:rFonts w:ascii="Arial" w:eastAsia="Calibri" w:hAnsi="Arial" w:cs="Arial"/>
          <w:sz w:val="16"/>
          <w:szCs w:val="16"/>
          <w:bdr w:val="none" w:sz="0" w:space="0" w:color="auto" w:frame="1"/>
        </w:rPr>
      </w:pPr>
      <w:r w:rsidRPr="00541680">
        <w:rPr>
          <w:rFonts w:ascii="Arial" w:eastAsia="Calibri" w:hAnsi="Arial" w:cs="Arial"/>
          <w:sz w:val="16"/>
          <w:szCs w:val="16"/>
          <w:bdr w:val="none" w:sz="0" w:space="0" w:color="auto" w:frame="1"/>
        </w:rPr>
        <w:t>Prepared on Australian Accounting Standards basis.</w:t>
      </w:r>
    </w:p>
    <w:p w:rsidR="005E7F55" w:rsidRDefault="00BA7A7F" w:rsidP="00A1442F">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Pr="00541680">
        <w:rPr>
          <w:rFonts w:ascii="Arial" w:eastAsia="Calibri" w:hAnsi="Arial" w:cs="Arial"/>
          <w:sz w:val="16"/>
          <w:szCs w:val="16"/>
          <w:bdr w:val="none" w:sz="0" w:space="0" w:color="auto" w:frame="1"/>
        </w:rPr>
        <w:t>Equity is the residual interest in assets after deduction of liabilities.</w:t>
      </w:r>
      <w:r>
        <w:rPr>
          <w:rFonts w:ascii="Arial" w:eastAsia="Calibri" w:hAnsi="Arial" w:cs="Arial"/>
          <w:sz w:val="16"/>
          <w:szCs w:val="16"/>
          <w:bdr w:val="none" w:sz="0" w:space="0" w:color="auto" w:frame="1"/>
        </w:rPr>
        <w:br w:type="page"/>
      </w:r>
    </w:p>
    <w:p w:rsidR="005E7F55" w:rsidRDefault="00BA7A7F" w:rsidP="00D17BDF">
      <w:pPr>
        <w:pStyle w:val="TableHeading"/>
        <w:keepLines/>
        <w:spacing w:before="0"/>
        <w:rPr>
          <w:rStyle w:val="BookTitle"/>
          <w:i w:val="0"/>
          <w:iCs/>
        </w:rPr>
      </w:pPr>
      <w:r>
        <w:t>Table 3.3: Departmental statement of changes in equity – summary of movement (Budget year 2022­23)</w:t>
      </w:r>
    </w:p>
    <w:tbl>
      <w:tblPr>
        <w:tblStyle w:val="CDMRange1"/>
        <w:tblW w:w="7665" w:type="dxa"/>
        <w:tblLayout w:type="fixed"/>
        <w:tblLook w:val="0600" w:firstRow="0" w:lastRow="0" w:firstColumn="0" w:lastColumn="0" w:noHBand="1" w:noVBand="1"/>
      </w:tblPr>
      <w:tblGrid>
        <w:gridCol w:w="4155"/>
        <w:gridCol w:w="825"/>
        <w:gridCol w:w="915"/>
        <w:gridCol w:w="960"/>
        <w:gridCol w:w="810"/>
      </w:tblGrid>
      <w:tr w:rsidR="00253274">
        <w:trPr>
          <w:trHeight w:val="900"/>
        </w:trPr>
        <w:tc>
          <w:tcPr>
            <w:tcW w:w="415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Asset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equity/</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15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15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(23,618)</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109,018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113,142</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198,542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15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(23,618)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109,018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113,142</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198,542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1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1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(6,663)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(6,663)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15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(6,663)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(6,663)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1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155"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8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(6,663)</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(6,663)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1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82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1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82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15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17,550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17,550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15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 - 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1,505</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15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owners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19,055</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19,055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15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(30,281)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109,018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132,197</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210,934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155"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(30,281)</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109,018</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132,197</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210,934</w:t>
            </w:r>
          </w:p>
        </w:tc>
      </w:tr>
    </w:tbl>
    <w:p w:rsidR="005E7F55" w:rsidRDefault="00BA7A7F" w:rsidP="00A1442F">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Pr>
          <w:rFonts w:ascii="Arial" w:eastAsia="Calibri" w:hAnsi="Arial" w:cs="Arial"/>
          <w:sz w:val="16"/>
          <w:szCs w:val="16"/>
          <w:bdr w:val="none" w:sz="0" w:space="0" w:color="auto" w:frame="1"/>
        </w:rPr>
        <w:br w:type="page"/>
      </w:r>
    </w:p>
    <w:p w:rsidR="005E7F55" w:rsidRDefault="00BA7A7F" w:rsidP="00D17BDF">
      <w:pPr>
        <w:pStyle w:val="TableHeading"/>
        <w:keepLines/>
        <w:spacing w:before="0"/>
        <w:rPr>
          <w:rStyle w:val="BookTitle"/>
          <w:i w:val="0"/>
          <w:iCs/>
        </w:rPr>
      </w:pPr>
      <w:r>
        <w:t>Table 3.4: Budgeted departmental statement of cash flows (for the period ended 30 June)</w:t>
      </w:r>
    </w:p>
    <w:tbl>
      <w:tblPr>
        <w:tblStyle w:val="CDMRange2"/>
        <w:tblW w:w="7650" w:type="dxa"/>
        <w:tblLayout w:type="fixed"/>
        <w:tblLook w:val="0600" w:firstRow="0" w:lastRow="0" w:firstColumn="0" w:lastColumn="0" w:noHBand="1" w:noVBand="1"/>
      </w:tblPr>
      <w:tblGrid>
        <w:gridCol w:w="3225"/>
        <w:gridCol w:w="885"/>
        <w:gridCol w:w="885"/>
        <w:gridCol w:w="885"/>
        <w:gridCol w:w="885"/>
        <w:gridCol w:w="885"/>
      </w:tblGrid>
      <w:tr w:rsidR="00253274">
        <w:trPr>
          <w:trHeight w:val="900"/>
        </w:trPr>
        <w:tc>
          <w:tcPr>
            <w:tcW w:w="3225"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49,548</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59,193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60,172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48,843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49,462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27,873</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34,023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30,124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35,124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36,264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411</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3,572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7,560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2,272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841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81,404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101,046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92,843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84,551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86,887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37,181</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44,750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43,257</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37,689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37,692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36,001</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46,440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41,840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47,640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73,201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91,208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85,113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85,344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84,232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8,203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9,838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7,730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(793)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2,655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Proceeds from sale of assets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103</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107</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Transfer from Investments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16,944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4,339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17,302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7,033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17,024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4,446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17,431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7,076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16,550</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45,838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24,732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16,593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9,684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Transfer to investments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28,126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44,676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45,838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24,732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16,593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9,684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(44,573)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(28,814)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(20,286)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838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(2,608)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11,563</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19,055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12,599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11,563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19,055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12,599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108</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11,455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18,976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12,556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(24,915)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25,165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250</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250</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250</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250</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250</w:t>
            </w:r>
          </w:p>
        </w:tc>
      </w:tr>
    </w:tbl>
    <w:p w:rsidR="005E7F55" w:rsidRPr="00A1442F" w:rsidRDefault="00BA7A7F" w:rsidP="00A1442F">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rsidR="005E7F55" w:rsidRDefault="00BA7A7F" w:rsidP="005E7F55">
      <w:pPr>
        <w:pStyle w:val="TableHeading"/>
        <w:keepLines/>
        <w:spacing w:before="0" w:after="0"/>
        <w:rPr>
          <w:rStyle w:val="BookTitle"/>
          <w:i w:val="0"/>
          <w:iCs/>
        </w:rPr>
      </w:pPr>
      <w:r>
        <w:t>Table 3.5: Departmental capital budget statement (for the period ended 30 June)</w:t>
      </w:r>
    </w:p>
    <w:tbl>
      <w:tblPr>
        <w:tblStyle w:val="CDMRange1"/>
        <w:tblW w:w="7725" w:type="dxa"/>
        <w:tblLayout w:type="fixed"/>
        <w:tblLook w:val="0600" w:firstRow="0" w:lastRow="0" w:firstColumn="0" w:lastColumn="0" w:noHBand="1" w:noVBand="1"/>
      </w:tblPr>
      <w:tblGrid>
        <w:gridCol w:w="3450"/>
        <w:gridCol w:w="855"/>
        <w:gridCol w:w="855"/>
        <w:gridCol w:w="855"/>
        <w:gridCol w:w="855"/>
        <w:gridCol w:w="855"/>
      </w:tblGrid>
      <w:tr w:rsidR="00253274">
        <w:trPr>
          <w:trHeight w:val="900"/>
        </w:trPr>
        <w:tc>
          <w:tcPr>
            <w:tcW w:w="3450"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17,550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12,599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17,550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12,599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45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17,550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12,599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17,550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12,599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Funded from capital appropriations (a)</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2,067</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15,483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12,599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(b)</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14,483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30,355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12,133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16,593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9,684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16,550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45,838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24,732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16,593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9,684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4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16,550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45,838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24,732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16,593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9,684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16,550</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45,838</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24,732</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16,593</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9,684</w:t>
            </w:r>
          </w:p>
        </w:tc>
      </w:tr>
    </w:tbl>
    <w:p w:rsidR="00B97E74" w:rsidRDefault="00BA7A7F" w:rsidP="00196174">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8F27AE" w:rsidRPr="0057715E" w:rsidRDefault="00BA7A7F" w:rsidP="00C97BCC">
      <w:pPr>
        <w:pStyle w:val="ListParagraph"/>
        <w:keepLines/>
        <w:numPr>
          <w:ilvl w:val="0"/>
          <w:numId w:val="48"/>
        </w:numPr>
        <w:spacing w:before="40" w:after="0" w:line="240" w:lineRule="auto"/>
        <w:ind w:left="360"/>
        <w:jc w:val="left"/>
        <w:rPr>
          <w:rFonts w:eastAsia="Calibri" w:cs="Arial"/>
          <w:sz w:val="16"/>
          <w:szCs w:val="16"/>
          <w:bdr w:val="none" w:sz="0" w:space="0" w:color="auto" w:frame="1"/>
          <w:lang w:val="en-AU"/>
        </w:rPr>
      </w:pPr>
      <w:r w:rsidRPr="0057715E">
        <w:rPr>
          <w:rFonts w:ascii="Arial" w:eastAsia="Calibri" w:hAnsi="Arial" w:cs="Arial"/>
          <w:sz w:val="16"/>
          <w:szCs w:val="16"/>
          <w:bdr w:val="none" w:sz="0" w:space="0" w:color="auto" w:frame="1"/>
          <w:lang w:val="en-AU"/>
        </w:rPr>
        <w:t>Includes both current Bill 2 and prior Act 2/4/6 appropriations.</w:t>
      </w:r>
    </w:p>
    <w:p w:rsidR="001711A6" w:rsidRPr="0057715E" w:rsidRDefault="00BA7A7F" w:rsidP="00C97BCC">
      <w:pPr>
        <w:pStyle w:val="ListParagraph"/>
        <w:numPr>
          <w:ilvl w:val="0"/>
          <w:numId w:val="48"/>
        </w:numPr>
        <w:spacing w:after="0" w:line="240" w:lineRule="auto"/>
        <w:ind w:left="360"/>
        <w:jc w:val="left"/>
        <w:rPr>
          <w:rFonts w:eastAsia="Calibri" w:cs="Arial"/>
          <w:sz w:val="16"/>
          <w:szCs w:val="16"/>
          <w:bdr w:val="none" w:sz="0" w:space="0" w:color="auto" w:frame="1"/>
          <w:lang w:val="en-AU"/>
        </w:rPr>
      </w:pPr>
      <w:r w:rsidRPr="0057715E">
        <w:rPr>
          <w:rFonts w:ascii="Arial" w:eastAsia="Calibri" w:hAnsi="Arial" w:cs="Arial"/>
          <w:sz w:val="16"/>
          <w:szCs w:val="16"/>
          <w:bdr w:val="none" w:sz="0" w:space="0" w:color="auto" w:frame="1"/>
          <w:lang w:val="en-AU"/>
        </w:rPr>
        <w:t>Includes the following sources of funding:</w:t>
      </w:r>
    </w:p>
    <w:p w:rsidR="001711A6" w:rsidRDefault="00BA7A7F" w:rsidP="00B07D93">
      <w:pPr>
        <w:pStyle w:val="ListParagraph"/>
        <w:numPr>
          <w:ilvl w:val="0"/>
          <w:numId w:val="49"/>
        </w:numPr>
        <w:spacing w:after="0" w:line="240" w:lineRule="auto"/>
        <w:jc w:val="left"/>
        <w:rPr>
          <w:rFonts w:eastAsia="Calibri" w:cs="Arial"/>
          <w:sz w:val="16"/>
          <w:szCs w:val="16"/>
          <w:bdr w:val="none" w:sz="0" w:space="0" w:color="auto" w:frame="1"/>
          <w:lang w:val="en-AU"/>
        </w:rPr>
      </w:pPr>
      <w:r>
        <w:rPr>
          <w:rFonts w:ascii="Arial" w:eastAsia="Calibri" w:hAnsi="Arial" w:cs="Arial"/>
          <w:sz w:val="16"/>
          <w:szCs w:val="16"/>
          <w:bdr w:val="none" w:sz="0" w:space="0" w:color="auto" w:frame="1"/>
          <w:lang w:val="en-AU"/>
        </w:rPr>
        <w:t>own source revenue receipts;</w:t>
      </w:r>
    </w:p>
    <w:p w:rsidR="001711A6" w:rsidRDefault="00BA7A7F" w:rsidP="00B07D93">
      <w:pPr>
        <w:pStyle w:val="ListParagraph"/>
        <w:numPr>
          <w:ilvl w:val="0"/>
          <w:numId w:val="49"/>
        </w:numPr>
        <w:spacing w:after="0" w:line="240" w:lineRule="auto"/>
        <w:jc w:val="left"/>
        <w:rPr>
          <w:rFonts w:eastAsia="Calibri" w:cs="Arial"/>
          <w:sz w:val="16"/>
          <w:szCs w:val="16"/>
          <w:bdr w:val="none" w:sz="0" w:space="0" w:color="auto" w:frame="1"/>
          <w:lang w:val="en-AU"/>
        </w:rPr>
      </w:pPr>
      <w:r>
        <w:rPr>
          <w:rFonts w:ascii="Arial" w:eastAsia="Calibri" w:hAnsi="Arial" w:cs="Arial"/>
          <w:sz w:val="16"/>
          <w:szCs w:val="16"/>
          <w:bdr w:val="none" w:sz="0" w:space="0" w:color="auto" w:frame="1"/>
          <w:lang w:val="en-AU"/>
        </w:rPr>
        <w:t>internally developed assets; and</w:t>
      </w:r>
    </w:p>
    <w:p w:rsidR="005E7F55" w:rsidRPr="00A1442F" w:rsidRDefault="00BA7A7F" w:rsidP="00A1442F">
      <w:pPr>
        <w:pStyle w:val="ListParagraph"/>
        <w:numPr>
          <w:ilvl w:val="0"/>
          <w:numId w:val="49"/>
        </w:numPr>
        <w:spacing w:after="0" w:line="240" w:lineRule="auto"/>
        <w:jc w:val="left"/>
        <w:rPr>
          <w:rFonts w:eastAsia="Calibri" w:cs="Arial"/>
          <w:sz w:val="16"/>
          <w:szCs w:val="16"/>
          <w:bdr w:val="none" w:sz="0" w:space="0" w:color="auto" w:frame="1"/>
          <w:lang w:val="en-AU"/>
        </w:rPr>
      </w:pPr>
      <w:r>
        <w:rPr>
          <w:rFonts w:ascii="Arial" w:eastAsia="Calibri" w:hAnsi="Arial" w:cs="Arial"/>
          <w:sz w:val="16"/>
          <w:szCs w:val="16"/>
          <w:bdr w:val="none" w:sz="0" w:space="0" w:color="auto" w:frame="1"/>
          <w:lang w:val="en-AU"/>
        </w:rPr>
        <w:t>proceeds from the sale of assets.</w:t>
      </w:r>
      <w:r w:rsidRPr="00A1442F">
        <w:rPr>
          <w:rFonts w:ascii="Arial" w:eastAsia="Calibri" w:hAnsi="Arial" w:cs="Arial"/>
          <w:sz w:val="16"/>
          <w:szCs w:val="16"/>
          <w:bdr w:val="none" w:sz="0" w:space="0" w:color="auto" w:frame="1"/>
          <w:lang w:val="en-AU"/>
        </w:rPr>
        <w:br w:type="page"/>
      </w:r>
    </w:p>
    <w:p w:rsidR="00F539FC" w:rsidRDefault="00BA7A7F" w:rsidP="00F539FC">
      <w:pPr>
        <w:pStyle w:val="TableHeading"/>
        <w:keepLines/>
        <w:spacing w:before="0" w:after="0"/>
        <w:rPr>
          <w:rStyle w:val="BookTitle"/>
          <w:i w:val="0"/>
          <w:iCs/>
        </w:rPr>
      </w:pPr>
      <w:r>
        <w:t>Table 3.6: Statement of departmental asset movements (Budget year 2022­23)</w:t>
      </w:r>
    </w:p>
    <w:tbl>
      <w:tblPr>
        <w:tblStyle w:val="CDMRange2"/>
        <w:tblW w:w="7575" w:type="dxa"/>
        <w:tblLayout w:type="fixed"/>
        <w:tblLook w:val="0600" w:firstRow="0" w:lastRow="0" w:firstColumn="0" w:lastColumn="0" w:noHBand="1" w:noVBand="1"/>
      </w:tblPr>
      <w:tblGrid>
        <w:gridCol w:w="3975"/>
        <w:gridCol w:w="900"/>
        <w:gridCol w:w="900"/>
        <w:gridCol w:w="900"/>
        <w:gridCol w:w="900"/>
      </w:tblGrid>
      <w:tr w:rsidR="00253274">
        <w:trPr>
          <w:trHeight w:val="1125"/>
        </w:trPr>
        <w:tc>
          <w:tcPr>
            <w:tcW w:w="397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97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9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108,397</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58,721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8,437</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175,555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9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962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962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(6,386)</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(8,958)</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(4,512)</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(19,856)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97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 - ROU assets</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97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102,787</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49,763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3,925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156,475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97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9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34,531</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10,990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45,821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9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34,531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10,990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45,821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9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9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(6,126)</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(7,955)</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(14,686)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9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(6,194)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(7,875)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(605)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(14,674)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97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97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142,928</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68,827</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8,737</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220,492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97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962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962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(12,512)</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(16,109)</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(5,117)</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(33,738)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 - ROU assets</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(254)</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131,124</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52,718</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3,620</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187,462</w:t>
            </w:r>
          </w:p>
        </w:tc>
      </w:tr>
    </w:tbl>
    <w:p w:rsidR="00D93121" w:rsidRPr="00A1442F" w:rsidRDefault="00BA7A7F" w:rsidP="00A1442F">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Pr>
          <w:rFonts w:eastAsia="Calibri" w:cs="Arial"/>
          <w:sz w:val="16"/>
          <w:szCs w:val="16"/>
          <w:bdr w:val="none" w:sz="0" w:space="0" w:color="auto" w:frame="1"/>
        </w:rPr>
        <w:br w:type="page"/>
      </w:r>
    </w:p>
    <w:p w:rsidR="00D93121" w:rsidRDefault="00BA7A7F" w:rsidP="00D93121">
      <w:pPr>
        <w:pStyle w:val="TableHeading"/>
        <w:keepLines/>
        <w:spacing w:before="240"/>
        <w:rPr>
          <w:rFonts w:cs="Arial"/>
        </w:rPr>
      </w:pPr>
      <w:r>
        <w:rPr>
          <w:rFonts w:cs="Arial"/>
        </w:rPr>
        <w:t>Table 3.7: Schedule of budgeted income and expenses administered on behalf of Government (for the period ended 30 June)</w:t>
      </w:r>
    </w:p>
    <w:p w:rsidR="00D93121" w:rsidRDefault="00BA7A7F" w:rsidP="00D93121">
      <w:r>
        <w:t>AIMS has no budgeted income and expenses administered on behalf of Government; therefore Table 3.7 is not presented.</w:t>
      </w:r>
    </w:p>
    <w:p w:rsidR="00D93121" w:rsidRDefault="00BA7A7F" w:rsidP="00D93121">
      <w:pPr>
        <w:pStyle w:val="TableHeading"/>
        <w:keepLines/>
        <w:spacing w:before="240"/>
        <w:rPr>
          <w:rFonts w:cs="Arial"/>
        </w:rPr>
      </w:pPr>
      <w:r>
        <w:rPr>
          <w:rFonts w:cs="Arial"/>
        </w:rPr>
        <w:t>Table 3.8: Schedule of budgeted assets and liabilities administered on behalf of Government (as at 30 June)</w:t>
      </w:r>
    </w:p>
    <w:p w:rsidR="00D93121" w:rsidRDefault="00BA7A7F" w:rsidP="00D93121">
      <w:r>
        <w:t>AIMS has no budgeted assets and liabilities administered on behalf of Government; therefore Table 3.8 is not presented.</w:t>
      </w:r>
    </w:p>
    <w:p w:rsidR="00D93121" w:rsidRDefault="00BA7A7F" w:rsidP="00D93121">
      <w:pPr>
        <w:pStyle w:val="TableHeading"/>
        <w:keepLines/>
        <w:spacing w:before="240"/>
        <w:rPr>
          <w:rFonts w:cs="Arial"/>
        </w:rPr>
      </w:pPr>
      <w:r>
        <w:rPr>
          <w:rFonts w:cs="Arial"/>
        </w:rPr>
        <w:t>Table 3.9: Schedule of budgeted administered cash flows (for the period ended 30 June)</w:t>
      </w:r>
    </w:p>
    <w:p w:rsidR="00D93121" w:rsidRDefault="00BA7A7F" w:rsidP="00D93121">
      <w:r>
        <w:t>AIMS has no budgeted administered cash flows; therefore Table 3.9 is not presented.</w:t>
      </w:r>
    </w:p>
    <w:p w:rsidR="00D93121" w:rsidRDefault="00BA7A7F" w:rsidP="00D93121">
      <w:pPr>
        <w:pStyle w:val="TableHeadingcontinued"/>
      </w:pPr>
      <w:r>
        <w:t>Table 3.10: Administered capital budget statement (for the period ended 30 June)</w:t>
      </w:r>
    </w:p>
    <w:p w:rsidR="00D93121" w:rsidRDefault="00BA7A7F" w:rsidP="00D93121">
      <w:r>
        <w:t>AIMS has no administered capital budget; therefore Table 3.10 is not presented.</w:t>
      </w:r>
    </w:p>
    <w:p w:rsidR="00D93121" w:rsidRDefault="00BA7A7F" w:rsidP="00D93121">
      <w:pPr>
        <w:pStyle w:val="TableHeading"/>
        <w:keepLines/>
        <w:spacing w:before="240"/>
        <w:rPr>
          <w:rFonts w:cs="Arial"/>
        </w:rPr>
      </w:pPr>
      <w:r>
        <w:rPr>
          <w:rFonts w:cs="Arial"/>
        </w:rPr>
        <w:t>Table 3.11: Statement of administered asset movements (Budget year 2022­23)</w:t>
      </w:r>
    </w:p>
    <w:p w:rsidR="00D93121" w:rsidRDefault="00BA7A7F" w:rsidP="00D93121">
      <w:r>
        <w:t>AIMS has no administered asset movements; therefore Table 3.11 is not presented.</w:t>
      </w:r>
    </w:p>
    <w:p w:rsidR="00D93121" w:rsidRPr="00D93121" w:rsidRDefault="00D93121" w:rsidP="00D93121">
      <w:pPr>
        <w:spacing w:before="20" w:after="60" w:line="240" w:lineRule="auto"/>
        <w:rPr>
          <w:rFonts w:eastAsia="Calibri" w:cs="Arial"/>
          <w:vanish/>
          <w:sz w:val="16"/>
          <w:szCs w:val="16"/>
          <w:bdr w:val="none" w:sz="0" w:space="0" w:color="auto" w:frame="1"/>
        </w:rPr>
        <w:sectPr w:rsidR="00D93121" w:rsidRPr="00D93121" w:rsidSect="00F07738">
          <w:headerReference w:type="even" r:id="rId175"/>
          <w:headerReference w:type="default" r:id="rId176"/>
          <w:footerReference w:type="even" r:id="rId177"/>
          <w:footerReference w:type="default" r:id="rId178"/>
          <w:headerReference w:type="first" r:id="rId179"/>
          <w:footerReference w:type="first" r:id="rId180"/>
          <w:type w:val="continuous"/>
          <w:pgSz w:w="11906" w:h="16838"/>
          <w:pgMar w:top="2466" w:right="2098" w:bottom="2466" w:left="2098" w:header="1899" w:footer="1899" w:gutter="0"/>
          <w:pgBorders>
            <w:top w:val="nil"/>
            <w:left w:val="nil"/>
            <w:bottom w:val="nil"/>
            <w:right w:val="nil"/>
          </w:pgBorders>
          <w:cols w:space="720"/>
          <w:docGrid w:linePitch="360"/>
        </w:sectPr>
      </w:pPr>
    </w:p>
    <w:p w:rsidR="00D86095" w:rsidRDefault="00D86095">
      <w:pPr>
        <w:pageBreakBefore/>
      </w:pPr>
      <w:bookmarkStart w:id="349" w:name="RG_MARKER_11806"/>
      <w:bookmarkStart w:id="350" w:name="RG_MARKER_11734"/>
      <w:bookmarkStart w:id="351" w:name="RG_MARKER_11750"/>
      <w:bookmarkStart w:id="352" w:name="RG_MARKER_11822"/>
      <w:bookmarkEnd w:id="349"/>
      <w:bookmarkEnd w:id="350"/>
      <w:bookmarkEnd w:id="351"/>
      <w:bookmarkEnd w:id="352"/>
    </w:p>
    <w:p w:rsidR="00FA15D4" w:rsidRDefault="00BA7A7F" w:rsidP="00FE00F7">
      <w:pPr>
        <w:pStyle w:val="Department"/>
        <w:pageBreakBefore/>
        <w:jc w:val="left"/>
        <w:rPr>
          <w:smallCaps/>
          <w:color w:val="FFFFFF"/>
          <w:sz w:val="24"/>
          <w:szCs w:val="24"/>
        </w:rPr>
      </w:pPr>
      <w:bookmarkStart w:id="353" w:name="RG_MARKER_12169"/>
      <w:r w:rsidRPr="00FE00F7">
        <w:rPr>
          <w:smallCaps/>
          <w:color w:val="FFFFFF"/>
          <w:sz w:val="24"/>
          <w:szCs w:val="24"/>
        </w:rPr>
        <w:t>Department o</w:t>
      </w:r>
      <w:bookmarkEnd w:id="353"/>
    </w:p>
    <w:p w:rsidR="00FA15D4" w:rsidRDefault="00FA15D4" w:rsidP="002E6B3D">
      <w:pPr>
        <w:pStyle w:val="Department"/>
        <w:spacing w:before="1320"/>
        <w:rPr>
          <w:smallCaps/>
        </w:rPr>
      </w:pPr>
    </w:p>
    <w:p w:rsidR="00FA15D4" w:rsidRDefault="00FA15D4" w:rsidP="00FA15D4">
      <w:pPr>
        <w:pStyle w:val="PartHeading"/>
        <w:keepLines/>
        <w:spacing w:before="240" w:after="240"/>
        <w:rPr>
          <w:kern w:val="0"/>
          <w:szCs w:val="20"/>
        </w:rPr>
      </w:pPr>
    </w:p>
    <w:p w:rsidR="00FA15D4" w:rsidRPr="00D75716" w:rsidRDefault="00BA7A7F" w:rsidP="00FA15D4">
      <w:pPr>
        <w:pStyle w:val="PartHeading"/>
        <w:keepLines/>
        <w:spacing w:before="240" w:after="240"/>
        <w:rPr>
          <w:bCs w:val="0"/>
          <w:kern w:val="0"/>
          <w:szCs w:val="20"/>
        </w:rPr>
      </w:pPr>
      <w:r w:rsidRPr="00D75716">
        <w:rPr>
          <w:rFonts w:ascii="Arial" w:hAnsi="Arial"/>
          <w:bCs w:val="0"/>
          <w:kern w:val="0"/>
          <w:szCs w:val="20"/>
        </w:rPr>
        <w:t>Australian Nuclear Science and Technology Organisation</w:t>
      </w:r>
    </w:p>
    <w:p w:rsidR="00FA15D4" w:rsidRPr="00D75716" w:rsidRDefault="00FA15D4" w:rsidP="00FA15D4">
      <w:pPr>
        <w:pStyle w:val="PartHeading"/>
        <w:keepLines/>
        <w:spacing w:before="240" w:after="240"/>
        <w:rPr>
          <w:bCs w:val="0"/>
          <w:kern w:val="0"/>
          <w:sz w:val="48"/>
          <w:szCs w:val="48"/>
        </w:rPr>
      </w:pPr>
    </w:p>
    <w:p w:rsidR="00FA15D4" w:rsidRPr="00D75716" w:rsidRDefault="00FA15D4" w:rsidP="00FA15D4">
      <w:pPr>
        <w:pStyle w:val="PartHeading"/>
        <w:keepLines/>
        <w:spacing w:before="240" w:after="240"/>
        <w:rPr>
          <w:kern w:val="0"/>
          <w:sz w:val="48"/>
          <w:szCs w:val="48"/>
        </w:rPr>
      </w:pPr>
    </w:p>
    <w:p w:rsidR="00FA15D4" w:rsidRPr="00D75716" w:rsidRDefault="00BA7A7F" w:rsidP="00FA15D4">
      <w:pPr>
        <w:pStyle w:val="PartHeading-TOC"/>
        <w:rPr>
          <w:smallCaps w:val="0"/>
        </w:rPr>
      </w:pPr>
      <w:bookmarkStart w:id="354" w:name="_Toc508032982_1"/>
      <w:r w:rsidRPr="00D75716">
        <w:rPr>
          <w:bCs w:val="0"/>
          <w:smallCaps w:val="0"/>
        </w:rPr>
        <w:t>Entity resources and planned performance</w:t>
      </w:r>
      <w:bookmarkEnd w:id="354"/>
    </w:p>
    <w:p w:rsidR="00253274" w:rsidRDefault="00253274">
      <w:pPr>
        <w:keepLines w:val="0"/>
        <w:spacing w:after="160" w:line="259" w:lineRule="auto"/>
        <w:jc w:val="left"/>
        <w:rPr>
          <w:rFonts w:ascii="Calibri" w:eastAsia="Calibri" w:hAnsi="Calibri"/>
          <w:sz w:val="22"/>
          <w:szCs w:val="22"/>
          <w:lang w:val="en-US" w:eastAsia="en-US"/>
        </w:rPr>
      </w:pPr>
    </w:p>
    <w:p w:rsidR="007E6680" w:rsidRDefault="007E6680">
      <w:pPr>
        <w:keepLines w:val="0"/>
        <w:spacing w:after="160" w:line="259" w:lineRule="auto"/>
        <w:jc w:val="left"/>
        <w:rPr>
          <w:rFonts w:ascii="Calibri" w:eastAsia="Calibri" w:hAnsi="Calibri"/>
          <w:sz w:val="22"/>
          <w:szCs w:val="22"/>
          <w:lang w:val="en-US" w:eastAsia="en-US"/>
        </w:rPr>
      </w:pPr>
      <w:bookmarkStart w:id="355" w:name="RG_MARKER_12355"/>
      <w:bookmarkEnd w:id="355"/>
    </w:p>
    <w:p w:rsidR="00D86095" w:rsidRDefault="00BA7A7F">
      <w:pPr>
        <w:pageBreakBefore/>
      </w:pPr>
      <w:bookmarkStart w:id="356" w:name="RG_MARKER_11777"/>
      <w:r>
        <w:t xml:space="preserve">     </w:t>
      </w:r>
      <w:bookmarkEnd w:id="356"/>
    </w:p>
    <w:p w:rsidR="004D0F5B" w:rsidRPr="00132715" w:rsidRDefault="00BA7A7F" w:rsidP="009420CE">
      <w:pPr>
        <w:pStyle w:val="ContentsHeading"/>
        <w:pageBreakBefore/>
        <w:spacing w:after="600"/>
        <w:rPr>
          <w:smallCaps w:val="0"/>
        </w:rPr>
      </w:pPr>
      <w:bookmarkStart w:id="357" w:name="RG_MARKER_11742"/>
      <w:bookmarkStart w:id="358" w:name="RG_MARKER_12154"/>
      <w:r w:rsidRPr="00132715">
        <w:rPr>
          <w:smallCaps w:val="0"/>
        </w:rPr>
        <w:t>Australian Nuclear Science and Technology Organisation</w:t>
      </w:r>
      <w:bookmarkEnd w:id="357"/>
      <w:bookmarkEnd w:id="358"/>
    </w:p>
    <w:p w:rsidR="004D0F5B" w:rsidRPr="00846FBC" w:rsidRDefault="00BA7A7F" w:rsidP="00846FBC">
      <w:pPr>
        <w:pStyle w:val="TOC1"/>
      </w:pPr>
      <w:r w:rsidRPr="00846FBC">
        <w:t>Section 1: Entity overview and resources</w:t>
      </w:r>
      <w:r w:rsidRPr="00846FBC">
        <w:tab/>
        <w:t>111</w:t>
      </w:r>
    </w:p>
    <w:p w:rsidR="004D0F5B" w:rsidRDefault="00BA7A7F" w:rsidP="004D0F5B">
      <w:pPr>
        <w:pStyle w:val="TOC2"/>
      </w:pPr>
      <w:r>
        <w:t>1.1 Strategic direction statement</w:t>
      </w:r>
      <w:r>
        <w:tab/>
      </w:r>
      <w:r w:rsidRPr="00B75654">
        <w:t>111</w:t>
      </w:r>
    </w:p>
    <w:p w:rsidR="004D0F5B" w:rsidRDefault="00BA7A7F" w:rsidP="004D0F5B">
      <w:pPr>
        <w:pStyle w:val="TOC2"/>
      </w:pPr>
      <w:r>
        <w:t>1.2 Entity resource statement</w:t>
      </w:r>
      <w:r>
        <w:tab/>
      </w:r>
      <w:r w:rsidRPr="00B75654">
        <w:t>113</w:t>
      </w:r>
    </w:p>
    <w:p w:rsidR="00371743" w:rsidRDefault="00BA7A7F" w:rsidP="00371743">
      <w:pPr>
        <w:pStyle w:val="TOC2"/>
      </w:pPr>
      <w:r>
        <w:t>1.3 Budget measures</w:t>
      </w:r>
      <w:r>
        <w:tab/>
        <w:t>114</w:t>
      </w:r>
    </w:p>
    <w:p w:rsidR="004D0F5B" w:rsidRDefault="00BA7A7F" w:rsidP="00846FBC">
      <w:pPr>
        <w:pStyle w:val="TOC1"/>
      </w:pPr>
      <w:r>
        <w:t>S</w:t>
      </w:r>
      <w:r w:rsidRPr="002645FE">
        <w:t xml:space="preserve">ection 2: </w:t>
      </w:r>
      <w:r>
        <w:t>O</w:t>
      </w:r>
      <w:r w:rsidRPr="002645FE">
        <w:t xml:space="preserve">utcomes and </w:t>
      </w:r>
      <w:r>
        <w:t>p</w:t>
      </w:r>
      <w:r w:rsidRPr="002645FE">
        <w:t xml:space="preserve">lanned </w:t>
      </w:r>
      <w:r>
        <w:t>p</w:t>
      </w:r>
      <w:r w:rsidRPr="002645FE">
        <w:t>erformance</w:t>
      </w:r>
      <w:r>
        <w:tab/>
        <w:t>115</w:t>
      </w:r>
    </w:p>
    <w:p w:rsidR="004D0F5B" w:rsidRDefault="00BA7A7F" w:rsidP="004D0F5B">
      <w:pPr>
        <w:pStyle w:val="TOC2"/>
      </w:pPr>
      <w:r>
        <w:t>2.1 Budgeted expenses and performance for Outcome 1</w:t>
      </w:r>
      <w:r>
        <w:tab/>
        <w:t>116</w:t>
      </w:r>
    </w:p>
    <w:p w:rsidR="004D0F5B" w:rsidRDefault="00BA7A7F" w:rsidP="00846FBC">
      <w:pPr>
        <w:pStyle w:val="TOC1"/>
      </w:pPr>
      <w:r>
        <w:t>S</w:t>
      </w:r>
      <w:r w:rsidRPr="002645FE">
        <w:t xml:space="preserve">ection 3: </w:t>
      </w:r>
      <w:r>
        <w:t>B</w:t>
      </w:r>
      <w:r w:rsidRPr="002645FE">
        <w:t xml:space="preserve">udgeted </w:t>
      </w:r>
      <w:r>
        <w:t>f</w:t>
      </w:r>
      <w:r w:rsidRPr="002645FE">
        <w:t xml:space="preserve">inancial </w:t>
      </w:r>
      <w:r>
        <w:t>s</w:t>
      </w:r>
      <w:r w:rsidRPr="002645FE">
        <w:t>tatements</w:t>
      </w:r>
      <w:r>
        <w:tab/>
      </w:r>
      <w:r w:rsidRPr="004F6A3E">
        <w:t>127</w:t>
      </w:r>
    </w:p>
    <w:p w:rsidR="00D86095" w:rsidRDefault="00BA7A7F" w:rsidP="005F2963">
      <w:pPr>
        <w:pStyle w:val="TOC2"/>
      </w:pPr>
      <w:r>
        <w:t>3.1 Budgeted financial statements</w:t>
      </w:r>
      <w:r>
        <w:tab/>
      </w:r>
      <w:r w:rsidRPr="004F6A3E">
        <w:t>127</w:t>
      </w:r>
    </w:p>
    <w:p w:rsidR="00D86095" w:rsidRDefault="00BA7A7F">
      <w:pPr>
        <w:pageBreakBefore/>
        <w:sectPr w:rsidR="00D86095" w:rsidSect="00D86095">
          <w:headerReference w:type="even" r:id="rId181"/>
          <w:headerReference w:type="default" r:id="rId182"/>
          <w:footerReference w:type="even" r:id="rId183"/>
          <w:footerReference w:type="default" r:id="rId184"/>
          <w:headerReference w:type="first" r:id="rId185"/>
          <w:footerReference w:type="first" r:id="rId186"/>
          <w:type w:val="continuous"/>
          <w:pgSz w:w="11906" w:h="16838"/>
          <w:pgMar w:top="2466" w:right="2098" w:bottom="2466" w:left="2098" w:header="1899" w:footer="1899" w:gutter="0"/>
          <w:pgBorders>
            <w:top w:val="nil"/>
            <w:left w:val="nil"/>
            <w:bottom w:val="nil"/>
            <w:right w:val="nil"/>
          </w:pgBorders>
          <w:cols w:space="720"/>
          <w:docGrid w:linePitch="360"/>
        </w:sectPr>
      </w:pPr>
      <w:bookmarkStart w:id="359" w:name="RG_MARKER_11746"/>
      <w:bookmarkStart w:id="360" w:name="RG_MARKER_11785"/>
      <w:r>
        <w:t xml:space="preserve">    </w:t>
      </w:r>
      <w:bookmarkEnd w:id="359"/>
      <w:bookmarkEnd w:id="360"/>
    </w:p>
    <w:p w:rsidR="00A85152" w:rsidRPr="00AA4945" w:rsidRDefault="00BA7A7F" w:rsidP="00A85152">
      <w:pPr>
        <w:pStyle w:val="Heading1"/>
        <w:pageBreakBefore/>
        <w:rPr>
          <w:smallCaps w:val="0"/>
        </w:rPr>
      </w:pPr>
      <w:bookmarkStart w:id="361" w:name="RG_MARKER_11752"/>
      <w:bookmarkStart w:id="362" w:name="RG_MARKER_11738"/>
      <w:bookmarkStart w:id="363" w:name="RG_MARKER_12108"/>
      <w:r w:rsidRPr="00AA4945">
        <w:rPr>
          <w:smallCaps w:val="0"/>
        </w:rPr>
        <w:t>Australian Nuclear Science and Technology Organisation</w:t>
      </w:r>
      <w:bookmarkEnd w:id="361"/>
      <w:bookmarkEnd w:id="362"/>
      <w:bookmarkEnd w:id="363"/>
    </w:p>
    <w:p w:rsidR="00A85152" w:rsidRPr="00AA4945" w:rsidRDefault="00BA7A7F" w:rsidP="00A85152">
      <w:pPr>
        <w:pStyle w:val="Heading2"/>
        <w:rPr>
          <w:b/>
          <w:sz w:val="26"/>
          <w:szCs w:val="26"/>
        </w:rPr>
      </w:pPr>
      <w:r w:rsidRPr="00AA4945">
        <w:rPr>
          <w:b/>
          <w:sz w:val="26"/>
          <w:szCs w:val="26"/>
        </w:rPr>
        <w:t>Section 1</w:t>
      </w:r>
      <w:bookmarkStart w:id="364" w:name="_Toc449255758_1"/>
      <w:bookmarkStart w:id="365" w:name="_Toc446237031_1"/>
      <w:r w:rsidRPr="00AA4945">
        <w:rPr>
          <w:b/>
          <w:sz w:val="26"/>
          <w:szCs w:val="26"/>
        </w:rPr>
        <w:t>: Entity overview and resources</w:t>
      </w:r>
      <w:bookmarkEnd w:id="364"/>
      <w:bookmarkEnd w:id="365"/>
    </w:p>
    <w:p w:rsidR="00A85152" w:rsidRPr="00AA4945" w:rsidRDefault="00BA7A7F" w:rsidP="00AA4945">
      <w:pPr>
        <w:pStyle w:val="Heading3"/>
        <w:numPr>
          <w:ilvl w:val="1"/>
          <w:numId w:val="50"/>
        </w:numPr>
        <w:spacing w:before="360" w:after="120" w:line="260" w:lineRule="exact"/>
        <w:ind w:left="703" w:hanging="703"/>
        <w:rPr>
          <w:smallCaps w:val="0"/>
          <w:sz w:val="22"/>
          <w:szCs w:val="22"/>
        </w:rPr>
      </w:pPr>
      <w:bookmarkStart w:id="366" w:name="_Toc210698428_1"/>
      <w:bookmarkStart w:id="367" w:name="_Toc210646449_1"/>
      <w:bookmarkStart w:id="368" w:name="_Toc210703209_1"/>
      <w:r w:rsidRPr="00AA4945">
        <w:rPr>
          <w:smallCaps w:val="0"/>
          <w:sz w:val="22"/>
          <w:szCs w:val="22"/>
        </w:rPr>
        <w:t>Strategic direction</w:t>
      </w:r>
      <w:bookmarkEnd w:id="366"/>
      <w:bookmarkEnd w:id="367"/>
      <w:bookmarkEnd w:id="368"/>
      <w:r w:rsidRPr="00AA4945">
        <w:rPr>
          <w:smallCaps w:val="0"/>
          <w:sz w:val="22"/>
          <w:szCs w:val="22"/>
        </w:rPr>
        <w:t xml:space="preserve"> statement</w:t>
      </w:r>
    </w:p>
    <w:p w:rsidR="006E0216" w:rsidRPr="006E0216" w:rsidRDefault="00BA7A7F" w:rsidP="006E0216">
      <w:r w:rsidRPr="006E0216">
        <w:t>The Australian Nuclear Science and Techno</w:t>
      </w:r>
      <w:r>
        <w:t>logy Organisation (ANSTO) is a c</w:t>
      </w:r>
      <w:r w:rsidRPr="006E0216">
        <w:t xml:space="preserve">orporate Commonwealth entity within the Industry, Science, Energy and Resources Portfolio. The organisation’s primary functions are set out in the </w:t>
      </w:r>
      <w:r w:rsidRPr="00B5449C">
        <w:rPr>
          <w:i/>
        </w:rPr>
        <w:t>Australian Nuclear Science and Technology Organisation Act 1987</w:t>
      </w:r>
      <w:r w:rsidRPr="006E0216">
        <w:t>.</w:t>
      </w:r>
    </w:p>
    <w:p w:rsidR="006E0216" w:rsidRPr="006E0216" w:rsidRDefault="00BA7A7F" w:rsidP="006E0216">
      <w:r w:rsidRPr="006E0216">
        <w:t>ANSTO is Australia’s national nuclear research and development organisation, and the centre of Australian nuclear expertise. ANSTO operates a large proportion of Australia’s landmark research infrastructure, including the OPAL multipurpose reactor, the Australian Synchrotron, the Australian Centre for Neutron Scattering (ACNS), and the Centre for Accelerator Science (CAS). Thousands of researchers from across Australia and around the world partner with ANSTO to tackle complex problems that improve human health, save lives, build Australian industries and protect the environment.</w:t>
      </w:r>
    </w:p>
    <w:p w:rsidR="00BA53AC" w:rsidRDefault="00BA7A7F" w:rsidP="00BA53AC">
      <w:r>
        <w:t xml:space="preserve">ANSTO is the centre of nuclear medicine production in Australia. On average ANSTO’s radioisotopes provide 10,000-12,000 nuclear medicine procedures that benefit Australians each week battling cancer and other diseases. ANSTO’s daily operations are critical to the health and wellbeing of the nation. </w:t>
      </w:r>
    </w:p>
    <w:p w:rsidR="00C8552E" w:rsidRDefault="00BA7A7F" w:rsidP="00BA53AC">
      <w:r>
        <w:t>In 2022-23, ANSTO will deliver the first part of a multi-phased project for a new world-leading nuclear medicine manufacturing facility to be built at its Lucas Heights campus in Southern Sydney. This will replace the existing facility that is nearing the end of its useful life and thus will safeguard Australia’s sovereign capability to produce vital nuclear medicines. The new facility will provide Australian patients with technetium, lutetium, and iodine-based products, and will have the flexibility to respond to market and technological changes. The modern design will also enable greater process automation than is possible with the existing facility, leading to improvements in efficiency, quality, and, importantly, the highest levels of production and personal safety.</w:t>
      </w:r>
    </w:p>
    <w:p w:rsidR="00A84218" w:rsidRDefault="00BA7A7F" w:rsidP="00A84218">
      <w:pPr>
        <w:rPr>
          <w:rFonts w:ascii="Calibri" w:hAnsi="Calibri"/>
        </w:rPr>
      </w:pPr>
      <w:r>
        <w:t xml:space="preserve">The 2022-23 Budget provides ANSTO with additional funding of $28 million from 2022-23 to 2023-24 to support the production of life saving nuclear medicine to Australians. </w:t>
      </w:r>
    </w:p>
    <w:p w:rsidR="00312C51" w:rsidRDefault="00312C51" w:rsidP="00312C51">
      <w:pPr>
        <w:pStyle w:val="Default"/>
        <w:jc w:val="both"/>
        <w:rPr>
          <w:sz w:val="20"/>
          <w:szCs w:val="20"/>
        </w:rPr>
      </w:pPr>
    </w:p>
    <w:p w:rsidR="00F152CD" w:rsidRPr="00F152CD" w:rsidRDefault="00F152CD" w:rsidP="00F152CD">
      <w:pPr>
        <w:rPr>
          <w:vanish/>
        </w:rPr>
        <w:sectPr w:rsidR="00F152CD" w:rsidRPr="00F152CD" w:rsidSect="00690C8B">
          <w:headerReference w:type="even" r:id="rId187"/>
          <w:headerReference w:type="default" r:id="rId188"/>
          <w:footerReference w:type="even" r:id="rId189"/>
          <w:footerReference w:type="default" r:id="rId190"/>
          <w:headerReference w:type="first" r:id="rId191"/>
          <w:footerReference w:type="first" r:id="rId192"/>
          <w:type w:val="continuous"/>
          <w:pgSz w:w="11906" w:h="16838"/>
          <w:pgMar w:top="2466" w:right="2098" w:bottom="2466" w:left="2098" w:header="1899" w:footer="1899" w:gutter="0"/>
          <w:pgBorders>
            <w:top w:val="nil"/>
            <w:left w:val="nil"/>
            <w:bottom w:val="nil"/>
            <w:right w:val="nil"/>
          </w:pgBorders>
          <w:cols w:space="720"/>
          <w:docGrid w:linePitch="360"/>
        </w:sectPr>
      </w:pPr>
    </w:p>
    <w:p w:rsidR="002D1C17" w:rsidRDefault="00BA7A7F" w:rsidP="00655435">
      <w:pPr>
        <w:pageBreakBefore/>
      </w:pPr>
      <w:bookmarkStart w:id="369" w:name="RG_MARKER_11902"/>
      <w:r>
        <w:t>In 2022-23, ANSTO will continue to provide expert advice and support to the Nuclear</w:t>
      </w:r>
      <w:bookmarkEnd w:id="369"/>
      <w:r>
        <w:noBreakHyphen/>
        <w:t>Powered Submarine Taskforce, baselining and augmenting Australia’s nuclear stewardship capabilities and credentials. ANSTO has established a small, multidisciplinary team of experts to support this work. In addition, ANSTO will continue to prioritise activities and research to support Australia’s response to the unprecedented challenges the country is facing including:</w:t>
      </w:r>
    </w:p>
    <w:p w:rsidR="00653C6A" w:rsidRDefault="00BA7A7F" w:rsidP="009A491C">
      <w:pPr>
        <w:pStyle w:val="Default"/>
        <w:numPr>
          <w:ilvl w:val="0"/>
          <w:numId w:val="51"/>
        </w:numPr>
        <w:spacing w:line="260" w:lineRule="exact"/>
        <w:ind w:left="284" w:hanging="284"/>
        <w:jc w:val="both"/>
        <w:rPr>
          <w:sz w:val="20"/>
          <w:szCs w:val="20"/>
        </w:rPr>
      </w:pPr>
      <w:r>
        <w:rPr>
          <w:sz w:val="20"/>
          <w:szCs w:val="20"/>
        </w:rPr>
        <w:t xml:space="preserve">ANSTO scientists and its collaborators utilising </w:t>
      </w:r>
      <w:r w:rsidRPr="007038D5">
        <w:rPr>
          <w:sz w:val="20"/>
          <w:szCs w:val="20"/>
        </w:rPr>
        <w:t xml:space="preserve">our unique infrastructure such as the Synchrotron to better understand the structure of viruses, including Covid-19 which, in turn, assists in </w:t>
      </w:r>
      <w:r>
        <w:rPr>
          <w:sz w:val="20"/>
          <w:szCs w:val="20"/>
        </w:rPr>
        <w:t>developing vaccines and treatments.</w:t>
      </w:r>
    </w:p>
    <w:p w:rsidR="00653C6A" w:rsidRPr="007A3691" w:rsidRDefault="00BA7A7F" w:rsidP="009A491C">
      <w:pPr>
        <w:pStyle w:val="Default"/>
        <w:numPr>
          <w:ilvl w:val="0"/>
          <w:numId w:val="51"/>
        </w:numPr>
        <w:spacing w:line="260" w:lineRule="exact"/>
        <w:ind w:left="284" w:hanging="284"/>
        <w:jc w:val="both"/>
        <w:rPr>
          <w:sz w:val="20"/>
          <w:szCs w:val="20"/>
        </w:rPr>
      </w:pPr>
      <w:r>
        <w:rPr>
          <w:sz w:val="20"/>
          <w:szCs w:val="20"/>
        </w:rPr>
        <w:t>U</w:t>
      </w:r>
      <w:r w:rsidRPr="007A3691">
        <w:rPr>
          <w:sz w:val="20"/>
          <w:szCs w:val="20"/>
        </w:rPr>
        <w:t>nderstanding climate change (including contributions to Australia’s critical Antarctic research program) and its impact on Aus</w:t>
      </w:r>
      <w:r>
        <w:rPr>
          <w:sz w:val="20"/>
          <w:szCs w:val="20"/>
        </w:rPr>
        <w:t>tralia and its neighbours.</w:t>
      </w:r>
    </w:p>
    <w:p w:rsidR="007A3691" w:rsidRDefault="00BA7A7F" w:rsidP="009A491C">
      <w:pPr>
        <w:pStyle w:val="Default"/>
        <w:numPr>
          <w:ilvl w:val="0"/>
          <w:numId w:val="51"/>
        </w:numPr>
        <w:spacing w:line="260" w:lineRule="exact"/>
        <w:ind w:left="284" w:hanging="284"/>
        <w:jc w:val="both"/>
        <w:rPr>
          <w:sz w:val="20"/>
          <w:szCs w:val="20"/>
        </w:rPr>
      </w:pPr>
      <w:r>
        <w:rPr>
          <w:sz w:val="20"/>
          <w:szCs w:val="20"/>
        </w:rPr>
        <w:t>Conducting research into Australian bushfires to assist with planning, mitigation, and response to extreme bushfire events.</w:t>
      </w:r>
    </w:p>
    <w:p w:rsidR="00653C6A" w:rsidRDefault="00BA7A7F" w:rsidP="007E1708">
      <w:pPr>
        <w:pStyle w:val="Default"/>
        <w:numPr>
          <w:ilvl w:val="0"/>
          <w:numId w:val="51"/>
        </w:numPr>
        <w:spacing w:after="240" w:line="260" w:lineRule="exact"/>
        <w:ind w:left="284" w:hanging="284"/>
        <w:jc w:val="both"/>
        <w:rPr>
          <w:sz w:val="20"/>
          <w:szCs w:val="20"/>
        </w:rPr>
      </w:pPr>
      <w:r>
        <w:rPr>
          <w:sz w:val="20"/>
          <w:szCs w:val="20"/>
        </w:rPr>
        <w:t xml:space="preserve">Prioritising water research and partnering with communities to provide a scientific basis for managing and sustaining Australia’s precious groundwater resources. </w:t>
      </w:r>
    </w:p>
    <w:p w:rsidR="00653C6A" w:rsidRDefault="00BA7A7F" w:rsidP="0091575B">
      <w:pPr>
        <w:pStyle w:val="Default"/>
        <w:jc w:val="both"/>
        <w:rPr>
          <w:sz w:val="20"/>
          <w:szCs w:val="20"/>
        </w:rPr>
      </w:pPr>
      <w:r>
        <w:rPr>
          <w:sz w:val="20"/>
          <w:szCs w:val="20"/>
        </w:rPr>
        <w:t xml:space="preserve">ANSTO’s Australian Synchrotron continues its partner-funded $95 million BR-GHT beamline expansion program, with eight new beamlines being constructed. This will nearly double the Synchrotron’s capacity and enable broader engagement with researchers and industry in a range of applications: from high-tech manufacturing, including aerospace and transport, to health, including drug development and medical implants. This investment supports the $520 million of operational funding provided by the Australian Government. </w:t>
      </w:r>
    </w:p>
    <w:p w:rsidR="00653C6A" w:rsidRDefault="00653C6A" w:rsidP="0091575B">
      <w:pPr>
        <w:pStyle w:val="Default"/>
        <w:jc w:val="both"/>
        <w:rPr>
          <w:sz w:val="20"/>
          <w:szCs w:val="20"/>
        </w:rPr>
      </w:pPr>
    </w:p>
    <w:p w:rsidR="00653C6A" w:rsidRDefault="00BA7A7F" w:rsidP="0091575B">
      <w:pPr>
        <w:pStyle w:val="Default"/>
        <w:jc w:val="both"/>
        <w:rPr>
          <w:sz w:val="20"/>
        </w:rPr>
      </w:pPr>
      <w:r>
        <w:rPr>
          <w:sz w:val="20"/>
          <w:szCs w:val="20"/>
        </w:rPr>
        <w:t xml:space="preserve">More information on ANSTO, its strategic objectives, and major activities can be found in ANSTO’s corporate plan at: </w:t>
      </w:r>
      <w:r w:rsidRPr="00592004">
        <w:rPr>
          <w:sz w:val="20"/>
          <w:szCs w:val="20"/>
        </w:rPr>
        <w:t>https://</w:t>
      </w:r>
      <w:r>
        <w:rPr>
          <w:sz w:val="20"/>
          <w:szCs w:val="20"/>
        </w:rPr>
        <w:t>www.ansto.gov.au.</w:t>
      </w:r>
    </w:p>
    <w:p w:rsidR="004C2526" w:rsidRPr="00364646" w:rsidRDefault="00BA7A7F" w:rsidP="004C2526">
      <w:pPr>
        <w:pStyle w:val="Heading3"/>
        <w:pageBreakBefore/>
        <w:rPr>
          <w:smallCaps w:val="0"/>
          <w:sz w:val="22"/>
          <w:szCs w:val="22"/>
        </w:rPr>
      </w:pPr>
      <w:bookmarkStart w:id="370" w:name="RG_MARKER_11731"/>
      <w:bookmarkStart w:id="371" w:name="RG_MARKER_12277"/>
      <w:r w:rsidRPr="00364646">
        <w:rPr>
          <w:smallCaps w:val="0"/>
          <w:sz w:val="22"/>
          <w:szCs w:val="22"/>
        </w:rPr>
        <w:t>1.2</w:t>
      </w:r>
      <w:bookmarkEnd w:id="370"/>
      <w:bookmarkEnd w:id="371"/>
      <w:r w:rsidRPr="00364646">
        <w:rPr>
          <w:smallCaps w:val="0"/>
          <w:sz w:val="22"/>
          <w:szCs w:val="22"/>
        </w:rPr>
        <w:tab/>
        <w:t>Entity resource statement</w:t>
      </w:r>
    </w:p>
    <w:p w:rsidR="00974397" w:rsidRPr="00974397" w:rsidRDefault="00BA7A7F" w:rsidP="00974397">
      <w:bookmarkStart w:id="372" w:name="OLE_LINK12_0"/>
      <w:bookmarkStart w:id="373" w:name="OLE_LINK11_0"/>
      <w:r w:rsidRPr="00974397">
        <w:t>Table 1.1 shows the total funding from all sources available to the entity for its operations and to deliver programs and services on behalf of the Government.</w:t>
      </w:r>
    </w:p>
    <w:p w:rsidR="00974397" w:rsidRPr="00974397" w:rsidRDefault="00BA7A7F" w:rsidP="00974397">
      <w:r w:rsidRPr="00974397">
        <w:t>The table summarises how resources will be applied by outcome (government strategic policy objectives) and by administered (on behalf of the Government or the public) and departmental (for the entity’s operations) classification.</w:t>
      </w:r>
    </w:p>
    <w:p w:rsidR="000E4504" w:rsidRDefault="00BA7A7F" w:rsidP="00974397">
      <w:r w:rsidRPr="00974397">
        <w:t>Information in this table is presented on a resourcing (that is, appropriations/cash available) basis, whilst the ‘Budgeted expenses by Outcome</w:t>
      </w:r>
      <w:r>
        <w:t xml:space="preserve"> 1</w:t>
      </w:r>
      <w:r w:rsidRPr="00974397">
        <w:t>’ tables in Section 2 and the financial statements in Section 3 are presented on an accrual basis.</w:t>
      </w:r>
      <w:bookmarkEnd w:id="372"/>
      <w:bookmarkEnd w:id="373"/>
    </w:p>
    <w:p w:rsidR="004C2526" w:rsidRDefault="00BA7A7F" w:rsidP="00177229">
      <w:pPr>
        <w:pStyle w:val="TableHeading"/>
        <w:keepLines/>
        <w:spacing w:before="240" w:after="0"/>
      </w:pPr>
      <w:r w:rsidRPr="004C2526">
        <w:t xml:space="preserve">Table 1.1: </w:t>
      </w:r>
      <w:r>
        <w:rPr>
          <w:snapToGrid w:val="0"/>
        </w:rPr>
        <w:t>ANSTO</w:t>
      </w:r>
      <w:r w:rsidRPr="004C2526">
        <w:t xml:space="preserve"> </w:t>
      </w:r>
      <w:r>
        <w:t>resource statement – B</w:t>
      </w:r>
      <w:r w:rsidRPr="00612A36">
        <w:t xml:space="preserve">udget estimates </w:t>
      </w:r>
      <w:r w:rsidRPr="004C2526">
        <w:t xml:space="preserve">for </w:t>
      </w:r>
      <w:r>
        <w:t>2022­23</w:t>
      </w:r>
      <w:r w:rsidRPr="004C2526">
        <w:t xml:space="preserve"> </w:t>
      </w:r>
      <w:r w:rsidRPr="00612A36">
        <w:t>as at Budget March</w:t>
      </w:r>
      <w:r w:rsidRPr="004C2526">
        <w:t xml:space="preserve"> </w:t>
      </w:r>
      <w:r>
        <w:t>2022</w:t>
      </w:r>
    </w:p>
    <w:tbl>
      <w:tblPr>
        <w:tblStyle w:val="CDMRange1"/>
        <w:tblW w:w="6915" w:type="dxa"/>
        <w:tblLayout w:type="fixed"/>
        <w:tblLook w:val="0600" w:firstRow="0" w:lastRow="0" w:firstColumn="0" w:lastColumn="0" w:noHBand="1" w:noVBand="1"/>
      </w:tblPr>
      <w:tblGrid>
        <w:gridCol w:w="4665"/>
        <w:gridCol w:w="1125"/>
        <w:gridCol w:w="1125"/>
      </w:tblGrid>
      <w:tr w:rsidR="00253274">
        <w:trPr>
          <w:trHeight w:val="900"/>
        </w:trPr>
        <w:tc>
          <w:tcPr>
            <w:tcW w:w="466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  Estimated actual</w:t>
            </w:r>
          </w:p>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 Estimate</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balance/cash reserves at 1 July </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33,153</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33,154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(a)(c)</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279,506</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289,790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(b)(c)</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2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50,187</w:t>
            </w:r>
          </w:p>
        </w:tc>
        <w:tc>
          <w:tcPr>
            <w:tcW w:w="112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43,169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329,693</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332,959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329,693</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332,959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1,144</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930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nil"/>
              <w:left w:val="nil"/>
              <w:bottom w:val="nil"/>
              <w:right w:val="nil"/>
              <w:tl2br w:val="nil"/>
              <w:tr2bl w:val="nil"/>
            </w:tcBorders>
            <w:shd w:val="clear" w:color="FFFFFF" w:fill="FFFFFF"/>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goods and services</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86,491</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96,099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2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35,962</w:t>
            </w:r>
          </w:p>
        </w:tc>
        <w:tc>
          <w:tcPr>
            <w:tcW w:w="112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24,667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65" w:type="dxa"/>
            <w:tcBorders>
              <w:top w:val="nil"/>
              <w:left w:val="nil"/>
              <w:bottom w:val="nil"/>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123,597</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121,696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ANSTO</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486,443</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487,809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6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25"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1,350</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1,363</w:t>
            </w:r>
          </w:p>
        </w:tc>
      </w:tr>
    </w:tbl>
    <w:p w:rsidR="009F3E5A" w:rsidRDefault="00BA7A7F" w:rsidP="005F4B96">
      <w:pPr>
        <w:pStyle w:val="ChartandTableFootnote"/>
        <w:keepLines/>
        <w:ind w:left="284" w:hanging="284"/>
        <w:jc w:val="left"/>
        <w:rPr>
          <w:color w:val="auto"/>
          <w:szCs w:val="16"/>
          <w:bdr w:val="none" w:sz="0" w:space="0" w:color="auto" w:frame="1"/>
          <w:lang w:val="en-AU" w:eastAsia="en-AU"/>
        </w:rPr>
      </w:pPr>
      <w:r w:rsidRPr="001D2FE6">
        <w:rPr>
          <w:color w:val="auto"/>
          <w:szCs w:val="16"/>
          <w:bdr w:val="none" w:sz="0" w:space="0" w:color="auto" w:frame="1"/>
          <w:lang w:val="en-AU" w:eastAsia="en-AU"/>
        </w:rPr>
        <w:t>All figures shown above are GST exclusive</w:t>
      </w:r>
      <w:r>
        <w:rPr>
          <w:color w:val="auto"/>
          <w:szCs w:val="16"/>
          <w:bdr w:val="none" w:sz="0" w:space="0" w:color="auto" w:frame="1"/>
          <w:lang w:val="en-AU" w:eastAsia="en-AU"/>
        </w:rPr>
        <w:t xml:space="preserve"> – these </w:t>
      </w:r>
      <w:r w:rsidRPr="001D2FE6">
        <w:rPr>
          <w:color w:val="auto"/>
          <w:szCs w:val="16"/>
          <w:bdr w:val="none" w:sz="0" w:space="0" w:color="auto" w:frame="1"/>
          <w:lang w:val="en-AU" w:eastAsia="en-AU"/>
        </w:rPr>
        <w:t>may not match figures in the cash flow statement.</w:t>
      </w:r>
    </w:p>
    <w:p w:rsidR="007838E7" w:rsidRDefault="00BA7A7F" w:rsidP="005F4B96">
      <w:pPr>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 resourcing (i.e. appropriations available) basis.</w:t>
      </w:r>
    </w:p>
    <w:p w:rsidR="002A5EF2" w:rsidRPr="007838E7" w:rsidRDefault="00BA7A7F" w:rsidP="005F4B96">
      <w:pPr>
        <w:pStyle w:val="ListParagraph"/>
        <w:keepLines/>
        <w:numPr>
          <w:ilvl w:val="0"/>
          <w:numId w:val="52"/>
        </w:numPr>
        <w:spacing w:after="0" w:line="240" w:lineRule="auto"/>
        <w:jc w:val="left"/>
        <w:rPr>
          <w:rFonts w:eastAsia="Times New Roman" w:cs="Arial"/>
          <w:color w:val="000000"/>
          <w:sz w:val="16"/>
          <w:szCs w:val="16"/>
          <w:lang w:val="en-AU"/>
        </w:rPr>
      </w:pPr>
      <w:r w:rsidRPr="007838E7">
        <w:rPr>
          <w:rFonts w:ascii="Arial" w:eastAsia="Times New Roman" w:hAnsi="Arial" w:cs="Arial"/>
          <w:color w:val="000000"/>
          <w:sz w:val="16"/>
          <w:szCs w:val="16"/>
          <w:lang w:val="en-AU"/>
        </w:rPr>
        <w:t>Appropriation Bill (No. 1) 2022­23.</w:t>
      </w:r>
    </w:p>
    <w:p w:rsidR="000324F0" w:rsidRDefault="00BA7A7F" w:rsidP="005F4B96">
      <w:pPr>
        <w:keepLines w:val="0"/>
        <w:numPr>
          <w:ilvl w:val="0"/>
          <w:numId w:val="52"/>
        </w:numPr>
        <w:spacing w:after="0" w:line="240" w:lineRule="auto"/>
        <w:jc w:val="left"/>
        <w:rPr>
          <w:rFonts w:ascii="Arial" w:hAnsi="Arial" w:cs="Arial"/>
          <w:color w:val="000000"/>
          <w:sz w:val="16"/>
          <w:szCs w:val="16"/>
        </w:rPr>
      </w:pPr>
      <w:r>
        <w:rPr>
          <w:rFonts w:ascii="Arial" w:hAnsi="Arial" w:cs="Arial"/>
          <w:color w:val="000000"/>
          <w:sz w:val="16"/>
          <w:szCs w:val="16"/>
        </w:rPr>
        <w:t>Appropriation Bill (No. 2) 2022­23.</w:t>
      </w:r>
    </w:p>
    <w:p w:rsidR="002A5EF2" w:rsidRPr="000324F0" w:rsidRDefault="00BA7A7F" w:rsidP="005F4B96">
      <w:pPr>
        <w:keepLines w:val="0"/>
        <w:numPr>
          <w:ilvl w:val="0"/>
          <w:numId w:val="52"/>
        </w:numPr>
        <w:spacing w:after="0" w:line="240" w:lineRule="auto"/>
        <w:jc w:val="left"/>
        <w:rPr>
          <w:rFonts w:ascii="Arial" w:hAnsi="Arial" w:cs="Arial"/>
          <w:color w:val="000000"/>
          <w:sz w:val="16"/>
          <w:szCs w:val="16"/>
        </w:rPr>
      </w:pPr>
      <w:r w:rsidRPr="000324F0">
        <w:rPr>
          <w:rFonts w:ascii="Arial" w:eastAsia="Calibri" w:hAnsi="Arial" w:cs="Arial"/>
          <w:sz w:val="16"/>
          <w:szCs w:val="16"/>
          <w:bdr w:val="none" w:sz="0" w:space="0" w:color="auto" w:frame="1"/>
        </w:rPr>
        <w:t>ANSTO is not di</w:t>
      </w:r>
      <w:r>
        <w:rPr>
          <w:rFonts w:ascii="Arial" w:eastAsia="Calibri" w:hAnsi="Arial" w:cs="Arial"/>
          <w:sz w:val="16"/>
          <w:szCs w:val="16"/>
          <w:bdr w:val="none" w:sz="0" w:space="0" w:color="auto" w:frame="1"/>
        </w:rPr>
        <w:t>rectly appropriated as it is a c</w:t>
      </w:r>
      <w:r w:rsidRPr="000324F0">
        <w:rPr>
          <w:rFonts w:ascii="Arial" w:eastAsia="Calibri" w:hAnsi="Arial" w:cs="Arial"/>
          <w:sz w:val="16"/>
          <w:szCs w:val="16"/>
          <w:bdr w:val="none" w:sz="0" w:space="0" w:color="auto" w:frame="1"/>
        </w:rPr>
        <w:t>orporate Commonwealth entity. Appropriations are made to the Department of Industry, Science, Energy and Resources and then paid to ANSTO and are considered departmental for all purposes.</w:t>
      </w:r>
    </w:p>
    <w:p w:rsidR="009F3E5A" w:rsidRDefault="009F3E5A" w:rsidP="009F3E5A">
      <w:pPr>
        <w:spacing w:after="0"/>
        <w:rPr>
          <w:rFonts w:ascii="Calibri" w:eastAsia="Calibri" w:hAnsi="Calibri" w:cs="Arial"/>
          <w:bdr w:val="none" w:sz="0" w:space="0" w:color="auto" w:frame="1"/>
        </w:rPr>
      </w:pPr>
    </w:p>
    <w:p w:rsidR="009F3E5A" w:rsidRPr="009F3E5A" w:rsidRDefault="009F3E5A" w:rsidP="009F3E5A">
      <w:pPr>
        <w:rPr>
          <w:vanish/>
        </w:rPr>
      </w:pPr>
    </w:p>
    <w:p w:rsidR="003E027B" w:rsidRPr="00245E2C" w:rsidRDefault="00BA7A7F" w:rsidP="000A5C86">
      <w:pPr>
        <w:pStyle w:val="Heading3"/>
        <w:pageBreakBefore/>
        <w:jc w:val="both"/>
        <w:rPr>
          <w:rFonts w:ascii="Arial Bold" w:hAnsi="Arial Bold"/>
          <w:smallCaps w:val="0"/>
          <w:sz w:val="22"/>
          <w:szCs w:val="22"/>
        </w:rPr>
      </w:pPr>
      <w:bookmarkStart w:id="374" w:name="RG_MARKER_11736"/>
      <w:bookmarkStart w:id="375" w:name="RG_MARKER_11749"/>
      <w:bookmarkStart w:id="376" w:name="RG_MARKER_12278"/>
      <w:r w:rsidRPr="00245E2C">
        <w:rPr>
          <w:rFonts w:ascii="Arial Bold" w:hAnsi="Arial Bold"/>
          <w:smallCaps w:val="0"/>
          <w:sz w:val="22"/>
          <w:szCs w:val="22"/>
        </w:rPr>
        <w:t>1.3</w:t>
      </w:r>
      <w:bookmarkEnd w:id="374"/>
      <w:bookmarkEnd w:id="375"/>
      <w:bookmarkEnd w:id="376"/>
      <w:r w:rsidRPr="00245E2C">
        <w:rPr>
          <w:rFonts w:ascii="Arial Bold" w:hAnsi="Arial Bold"/>
          <w:smallCaps w:val="0"/>
          <w:sz w:val="22"/>
          <w:szCs w:val="22"/>
        </w:rPr>
        <w:tab/>
        <w:t>Budget measures</w:t>
      </w:r>
    </w:p>
    <w:p w:rsidR="009D175B" w:rsidRDefault="00BA7A7F" w:rsidP="00C10853">
      <w:pPr>
        <w:rPr>
          <w:b/>
        </w:rPr>
      </w:pPr>
      <w:r w:rsidRPr="009D175B">
        <w:t xml:space="preserve">Budget measures </w:t>
      </w:r>
      <w:r>
        <w:t>in Part 1 relating to ANSTO</w:t>
      </w:r>
      <w:r w:rsidRPr="009D175B">
        <w:t xml:space="preserve"> are detailed in Budget Paper No. 2 and are summarised below.</w:t>
      </w:r>
    </w:p>
    <w:p w:rsidR="009D175B" w:rsidRDefault="00BA7A7F" w:rsidP="00C10853">
      <w:pPr>
        <w:pStyle w:val="TableHeading"/>
        <w:keepLines/>
        <w:spacing w:before="240" w:after="0"/>
      </w:pPr>
      <w:r w:rsidRPr="003E027B">
        <w:t xml:space="preserve">Table 1.2: </w:t>
      </w:r>
      <w:r>
        <w:rPr>
          <w:snapToGrid w:val="0"/>
        </w:rPr>
        <w:t>ANSTO</w:t>
      </w:r>
      <w:r w:rsidRPr="003E027B">
        <w:t xml:space="preserve"> </w:t>
      </w:r>
      <w:r>
        <w:t>2022­23 Budget measures</w:t>
      </w:r>
      <w:r>
        <w:br/>
        <w:t>Part 1: Measures announced after the 2021­22 Mid-Year Economic and Fiscal Outlook (MYEFO)</w:t>
      </w:r>
    </w:p>
    <w:tbl>
      <w:tblPr>
        <w:tblStyle w:val="CDMRange1"/>
        <w:tblW w:w="7755" w:type="dxa"/>
        <w:tblLayout w:type="fixed"/>
        <w:tblLook w:val="0600" w:firstRow="0" w:lastRow="0" w:firstColumn="0" w:lastColumn="0" w:noHBand="1" w:noVBand="1"/>
      </w:tblPr>
      <w:tblGrid>
        <w:gridCol w:w="2895"/>
        <w:gridCol w:w="810"/>
        <w:gridCol w:w="810"/>
        <w:gridCol w:w="810"/>
        <w:gridCol w:w="810"/>
        <w:gridCol w:w="810"/>
        <w:gridCol w:w="810"/>
      </w:tblGrid>
      <w:tr w:rsidR="00253274">
        <w:trPr>
          <w:trHeight w:val="450"/>
        </w:trPr>
        <w:tc>
          <w:tcPr>
            <w:tcW w:w="28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Critical Minerals Strategy - implementation</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1,583</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1,900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1,427</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1,583</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1,900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1,427</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9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1,583</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1,900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1,427</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8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1,583</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1,900</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1,427</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911A32" w:rsidRDefault="00BA7A7F" w:rsidP="00E668B0">
      <w:pPr>
        <w:keepLines w:val="0"/>
        <w:spacing w:after="0" w:line="240" w:lineRule="auto"/>
        <w:rPr>
          <w:rFonts w:ascii="Arial" w:hAnsi="Arial" w:cs="Arial"/>
          <w:sz w:val="16"/>
          <w:szCs w:val="16"/>
        </w:rPr>
      </w:pPr>
      <w:r w:rsidRPr="00634E50">
        <w:rPr>
          <w:rFonts w:ascii="Arial" w:hAnsi="Arial" w:cs="Arial"/>
          <w:sz w:val="16"/>
          <w:szCs w:val="16"/>
        </w:rPr>
        <w:t>Prepared on a Government Finance Statistics (Underlying Cash) basis. Figures displayed as a negative (-) represent a decrease in funds and a positive (+) represent an increase in funds.</w:t>
      </w:r>
    </w:p>
    <w:p w:rsidR="006835F1" w:rsidRPr="0004706F" w:rsidRDefault="00BA7A7F" w:rsidP="009C0896">
      <w:pPr>
        <w:pStyle w:val="ChartandTableFootnote"/>
        <w:ind w:left="284" w:hanging="284"/>
        <w:rPr>
          <w:rFonts w:eastAsia="Times New Roman" w:cs="Times New Roman"/>
          <w:color w:val="auto"/>
          <w:szCs w:val="20"/>
          <w:lang w:val="en-AU" w:eastAsia="en-AU"/>
        </w:rPr>
      </w:pPr>
      <w:r w:rsidRPr="00B02331">
        <w:rPr>
          <w:rFonts w:eastAsia="Times New Roman" w:cs="Times New Roman"/>
          <w:color w:val="auto"/>
          <w:szCs w:val="20"/>
          <w:lang w:val="en-AU" w:eastAsia="en-AU"/>
        </w:rPr>
        <w:t>ANSTO also received $28 million across 2022-23 and 2023-24 to support nuclear medicine production.</w:t>
      </w:r>
    </w:p>
    <w:p w:rsidR="00FD26B4" w:rsidRPr="005828F8" w:rsidRDefault="00BA7A7F" w:rsidP="005828F8">
      <w:pPr>
        <w:pStyle w:val="Heading2"/>
        <w:pageBreakBefore/>
        <w:spacing w:after="120"/>
        <w:rPr>
          <w:b/>
          <w:sz w:val="26"/>
          <w:szCs w:val="26"/>
        </w:rPr>
      </w:pPr>
      <w:bookmarkStart w:id="377" w:name="RG_MARKER_11755"/>
      <w:bookmarkStart w:id="378" w:name="RG_MARKER_12193"/>
      <w:bookmarkStart w:id="379" w:name="_Toc436624143_1"/>
      <w:bookmarkStart w:id="380" w:name="_Toc436625444_1"/>
      <w:bookmarkStart w:id="381" w:name="_Toc446237032_1"/>
      <w:bookmarkStart w:id="382" w:name="_Toc449255764_1"/>
      <w:bookmarkStart w:id="383" w:name="_Toc490972409_1"/>
      <w:bookmarkStart w:id="384" w:name="_Toc491014629_1"/>
      <w:bookmarkStart w:id="385" w:name="_Toc491014771_1"/>
      <w:bookmarkStart w:id="386" w:name="_Toc491014951_1"/>
      <w:bookmarkStart w:id="387" w:name="_Toc491015098_1"/>
      <w:bookmarkStart w:id="388" w:name="_Toc491029242_1"/>
      <w:bookmarkStart w:id="389" w:name="_Toc491030331_1"/>
      <w:bookmarkStart w:id="390" w:name="_Toc491030790_1"/>
      <w:bookmarkStart w:id="391" w:name="_Toc491031353_1"/>
      <w:bookmarkStart w:id="392" w:name="_Toc491031940_1"/>
      <w:bookmarkStart w:id="393" w:name="_Toc491032113_1"/>
      <w:bookmarkStart w:id="394" w:name="_Toc491032221_1"/>
      <w:bookmarkStart w:id="395" w:name="_Toc491032328_1"/>
      <w:bookmarkStart w:id="396" w:name="_Toc491771720_1"/>
      <w:bookmarkStart w:id="397" w:name="_Toc491773295_1"/>
      <w:bookmarkStart w:id="398" w:name="_Toc23559353_1"/>
      <w:bookmarkStart w:id="399" w:name="_Toc23559387_1"/>
      <w:bookmarkStart w:id="400" w:name="_Toc23559674_1"/>
      <w:bookmarkStart w:id="401" w:name="_Toc23560142_1"/>
      <w:bookmarkStart w:id="402" w:name="_Toc23563436_1"/>
      <w:bookmarkStart w:id="403" w:name="_Toc77998688_1"/>
      <w:bookmarkStart w:id="404" w:name="_Toc79399717_1"/>
      <w:bookmarkStart w:id="405" w:name="_Toc112211966_1"/>
      <w:bookmarkStart w:id="406" w:name="_Toc112212060_1"/>
      <w:bookmarkStart w:id="407" w:name="_Toc112137878_1"/>
      <w:bookmarkStart w:id="408" w:name="_Toc112137900_1"/>
      <w:bookmarkStart w:id="409" w:name="_Toc210646453_1"/>
      <w:bookmarkStart w:id="410" w:name="_Toc210698432_1"/>
      <w:bookmarkStart w:id="411" w:name="_Toc210703214_1"/>
      <w:r w:rsidRPr="005828F8">
        <w:rPr>
          <w:b/>
          <w:sz w:val="26"/>
          <w:szCs w:val="26"/>
        </w:rPr>
        <w:t>Section 2</w:t>
      </w:r>
      <w:bookmarkEnd w:id="377"/>
      <w:bookmarkEnd w:id="378"/>
      <w:bookmarkEnd w:id="379"/>
      <w:bookmarkEnd w:id="380"/>
      <w:bookmarkEnd w:id="381"/>
      <w:bookmarkEnd w:id="382"/>
      <w:r w:rsidRPr="005828F8">
        <w:rPr>
          <w:b/>
          <w:sz w:val="26"/>
          <w:szCs w:val="26"/>
        </w:rPr>
        <w:t xml:space="preserve">: </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5828F8">
        <w:rPr>
          <w:b/>
          <w:sz w:val="26"/>
          <w:szCs w:val="26"/>
        </w:rPr>
        <w:t>Outcomes and planned performanc</w:t>
      </w:r>
      <w:bookmarkEnd w:id="410"/>
      <w:bookmarkEnd w:id="411"/>
      <w:r w:rsidRPr="005828F8">
        <w:rPr>
          <w:b/>
          <w:sz w:val="26"/>
          <w:szCs w:val="26"/>
        </w:rPr>
        <w:t>e</w:t>
      </w:r>
      <w:bookmarkStart w:id="412" w:name="_Toc436624145_2"/>
      <w:bookmarkStart w:id="413" w:name="_Toc436625446_2"/>
      <w:bookmarkStart w:id="414" w:name="_Toc449255766_2"/>
      <w:bookmarkStart w:id="415" w:name="_Toc490972410_2"/>
      <w:bookmarkStart w:id="416" w:name="_Toc491014630_2"/>
      <w:bookmarkStart w:id="417" w:name="_Toc491014772_2"/>
      <w:bookmarkStart w:id="418" w:name="_Toc491014952_2"/>
      <w:bookmarkStart w:id="419" w:name="_Toc491015099_2"/>
      <w:bookmarkStart w:id="420" w:name="_Toc491029243_2"/>
      <w:bookmarkStart w:id="421" w:name="_Toc491030332_2"/>
      <w:bookmarkStart w:id="422" w:name="_Toc491030791_2"/>
      <w:bookmarkStart w:id="423" w:name="_Toc491031354_2"/>
      <w:bookmarkStart w:id="424" w:name="_Toc491031941_2"/>
      <w:bookmarkStart w:id="425" w:name="_Toc491032114_2"/>
      <w:bookmarkStart w:id="426" w:name="_Toc491032222_2"/>
      <w:bookmarkStart w:id="427" w:name="_Toc491032329_2"/>
      <w:bookmarkStart w:id="428" w:name="_Toc491771721_2"/>
      <w:bookmarkStart w:id="429" w:name="_Toc491773296_2"/>
      <w:bookmarkStart w:id="430" w:name="_Toc23559354_2"/>
      <w:bookmarkStart w:id="431" w:name="_Toc23559388_2"/>
      <w:bookmarkStart w:id="432" w:name="_Toc23559675_2"/>
      <w:bookmarkStart w:id="433" w:name="_Toc23560143_2"/>
      <w:bookmarkStart w:id="434" w:name="_Toc23563437_2"/>
      <w:bookmarkStart w:id="435" w:name="_Toc77998689_2"/>
      <w:bookmarkStart w:id="436" w:name="_Toc79406118_2"/>
      <w:bookmarkStart w:id="437" w:name="_Toc79467820_2"/>
      <w:bookmarkStart w:id="438" w:name="_Toc112211967_2"/>
      <w:bookmarkStart w:id="439" w:name="_Toc112212061_2"/>
      <w:bookmarkStart w:id="440" w:name="_Toc112137879_2"/>
      <w:bookmarkStart w:id="441" w:name="_Toc112137901_2"/>
      <w:bookmarkStart w:id="442" w:name="_Toc210646454_2"/>
      <w:bookmarkStart w:id="443" w:name="_Toc210698433_2"/>
      <w:bookmarkStart w:id="444" w:name="_Toc210703215_2"/>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rsidR="00FD26B4" w:rsidRDefault="00BA7A7F" w:rsidP="00FD26B4">
      <w:r>
        <w:t xml:space="preserve">Government outcomes are the intended results, impacts or consequences of actions by the Government on the Australian community. Commonwealth </w:t>
      </w:r>
      <w:r>
        <w:rPr>
          <w:color w:val="000000"/>
        </w:rPr>
        <w:t xml:space="preserve">programs </w:t>
      </w:r>
      <w:r>
        <w:t xml:space="preserve">are the primary vehicle by which government entities achieve the intended results of their outcome statements. Entities are required to identify the </w:t>
      </w:r>
      <w:r>
        <w:rPr>
          <w:color w:val="000000"/>
        </w:rPr>
        <w:t>programs</w:t>
      </w:r>
      <w:r>
        <w:t xml:space="preserve"> which contribute to government outcomes over the Budget and forward years.</w:t>
      </w:r>
    </w:p>
    <w:p w:rsidR="00FD26B4" w:rsidRDefault="00BA7A7F" w:rsidP="00FD26B4">
      <w:r>
        <w:t xml:space="preserve">Each outcome is described below together with its related </w:t>
      </w:r>
      <w:r>
        <w:rPr>
          <w:color w:val="000000"/>
        </w:rPr>
        <w:t>programs</w:t>
      </w:r>
      <w:r>
        <w:t>. The following provides detailed information on expenses for each outcome and program, further broken down by funding source.</w:t>
      </w:r>
    </w:p>
    <w:p w:rsidR="00FD26B4" w:rsidRDefault="00BA7A7F" w:rsidP="00FD26B4">
      <w:pPr>
        <w:pBdr>
          <w:top w:val="single" w:sz="4" w:space="1" w:color="auto"/>
          <w:left w:val="single" w:sz="4" w:space="4" w:color="auto"/>
          <w:bottom w:val="single" w:sz="4" w:space="1" w:color="auto"/>
          <w:right w:val="single" w:sz="4" w:space="4" w:color="auto"/>
        </w:pBdr>
        <w:spacing w:after="120" w:line="240" w:lineRule="auto"/>
        <w:rPr>
          <w:b/>
        </w:rPr>
      </w:pPr>
      <w:r>
        <w:rPr>
          <w:b/>
        </w:rPr>
        <w:t>Note:</w:t>
      </w:r>
    </w:p>
    <w:p w:rsidR="002F516F" w:rsidRDefault="00BA7A7F" w:rsidP="002F516F">
      <w:pPr>
        <w:pBdr>
          <w:top w:val="single" w:sz="4" w:space="1" w:color="auto"/>
          <w:left w:val="single" w:sz="4" w:space="4" w:color="auto"/>
          <w:bottom w:val="single" w:sz="4" w:space="1" w:color="auto"/>
          <w:right w:val="single" w:sz="4" w:space="4" w:color="auto"/>
        </w:pBdr>
      </w:pPr>
      <w:r>
        <w:t xml:space="preserve">Performance reporting requirements in the Portfolio Budget Statements are part of the Commonwealth performance framework established by the </w:t>
      </w:r>
      <w:r w:rsidRPr="002F516F">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rsidR="000C1A11" w:rsidRDefault="00BA7A7F" w:rsidP="000C1A11">
      <w:pPr>
        <w:pBdr>
          <w:top w:val="single" w:sz="4" w:space="1" w:color="auto"/>
          <w:left w:val="single" w:sz="4" w:space="4" w:color="auto"/>
          <w:bottom w:val="single" w:sz="4" w:space="1" w:color="auto"/>
          <w:right w:val="single" w:sz="4" w:space="4" w:color="auto"/>
        </w:pBdr>
        <w:spacing w:after="0"/>
      </w:pPr>
      <w:r>
        <w:t>The most recent corporate plan for ANSTO can be found at:</w:t>
      </w:r>
    </w:p>
    <w:p w:rsidR="002F516F" w:rsidRDefault="00BA7A7F" w:rsidP="002F516F">
      <w:pPr>
        <w:pBdr>
          <w:top w:val="single" w:sz="4" w:space="1" w:color="auto"/>
          <w:left w:val="single" w:sz="4" w:space="4" w:color="auto"/>
          <w:bottom w:val="single" w:sz="4" w:space="1" w:color="auto"/>
          <w:right w:val="single" w:sz="4" w:space="4" w:color="auto"/>
        </w:pBdr>
      </w:pPr>
      <w:r w:rsidRPr="00296DC9">
        <w:t>https://www.ansto.gov.au/corporate-publications/corporate-plan</w:t>
      </w:r>
    </w:p>
    <w:p w:rsidR="000C1A11" w:rsidRDefault="00BA7A7F" w:rsidP="000C1A11">
      <w:pPr>
        <w:pBdr>
          <w:top w:val="single" w:sz="4" w:space="1" w:color="auto"/>
          <w:left w:val="single" w:sz="4" w:space="4" w:color="auto"/>
          <w:bottom w:val="single" w:sz="4" w:space="1" w:color="auto"/>
          <w:right w:val="single" w:sz="4" w:space="4" w:color="auto"/>
        </w:pBdr>
        <w:spacing w:after="0"/>
      </w:pPr>
      <w:r>
        <w:t>The most recent annual performance statement can be found at:</w:t>
      </w:r>
    </w:p>
    <w:p w:rsidR="00FF7928" w:rsidRPr="00FF7928" w:rsidRDefault="00BA7A7F" w:rsidP="002F516F">
      <w:pPr>
        <w:pBdr>
          <w:top w:val="single" w:sz="4" w:space="1" w:color="auto"/>
          <w:left w:val="single" w:sz="4" w:space="4" w:color="auto"/>
          <w:bottom w:val="single" w:sz="4" w:space="1" w:color="auto"/>
          <w:right w:val="single" w:sz="4" w:space="4" w:color="auto"/>
        </w:pBdr>
        <w:rPr>
          <w:u w:val="single"/>
        </w:rPr>
      </w:pPr>
      <w:r>
        <w:t>https://www.ansto.gov.au/annual-report</w:t>
      </w:r>
    </w:p>
    <w:p w:rsidR="007D76B1" w:rsidRPr="00892E88" w:rsidRDefault="00BA7A7F" w:rsidP="007D76B1">
      <w:pPr>
        <w:pStyle w:val="Heading3"/>
        <w:pageBreakBefore/>
        <w:rPr>
          <w:smallCaps w:val="0"/>
          <w:sz w:val="22"/>
          <w:szCs w:val="22"/>
        </w:rPr>
      </w:pPr>
      <w:bookmarkStart w:id="445" w:name="RG_MARKER_11732"/>
      <w:bookmarkStart w:id="446" w:name="RG_MARKER_12067"/>
      <w:bookmarkStart w:id="447" w:name="_Toc210703215_3"/>
      <w:bookmarkStart w:id="448" w:name="_Toc210698433_3"/>
      <w:bookmarkStart w:id="449" w:name="_Toc210646454_3"/>
      <w:bookmarkStart w:id="450" w:name="_Toc112137901_3"/>
      <w:bookmarkStart w:id="451" w:name="_Toc112137879_3"/>
      <w:bookmarkStart w:id="452" w:name="_Toc112212061_3"/>
      <w:bookmarkStart w:id="453" w:name="_Toc112211967_3"/>
      <w:bookmarkStart w:id="454" w:name="_Toc79467820_3"/>
      <w:bookmarkStart w:id="455" w:name="_Toc79406118_3"/>
      <w:bookmarkStart w:id="456" w:name="_Toc77998689_3"/>
      <w:bookmarkStart w:id="457" w:name="_Toc23563437_3"/>
      <w:bookmarkStart w:id="458" w:name="_Toc23560143_3"/>
      <w:bookmarkStart w:id="459" w:name="_Toc23559675_3"/>
      <w:bookmarkStart w:id="460" w:name="_Toc23559388_3"/>
      <w:bookmarkStart w:id="461" w:name="_Toc23559354_3"/>
      <w:bookmarkStart w:id="462" w:name="_Toc491773296_3"/>
      <w:bookmarkStart w:id="463" w:name="_Toc491771721_3"/>
      <w:bookmarkStart w:id="464" w:name="_Toc491032329_3"/>
      <w:bookmarkStart w:id="465" w:name="_Toc491032222_3"/>
      <w:bookmarkStart w:id="466" w:name="_Toc491032114_3"/>
      <w:bookmarkStart w:id="467" w:name="_Toc491031941_3"/>
      <w:bookmarkStart w:id="468" w:name="_Toc491031354_3"/>
      <w:bookmarkStart w:id="469" w:name="_Toc491030791_3"/>
      <w:bookmarkStart w:id="470" w:name="_Toc491030332_3"/>
      <w:bookmarkStart w:id="471" w:name="_Toc491029243_3"/>
      <w:bookmarkStart w:id="472" w:name="_Toc491015099_3"/>
      <w:bookmarkStart w:id="473" w:name="_Toc491014952_3"/>
      <w:bookmarkStart w:id="474" w:name="_Toc491014772_3"/>
      <w:bookmarkStart w:id="475" w:name="_Toc491014630_3"/>
      <w:bookmarkStart w:id="476" w:name="_Toc490972410_3"/>
      <w:bookmarkStart w:id="477" w:name="_Toc449255766_3"/>
      <w:bookmarkStart w:id="478" w:name="_Toc436625446_3"/>
      <w:bookmarkStart w:id="479" w:name="_Toc436624145_3"/>
      <w:r w:rsidRPr="00892E88">
        <w:rPr>
          <w:smallCaps w:val="0"/>
          <w:sz w:val="22"/>
          <w:szCs w:val="22"/>
        </w:rPr>
        <w:t>2.1</w:t>
      </w:r>
      <w:bookmarkEnd w:id="445"/>
      <w:bookmarkEnd w:id="446"/>
      <w:r w:rsidRPr="00892E88">
        <w:rPr>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253274" w:rsidTr="00927238">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rsidR="00927238" w:rsidRDefault="00BA7A7F" w:rsidP="00892E88">
            <w:pPr>
              <w:pStyle w:val="TableColumnHeadingLeft"/>
              <w:keepLines/>
            </w:pPr>
            <w:r w:rsidRPr="00CF515B">
              <w:rPr>
                <w:color w:val="000000"/>
              </w:rPr>
              <w:t>Outcome 1: Improved knowledge, innovative capacity and healthcare through nuclear-based facilities, research, training, products, services and advice to Government, industry, the education sector and the</w:t>
            </w:r>
            <w:r>
              <w:rPr>
                <w:color w:val="000000"/>
              </w:rPr>
              <w:t xml:space="preserve"> Australian population</w:t>
            </w:r>
          </w:p>
        </w:tc>
      </w:tr>
    </w:tbl>
    <w:p w:rsidR="00927238" w:rsidRPr="00892E88" w:rsidRDefault="00BA7A7F" w:rsidP="00B3241F">
      <w:pPr>
        <w:pStyle w:val="Heading4"/>
        <w:spacing w:before="240"/>
        <w:rPr>
          <w:rFonts w:cs="Arial"/>
          <w:sz w:val="20"/>
        </w:rPr>
      </w:pPr>
      <w:r w:rsidRPr="00892E88">
        <w:rPr>
          <w:rFonts w:cs="Arial"/>
          <w:sz w:val="20"/>
        </w:rPr>
        <w:t>Linked programs</w:t>
      </w:r>
    </w:p>
    <w:tbl>
      <w:tblPr>
        <w:tblStyle w:val="TableGrid"/>
        <w:tblW w:w="7763" w:type="dxa"/>
        <w:tblLook w:val="04A0" w:firstRow="1" w:lastRow="0" w:firstColumn="1" w:lastColumn="0" w:noHBand="0" w:noVBand="1"/>
      </w:tblPr>
      <w:tblGrid>
        <w:gridCol w:w="7763"/>
      </w:tblGrid>
      <w:tr w:rsidR="00253274" w:rsidTr="00DF5A9A">
        <w:tc>
          <w:tcPr>
            <w:tcW w:w="7763" w:type="dxa"/>
            <w:tcBorders>
              <w:top w:val="single" w:sz="4" w:space="0" w:color="auto"/>
              <w:left w:val="single" w:sz="4" w:space="0" w:color="auto"/>
              <w:bottom w:val="single" w:sz="4" w:space="0" w:color="auto"/>
              <w:right w:val="single" w:sz="4" w:space="0" w:color="auto"/>
            </w:tcBorders>
            <w:hideMark/>
          </w:tcPr>
          <w:p w:rsidR="00405778" w:rsidRDefault="00BA7A7F" w:rsidP="000B4455">
            <w:pPr>
              <w:spacing w:after="200"/>
              <w:rPr>
                <w:b/>
                <w:bCs/>
              </w:rPr>
            </w:pPr>
            <w:r>
              <w:rPr>
                <w:b/>
                <w:bCs/>
              </w:rPr>
              <w:t xml:space="preserve">Department of Industry, Science, Energy and Resources </w:t>
            </w:r>
          </w:p>
        </w:tc>
      </w:tr>
      <w:tr w:rsidR="00253274" w:rsidTr="00DF5A9A">
        <w:tc>
          <w:tcPr>
            <w:tcW w:w="7763" w:type="dxa"/>
            <w:tcBorders>
              <w:top w:val="single" w:sz="4" w:space="0" w:color="auto"/>
              <w:left w:val="single" w:sz="4" w:space="0" w:color="auto"/>
              <w:bottom w:val="single" w:sz="4" w:space="0" w:color="auto"/>
              <w:right w:val="single" w:sz="4" w:space="0" w:color="auto"/>
            </w:tcBorders>
            <w:hideMark/>
          </w:tcPr>
          <w:p w:rsidR="00405778" w:rsidRDefault="00BA7A7F" w:rsidP="000B4455">
            <w:pPr>
              <w:spacing w:after="200"/>
            </w:pPr>
            <w:r>
              <w:rPr>
                <w:b/>
                <w:bCs/>
              </w:rPr>
              <w:t>Programs</w:t>
            </w:r>
          </w:p>
          <w:p w:rsidR="00405778" w:rsidRDefault="00BA7A7F" w:rsidP="000B4455">
            <w:pPr>
              <w:spacing w:after="200"/>
              <w:ind w:left="454"/>
            </w:pPr>
            <w:r>
              <w:rPr>
                <w:rFonts w:ascii="Symbol" w:hAnsi="Symbol"/>
              </w:rPr>
              <w:sym w:font="Symbol" w:char="F0B7"/>
            </w:r>
            <w:r>
              <w:t xml:space="preserve"> Program 1.1 – Investing in science, technology and commercialisation</w:t>
            </w:r>
          </w:p>
          <w:p w:rsidR="00405778" w:rsidRDefault="00BA7A7F" w:rsidP="000B4455">
            <w:pPr>
              <w:spacing w:after="200"/>
              <w:ind w:left="454"/>
            </w:pPr>
            <w:r>
              <w:rPr>
                <w:rFonts w:ascii="Symbol" w:hAnsi="Symbol"/>
              </w:rPr>
              <w:sym w:font="Symbol" w:char="F0B7"/>
            </w:r>
            <w:r>
              <w:t xml:space="preserve"> Program 1.3 – Supporting a strong resources sector</w:t>
            </w:r>
          </w:p>
        </w:tc>
      </w:tr>
      <w:tr w:rsidR="00253274" w:rsidTr="00DF5A9A">
        <w:tc>
          <w:tcPr>
            <w:tcW w:w="7763" w:type="dxa"/>
            <w:tcBorders>
              <w:top w:val="single" w:sz="4" w:space="0" w:color="auto"/>
              <w:left w:val="single" w:sz="4" w:space="0" w:color="auto"/>
              <w:bottom w:val="single" w:sz="4" w:space="0" w:color="auto"/>
              <w:right w:val="single" w:sz="4" w:space="0" w:color="auto"/>
            </w:tcBorders>
            <w:hideMark/>
          </w:tcPr>
          <w:p w:rsidR="00405778" w:rsidRDefault="00BA7A7F" w:rsidP="000B4455">
            <w:pPr>
              <w:spacing w:after="200"/>
              <w:rPr>
                <w:b/>
                <w:bCs/>
              </w:rPr>
            </w:pPr>
            <w:r>
              <w:rPr>
                <w:b/>
                <w:bCs/>
              </w:rPr>
              <w:t>Contribution to Outcome 1 made by linked programs</w:t>
            </w:r>
          </w:p>
          <w:p w:rsidR="00405778" w:rsidRDefault="00BA7A7F" w:rsidP="000B4455">
            <w:pPr>
              <w:spacing w:after="200"/>
              <w:rPr>
                <w:b/>
                <w:bCs/>
              </w:rPr>
            </w:pPr>
            <w:bookmarkStart w:id="480" w:name="_Hlk98433638"/>
            <w:r>
              <w:t>The Department of Industry, Science, Energy and Resources contributes to Outcome 1 through its policies and programs supporting science and commercialisation, and the sustainability of development of the resources sector.</w:t>
            </w:r>
            <w:bookmarkEnd w:id="480"/>
          </w:p>
        </w:tc>
      </w:tr>
      <w:tr w:rsidR="00253274" w:rsidTr="00DF5A9A">
        <w:tc>
          <w:tcPr>
            <w:tcW w:w="7763" w:type="dxa"/>
            <w:tcBorders>
              <w:top w:val="single" w:sz="4" w:space="0" w:color="auto"/>
              <w:left w:val="single" w:sz="4" w:space="0" w:color="auto"/>
              <w:bottom w:val="single" w:sz="4" w:space="0" w:color="auto"/>
              <w:right w:val="single" w:sz="4" w:space="0" w:color="auto"/>
            </w:tcBorders>
            <w:hideMark/>
          </w:tcPr>
          <w:p w:rsidR="00405778" w:rsidRDefault="00BA7A7F" w:rsidP="000B4455">
            <w:pPr>
              <w:spacing w:after="200"/>
              <w:rPr>
                <w:b/>
                <w:bCs/>
              </w:rPr>
            </w:pPr>
            <w:r>
              <w:rPr>
                <w:b/>
                <w:bCs/>
              </w:rPr>
              <w:t>Department of Education, Skills and Employment</w:t>
            </w:r>
          </w:p>
        </w:tc>
      </w:tr>
      <w:tr w:rsidR="00253274" w:rsidTr="00DF5A9A">
        <w:tc>
          <w:tcPr>
            <w:tcW w:w="7763" w:type="dxa"/>
            <w:tcBorders>
              <w:top w:val="single" w:sz="4" w:space="0" w:color="auto"/>
              <w:left w:val="single" w:sz="4" w:space="0" w:color="auto"/>
              <w:bottom w:val="single" w:sz="4" w:space="0" w:color="auto"/>
              <w:right w:val="single" w:sz="4" w:space="0" w:color="auto"/>
            </w:tcBorders>
            <w:hideMark/>
          </w:tcPr>
          <w:p w:rsidR="00405778" w:rsidRDefault="00BA7A7F" w:rsidP="000B4455">
            <w:pPr>
              <w:spacing w:after="200"/>
              <w:rPr>
                <w:b/>
                <w:bCs/>
              </w:rPr>
            </w:pPr>
            <w:r>
              <w:rPr>
                <w:b/>
                <w:bCs/>
              </w:rPr>
              <w:t>Programs</w:t>
            </w:r>
          </w:p>
          <w:p w:rsidR="00405778" w:rsidRDefault="00BA7A7F" w:rsidP="000B4455">
            <w:pPr>
              <w:spacing w:after="200"/>
              <w:ind w:left="454"/>
            </w:pPr>
            <w:r>
              <w:rPr>
                <w:rFonts w:ascii="Symbol" w:hAnsi="Symbol"/>
              </w:rPr>
              <w:sym w:font="Symbol" w:char="F0B7"/>
            </w:r>
            <w:r>
              <w:t xml:space="preserve"> Program 2.6 – Research Capacity</w:t>
            </w:r>
          </w:p>
        </w:tc>
      </w:tr>
      <w:tr w:rsidR="00253274" w:rsidTr="00DF5A9A">
        <w:tc>
          <w:tcPr>
            <w:tcW w:w="7763" w:type="dxa"/>
            <w:tcBorders>
              <w:top w:val="single" w:sz="4" w:space="0" w:color="auto"/>
              <w:left w:val="single" w:sz="4" w:space="0" w:color="auto"/>
              <w:bottom w:val="single" w:sz="4" w:space="0" w:color="auto"/>
              <w:right w:val="single" w:sz="4" w:space="0" w:color="auto"/>
            </w:tcBorders>
            <w:hideMark/>
          </w:tcPr>
          <w:p w:rsidR="00405778" w:rsidRDefault="00BA7A7F" w:rsidP="000B4455">
            <w:pPr>
              <w:spacing w:after="200"/>
              <w:rPr>
                <w:b/>
                <w:bCs/>
              </w:rPr>
            </w:pPr>
            <w:r>
              <w:rPr>
                <w:b/>
                <w:bCs/>
              </w:rPr>
              <w:t>Contribution to Outcome 1 made by linked programs</w:t>
            </w:r>
          </w:p>
          <w:p w:rsidR="00405778" w:rsidRDefault="00BA7A7F" w:rsidP="000B4455">
            <w:pPr>
              <w:spacing w:after="200"/>
            </w:pPr>
            <w:r>
              <w:t>The Department of Education, Skills and Employment contributes to Outcome 1 through its policies and programs to invest in Australia’s research capacity, including the National Collaborative Research Infrastructure Strategy.</w:t>
            </w:r>
          </w:p>
        </w:tc>
      </w:tr>
      <w:tr w:rsidR="00253274" w:rsidTr="00DF5A9A">
        <w:tc>
          <w:tcPr>
            <w:tcW w:w="7763" w:type="dxa"/>
            <w:tcBorders>
              <w:top w:val="single" w:sz="4" w:space="0" w:color="auto"/>
              <w:left w:val="single" w:sz="4" w:space="0" w:color="auto"/>
              <w:bottom w:val="single" w:sz="4" w:space="0" w:color="auto"/>
              <w:right w:val="single" w:sz="4" w:space="0" w:color="auto"/>
            </w:tcBorders>
            <w:hideMark/>
          </w:tcPr>
          <w:p w:rsidR="00405778" w:rsidRDefault="00BA7A7F" w:rsidP="000B4455">
            <w:pPr>
              <w:spacing w:after="200"/>
              <w:rPr>
                <w:b/>
                <w:bCs/>
              </w:rPr>
            </w:pPr>
            <w:r>
              <w:rPr>
                <w:b/>
                <w:bCs/>
              </w:rPr>
              <w:t>Department of Defence</w:t>
            </w:r>
          </w:p>
        </w:tc>
      </w:tr>
      <w:tr w:rsidR="00253274" w:rsidTr="00DF5A9A">
        <w:tc>
          <w:tcPr>
            <w:tcW w:w="7763" w:type="dxa"/>
            <w:tcBorders>
              <w:top w:val="single" w:sz="4" w:space="0" w:color="auto"/>
              <w:left w:val="single" w:sz="4" w:space="0" w:color="auto"/>
              <w:bottom w:val="single" w:sz="4" w:space="0" w:color="auto"/>
              <w:right w:val="single" w:sz="4" w:space="0" w:color="auto"/>
            </w:tcBorders>
            <w:hideMark/>
          </w:tcPr>
          <w:p w:rsidR="00405778" w:rsidRDefault="00BA7A7F" w:rsidP="000B4455">
            <w:pPr>
              <w:spacing w:after="200"/>
              <w:rPr>
                <w:b/>
                <w:bCs/>
              </w:rPr>
            </w:pPr>
            <w:r>
              <w:rPr>
                <w:b/>
                <w:bCs/>
              </w:rPr>
              <w:t>Programs</w:t>
            </w:r>
          </w:p>
          <w:p w:rsidR="00405778" w:rsidRDefault="00BA7A7F" w:rsidP="000B4455">
            <w:pPr>
              <w:spacing w:after="200"/>
              <w:ind w:left="454"/>
            </w:pPr>
            <w:r>
              <w:rPr>
                <w:rFonts w:ascii="Symbol" w:hAnsi="Symbol"/>
              </w:rPr>
              <w:sym w:font="Symbol" w:char="F0B7"/>
            </w:r>
            <w:r>
              <w:t xml:space="preserve"> Program 2.5 – Navy Capabilities</w:t>
            </w:r>
          </w:p>
        </w:tc>
      </w:tr>
      <w:tr w:rsidR="00253274" w:rsidTr="00DF5A9A">
        <w:tc>
          <w:tcPr>
            <w:tcW w:w="7763" w:type="dxa"/>
            <w:tcBorders>
              <w:top w:val="single" w:sz="4" w:space="0" w:color="auto"/>
              <w:left w:val="single" w:sz="4" w:space="0" w:color="auto"/>
              <w:bottom w:val="single" w:sz="4" w:space="0" w:color="auto"/>
              <w:right w:val="single" w:sz="4" w:space="0" w:color="auto"/>
            </w:tcBorders>
            <w:hideMark/>
          </w:tcPr>
          <w:p w:rsidR="00405778" w:rsidRDefault="00BA7A7F" w:rsidP="000B4455">
            <w:pPr>
              <w:spacing w:after="200"/>
              <w:rPr>
                <w:b/>
                <w:bCs/>
              </w:rPr>
            </w:pPr>
            <w:r>
              <w:rPr>
                <w:b/>
                <w:bCs/>
              </w:rPr>
              <w:t>Contribution to Outcome 1 by linked program</w:t>
            </w:r>
          </w:p>
          <w:p w:rsidR="00405778" w:rsidRDefault="00BA7A7F" w:rsidP="000B4455">
            <w:pPr>
              <w:spacing w:after="200"/>
              <w:rPr>
                <w:b/>
                <w:bCs/>
              </w:rPr>
            </w:pPr>
            <w:r>
              <w:t>The Department of Defence contributes to Outcome 1 through its use of ANSTO’s expertise and advice in the support of the Nuclear-Powered Submarine Taskforce, with a focus on including baselining and augmenting Australia's nuclear stewardship capabilities and credentials.</w:t>
            </w:r>
          </w:p>
        </w:tc>
      </w:tr>
    </w:tbl>
    <w:p w:rsidR="00946043" w:rsidRDefault="00946043" w:rsidP="000B4455">
      <w:pPr>
        <w:keepLines w:val="0"/>
        <w:spacing w:after="0" w:line="276" w:lineRule="auto"/>
        <w:jc w:val="left"/>
        <w:rPr>
          <w:rFonts w:ascii="Arial" w:eastAsia="Cambria" w:hAnsi="Arial" w:cs="Arial"/>
          <w:b/>
          <w:vanish/>
          <w:szCs w:val="22"/>
          <w:lang w:val="x-none" w:eastAsia="en-US"/>
        </w:rPr>
      </w:pPr>
    </w:p>
    <w:p w:rsidR="00CC7F42" w:rsidRDefault="00BA7A7F" w:rsidP="00CC7F42">
      <w:pPr>
        <w:pStyle w:val="Heading5"/>
        <w:pageBreakBefore/>
        <w:spacing w:before="0" w:after="120" w:line="240" w:lineRule="auto"/>
        <w:rPr>
          <w:rFonts w:ascii="Arial" w:hAnsi="Arial" w:cs="Arial"/>
          <w:b/>
          <w:color w:val="000000"/>
        </w:rPr>
      </w:pPr>
      <w:bookmarkStart w:id="481" w:name="RG_MARKER_12330"/>
      <w:r>
        <w:rPr>
          <w:rFonts w:ascii="Arial" w:hAnsi="Arial" w:cs="Arial"/>
          <w:b/>
          <w:color w:val="000000"/>
        </w:rPr>
        <w:t>Budgeted expenses for Outcome 1</w:t>
      </w:r>
      <w:bookmarkEnd w:id="481"/>
    </w:p>
    <w:p w:rsidR="00AA2F2E" w:rsidRDefault="00BA7A7F" w:rsidP="00AA2F2E">
      <w:r>
        <w:t>This table shows how much ANSTO intends to spend (on an accrual basis) on achieving the outcome, broken down by program, as well as by departmental funding sources.</w:t>
      </w:r>
    </w:p>
    <w:p w:rsidR="00AA2F2E" w:rsidRDefault="00BA7A7F" w:rsidP="00AA2F2E">
      <w:pPr>
        <w:spacing w:after="0" w:line="240" w:lineRule="auto"/>
        <w:rPr>
          <w:rFonts w:ascii="Arial" w:eastAsia="Cambria" w:hAnsi="Arial" w:cs="Arial"/>
          <w:b/>
          <w:szCs w:val="22"/>
          <w:lang w:val="x-none" w:eastAsia="en-US"/>
        </w:rPr>
      </w:pPr>
      <w:r>
        <w:rPr>
          <w:rFonts w:ascii="Arial" w:eastAsia="Cambria" w:hAnsi="Arial" w:cs="Arial"/>
          <w:b/>
          <w:lang w:val="x-none"/>
        </w:rPr>
        <w:t>Table 2.1.1: Budgeted expenses for Outcome 1</w:t>
      </w:r>
    </w:p>
    <w:tbl>
      <w:tblPr>
        <w:tblStyle w:val="CDMRange1"/>
        <w:tblW w:w="7485" w:type="dxa"/>
        <w:tblLayout w:type="fixed"/>
        <w:tblLook w:val="0600" w:firstRow="0" w:lastRow="0" w:firstColumn="0" w:lastColumn="0" w:noHBand="1" w:noVBand="1"/>
      </w:tblPr>
      <w:tblGrid>
        <w:gridCol w:w="3135"/>
        <w:gridCol w:w="870"/>
        <w:gridCol w:w="870"/>
        <w:gridCol w:w="870"/>
        <w:gridCol w:w="870"/>
        <w:gridCol w:w="870"/>
      </w:tblGrid>
      <w:tr w:rsidR="00253274">
        <w:trPr>
          <w:trHeight w:val="675"/>
        </w:trPr>
        <w:tc>
          <w:tcPr>
            <w:tcW w:w="7485"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r>
              <w:rPr>
                <w:rFonts w:ascii="Arial" w:eastAsia="Arial" w:hAnsi="Arial" w:cs="Arial"/>
                <w:color w:val="000000"/>
                <w:sz w:val="16"/>
              </w:rPr>
              <w:t xml:space="preserve"> Improved knowledge, innovative capacity and healthcare through nuclear-based facilities, research, training, products, services and advice to Government, industry, the education sector and the Australian population</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135" w:type="dxa"/>
            <w:tcBorders>
              <w:top w:val="single" w:sz="4" w:space="0" w:color="000000"/>
              <w:left w:val="nil"/>
              <w:bottom w:val="dotted" w:sz="2" w:space="0" w:color="000000"/>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48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Program 1: Science and Technology Solutions</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279,506</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289,790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293,329</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275,213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282,445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30,361</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(2,632)</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(38,694)</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(26,344)</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(25,668)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Revenues from other independent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150,628</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121,696</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81,216</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119,147</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119,137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460,495</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408,854</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335,851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368,016</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375,914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48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279,506</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289,790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293,329</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275,213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282,445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30,361</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(2,632)</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(38,694)</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(26,344)</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(25,668)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150,628</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121,696</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81,216</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119,147</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119,137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460,495</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408,854</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335,851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368,016</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375,914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4"/>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87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1,363</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bl>
    <w:p w:rsidR="007E6680" w:rsidRDefault="00BA7A7F" w:rsidP="002B5578">
      <w:pPr>
        <w:numPr>
          <w:ilvl w:val="0"/>
          <w:numId w:val="53"/>
        </w:numPr>
        <w:tabs>
          <w:tab w:val="left" w:pos="284"/>
        </w:tabs>
        <w:spacing w:after="0" w:line="240" w:lineRule="auto"/>
        <w:ind w:left="284" w:hanging="284"/>
        <w:rPr>
          <w:rFonts w:ascii="Arial" w:hAnsi="Arial"/>
          <w:sz w:val="16"/>
        </w:rPr>
      </w:pPr>
      <w:r>
        <w:rPr>
          <w:rFonts w:ascii="Arial" w:hAnsi="Arial"/>
          <w:sz w:val="16"/>
        </w:rPr>
        <w:t>Expenses not requiring appropriation in the Budget year reflects approved operating losses due to the accounting treatment of non-cash items including ANSTO's ongoing decommissioning program, and depreciation costs for new facilities and asset revaluations.</w:t>
      </w:r>
    </w:p>
    <w:p w:rsidR="0021295A" w:rsidRPr="002B5578" w:rsidRDefault="00BA7A7F" w:rsidP="0021295A">
      <w:pPr>
        <w:tabs>
          <w:tab w:val="left" w:pos="284"/>
        </w:tabs>
        <w:spacing w:after="0" w:line="240" w:lineRule="auto"/>
        <w:rPr>
          <w:rFonts w:ascii="Arial" w:hAnsi="Arial"/>
          <w:sz w:val="16"/>
        </w:rPr>
      </w:pPr>
      <w:r w:rsidRPr="0021295A">
        <w:rPr>
          <w:rFonts w:ascii="Arial" w:hAnsi="Arial"/>
          <w:sz w:val="16"/>
        </w:rPr>
        <w:t>Note: Departmental appropriation splits and totals are indicative estimates and may change in the course of the budget year as government priorities change.</w:t>
      </w:r>
    </w:p>
    <w:p w:rsidR="00D86095" w:rsidRDefault="00BA7A7F" w:rsidP="00B47525">
      <w:pPr>
        <w:pStyle w:val="TableHeading"/>
        <w:keepLines/>
        <w:pageBreakBefore/>
        <w:spacing w:before="240" w:after="0"/>
      </w:pPr>
      <w:bookmarkStart w:id="482" w:name="RG_MARKER_12256"/>
      <w:r w:rsidRPr="002E3447">
        <w:t>Table 2.1</w:t>
      </w:r>
      <w:bookmarkEnd w:id="482"/>
      <w:r>
        <w:t>.2</w:t>
      </w:r>
      <w:r w:rsidRPr="002E3447">
        <w:t xml:space="preserve">: </w:t>
      </w:r>
      <w:r>
        <w:t xml:space="preserve">Performance measure for </w:t>
      </w:r>
      <w:r w:rsidRPr="002E3447">
        <w:t>Outcome 1</w:t>
      </w:r>
    </w:p>
    <w:p w:rsidR="005A4B42" w:rsidRPr="00051B79" w:rsidRDefault="00BA7A7F" w:rsidP="00051B79">
      <w:pPr>
        <w:keepLines w:val="0"/>
        <w:rPr>
          <w:b/>
          <w:bCs/>
        </w:rPr>
      </w:pPr>
      <w:r>
        <w:t>Table 2.1.2</w:t>
      </w:r>
      <w:r w:rsidRPr="00051B79">
        <w:t xml:space="preserve">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 </w:t>
      </w:r>
    </w:p>
    <w:tbl>
      <w:tblPr>
        <w:tblpPr w:leftFromText="180" w:rightFromText="180" w:vertAnchor="text" w:tblpX="-5"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43"/>
        <w:gridCol w:w="3402"/>
      </w:tblGrid>
      <w:tr w:rsidR="00253274" w:rsidTr="00D411C6">
        <w:trPr>
          <w:trHeight w:val="569"/>
          <w:tblHeader/>
        </w:trPr>
        <w:tc>
          <w:tcPr>
            <w:tcW w:w="7905" w:type="dxa"/>
            <w:gridSpan w:val="3"/>
            <w:tcBorders>
              <w:top w:val="single" w:sz="4" w:space="0" w:color="auto"/>
              <w:left w:val="single" w:sz="4" w:space="0" w:color="auto"/>
              <w:bottom w:val="single" w:sz="4" w:space="0" w:color="auto"/>
              <w:right w:val="single" w:sz="4" w:space="0" w:color="auto"/>
            </w:tcBorders>
            <w:shd w:val="clear" w:color="auto" w:fill="F2F2F2"/>
            <w:hideMark/>
          </w:tcPr>
          <w:p w:rsidR="00F26644" w:rsidRPr="00F26644" w:rsidRDefault="00BA7A7F" w:rsidP="002F7B27">
            <w:pPr>
              <w:keepLines w:val="0"/>
              <w:spacing w:before="60" w:after="60" w:line="240" w:lineRule="auto"/>
              <w:jc w:val="left"/>
              <w:rPr>
                <w:rFonts w:ascii="Arial" w:hAnsi="Arial"/>
                <w:bCs/>
              </w:rPr>
            </w:pPr>
            <w:r w:rsidRPr="00D93632">
              <w:rPr>
                <w:rFonts w:ascii="Arial" w:hAnsi="Arial"/>
                <w:b/>
                <w:bCs/>
                <w:color w:val="000000"/>
                <w:lang w:val="x-none" w:eastAsia="x-none"/>
              </w:rPr>
              <w:t>Outcome 1</w:t>
            </w:r>
            <w:r w:rsidRPr="00D93632">
              <w:rPr>
                <w:rFonts w:ascii="Arial" w:hAnsi="Arial"/>
                <w:b/>
                <w:bCs/>
                <w:lang w:val="x-none"/>
              </w:rPr>
              <w:t xml:space="preserve"> </w:t>
            </w:r>
            <w:r w:rsidRPr="00D93632">
              <w:rPr>
                <w:rFonts w:ascii="Arial" w:hAnsi="Arial"/>
                <w:b/>
              </w:rPr>
              <w:t>– Improved</w:t>
            </w:r>
            <w:r w:rsidRPr="00F26644">
              <w:rPr>
                <w:rFonts w:ascii="Arial" w:hAnsi="Arial"/>
                <w:b/>
              </w:rPr>
              <w:t xml:space="preserve"> knowledge, innovative capacity and healthcare through nuclear-based facilities, research, training, products, services and advice to Government, industry, the education sector and the Australian population</w:t>
            </w:r>
          </w:p>
        </w:tc>
      </w:tr>
      <w:tr w:rsidR="00253274" w:rsidTr="00D411C6">
        <w:trPr>
          <w:trHeight w:val="522"/>
          <w:tblHeader/>
        </w:trPr>
        <w:tc>
          <w:tcPr>
            <w:tcW w:w="7905" w:type="dxa"/>
            <w:gridSpan w:val="3"/>
            <w:tcBorders>
              <w:top w:val="single" w:sz="4" w:space="0" w:color="auto"/>
              <w:left w:val="single" w:sz="4" w:space="0" w:color="auto"/>
              <w:bottom w:val="single" w:sz="4" w:space="0" w:color="auto"/>
              <w:right w:val="single" w:sz="4" w:space="0" w:color="auto"/>
            </w:tcBorders>
            <w:shd w:val="clear" w:color="auto" w:fill="F2F2F2"/>
            <w:hideMark/>
          </w:tcPr>
          <w:p w:rsidR="00F26644" w:rsidRPr="00F26644" w:rsidRDefault="00BA7A7F" w:rsidP="00D93632">
            <w:pPr>
              <w:keepLines w:val="0"/>
              <w:spacing w:before="60" w:after="60" w:line="240" w:lineRule="auto"/>
              <w:jc w:val="left"/>
              <w:rPr>
                <w:rFonts w:ascii="Arial" w:eastAsia="Arial" w:hAnsi="Arial" w:cs="Arial"/>
                <w:b/>
                <w:sz w:val="18"/>
                <w:szCs w:val="22"/>
                <w:lang w:val="en-US" w:eastAsia="en-US"/>
              </w:rPr>
            </w:pPr>
            <w:r w:rsidRPr="00F26644">
              <w:rPr>
                <w:rFonts w:ascii="Arial" w:eastAsia="Calibri" w:hAnsi="Arial" w:cs="Arial"/>
                <w:b/>
                <w:sz w:val="18"/>
                <w:szCs w:val="22"/>
                <w:lang w:val="en-US" w:eastAsia="en-US"/>
              </w:rPr>
              <w:t>Program 1 – Science and Technology Solutions</w:t>
            </w:r>
          </w:p>
          <w:p w:rsidR="00F26644" w:rsidRPr="00D411C6" w:rsidRDefault="00BA7A7F" w:rsidP="00547F56">
            <w:pPr>
              <w:keepLines w:val="0"/>
              <w:spacing w:before="60" w:after="60" w:line="240" w:lineRule="auto"/>
              <w:jc w:val="left"/>
              <w:rPr>
                <w:rFonts w:ascii="Arial" w:hAnsi="Arial" w:cs="Arial"/>
                <w:sz w:val="16"/>
                <w:szCs w:val="16"/>
                <w:lang w:val="en-US" w:eastAsia="en-US"/>
              </w:rPr>
            </w:pPr>
            <w:r w:rsidRPr="00D411C6">
              <w:rPr>
                <w:rFonts w:ascii="Arial" w:eastAsia="Calibri" w:hAnsi="Arial" w:cs="Arial"/>
                <w:sz w:val="16"/>
                <w:szCs w:val="16"/>
                <w:lang w:val="en-US" w:eastAsia="en-US"/>
              </w:rPr>
              <w:t xml:space="preserve">Contributes to the outcome through the operation and strategic management of landmark and national research infrastructure. ANSTO provides nuclear products and services, and applies its unique expertise for nuclear research, specialised advice, and education and training. </w:t>
            </w:r>
          </w:p>
        </w:tc>
      </w:tr>
      <w:tr w:rsidR="00253274" w:rsidTr="00D411C6">
        <w:trPr>
          <w:trHeight w:val="694"/>
        </w:trPr>
        <w:tc>
          <w:tcPr>
            <w:tcW w:w="1560" w:type="dxa"/>
            <w:tcBorders>
              <w:top w:val="single" w:sz="4" w:space="0" w:color="auto"/>
              <w:left w:val="single" w:sz="4" w:space="0" w:color="auto"/>
              <w:bottom w:val="double" w:sz="4" w:space="0" w:color="auto"/>
              <w:right w:val="single" w:sz="4" w:space="0" w:color="auto"/>
            </w:tcBorders>
            <w:hideMark/>
          </w:tcPr>
          <w:p w:rsidR="00F26644" w:rsidRPr="00F26644" w:rsidRDefault="00BA7A7F" w:rsidP="00547F56">
            <w:pPr>
              <w:keepLines w:val="0"/>
              <w:tabs>
                <w:tab w:val="left" w:pos="709"/>
              </w:tabs>
              <w:spacing w:before="60"/>
              <w:rPr>
                <w:rFonts w:ascii="Arial" w:hAnsi="Arial" w:cs="Arial"/>
                <w:b/>
                <w:sz w:val="16"/>
                <w:szCs w:val="16"/>
              </w:rPr>
            </w:pPr>
            <w:r w:rsidRPr="00F26644">
              <w:rPr>
                <w:rFonts w:ascii="Arial" w:hAnsi="Arial" w:cs="Arial"/>
                <w:b/>
                <w:sz w:val="16"/>
                <w:szCs w:val="16"/>
              </w:rPr>
              <w:t>Key Activities</w:t>
            </w:r>
            <w:r>
              <w:rPr>
                <w:rFonts w:ascii="Arial" w:hAnsi="Arial" w:cs="Arial"/>
                <w:b/>
                <w:sz w:val="16"/>
                <w:szCs w:val="16"/>
              </w:rPr>
              <w:t xml:space="preserve"> (a)</w:t>
            </w:r>
          </w:p>
        </w:tc>
        <w:tc>
          <w:tcPr>
            <w:tcW w:w="6345" w:type="dxa"/>
            <w:gridSpan w:val="2"/>
            <w:tcBorders>
              <w:top w:val="single" w:sz="4" w:space="0" w:color="auto"/>
              <w:left w:val="single" w:sz="4" w:space="0" w:color="auto"/>
              <w:bottom w:val="double" w:sz="4" w:space="0" w:color="auto"/>
              <w:right w:val="single" w:sz="4" w:space="0" w:color="auto"/>
            </w:tcBorders>
            <w:hideMark/>
          </w:tcPr>
          <w:p w:rsidR="00F26644" w:rsidRPr="00F26644" w:rsidRDefault="00BA7A7F" w:rsidP="00D411C6">
            <w:pPr>
              <w:keepLines w:val="0"/>
              <w:tabs>
                <w:tab w:val="left" w:pos="709"/>
              </w:tabs>
              <w:spacing w:before="60" w:after="60"/>
              <w:rPr>
                <w:rFonts w:ascii="Arial" w:hAnsi="Arial" w:cs="Arial"/>
                <w:bCs/>
                <w:sz w:val="16"/>
                <w:szCs w:val="16"/>
              </w:rPr>
            </w:pPr>
            <w:r w:rsidRPr="00F26644">
              <w:rPr>
                <w:rFonts w:ascii="Arial" w:hAnsi="Arial" w:cs="Arial"/>
                <w:bCs/>
                <w:sz w:val="16"/>
                <w:szCs w:val="16"/>
              </w:rPr>
              <w:t>Key activities reported in the current corporate plan that relate to this program:</w:t>
            </w:r>
          </w:p>
          <w:p w:rsidR="001402AB" w:rsidRPr="00F26644" w:rsidRDefault="00BA7A7F" w:rsidP="001402AB">
            <w:pPr>
              <w:keepLines w:val="0"/>
              <w:numPr>
                <w:ilvl w:val="0"/>
                <w:numId w:val="54"/>
              </w:numPr>
              <w:spacing w:before="60" w:after="200" w:line="276" w:lineRule="auto"/>
              <w:ind w:left="321"/>
              <w:contextualSpacing/>
              <w:jc w:val="left"/>
              <w:rPr>
                <w:rFonts w:ascii="Arial" w:eastAsia="Calibri" w:hAnsi="Arial" w:cs="Arial"/>
                <w:bCs/>
                <w:sz w:val="16"/>
                <w:szCs w:val="16"/>
                <w:lang w:eastAsia="en-US"/>
              </w:rPr>
            </w:pPr>
            <w:r w:rsidRPr="00F26644">
              <w:rPr>
                <w:rFonts w:ascii="Arial" w:eastAsia="Calibri" w:hAnsi="Arial" w:cs="Arial"/>
                <w:bCs/>
                <w:sz w:val="16"/>
                <w:szCs w:val="16"/>
                <w:lang w:eastAsia="en-US"/>
              </w:rPr>
              <w:t>Ensure the reliable and sustainable supply of nuclear medicines, products and services</w:t>
            </w:r>
            <w:r>
              <w:rPr>
                <w:rFonts w:ascii="Arial" w:eastAsia="Calibri" w:hAnsi="Arial" w:cs="Arial"/>
                <w:bCs/>
                <w:sz w:val="16"/>
                <w:szCs w:val="16"/>
                <w:lang w:eastAsia="en-US"/>
              </w:rPr>
              <w:t>.</w:t>
            </w:r>
          </w:p>
          <w:p w:rsidR="00F26644" w:rsidRPr="00F26644" w:rsidRDefault="00BA7A7F" w:rsidP="00F26644">
            <w:pPr>
              <w:keepLines w:val="0"/>
              <w:numPr>
                <w:ilvl w:val="0"/>
                <w:numId w:val="54"/>
              </w:numPr>
              <w:spacing w:before="60" w:after="200" w:line="276" w:lineRule="auto"/>
              <w:ind w:left="321"/>
              <w:contextualSpacing/>
              <w:jc w:val="left"/>
              <w:rPr>
                <w:rFonts w:ascii="Arial" w:eastAsia="Calibri" w:hAnsi="Arial" w:cs="Arial"/>
                <w:bCs/>
                <w:sz w:val="16"/>
                <w:szCs w:val="16"/>
                <w:lang w:eastAsia="en-US"/>
              </w:rPr>
            </w:pPr>
            <w:r w:rsidRPr="00F26644">
              <w:rPr>
                <w:rFonts w:ascii="Arial" w:eastAsia="Calibri" w:hAnsi="Arial" w:cs="Arial"/>
                <w:bCs/>
                <w:sz w:val="16"/>
                <w:szCs w:val="16"/>
                <w:lang w:eastAsia="en-US"/>
              </w:rPr>
              <w:t>Five-year research and development strategy for successful innovation in health</w:t>
            </w:r>
          </w:p>
          <w:p w:rsidR="00F26644" w:rsidRPr="00F26644" w:rsidRDefault="00BA7A7F" w:rsidP="00F26644">
            <w:pPr>
              <w:keepLines w:val="0"/>
              <w:numPr>
                <w:ilvl w:val="0"/>
                <w:numId w:val="54"/>
              </w:numPr>
              <w:spacing w:before="60" w:after="200" w:line="276" w:lineRule="auto"/>
              <w:ind w:left="321"/>
              <w:contextualSpacing/>
              <w:jc w:val="left"/>
              <w:rPr>
                <w:rFonts w:ascii="Arial" w:eastAsia="Calibri" w:hAnsi="Arial" w:cs="Arial"/>
                <w:bCs/>
                <w:sz w:val="16"/>
                <w:szCs w:val="16"/>
                <w:lang w:eastAsia="en-US"/>
              </w:rPr>
            </w:pPr>
            <w:r w:rsidRPr="00F26644">
              <w:rPr>
                <w:rFonts w:ascii="Arial" w:eastAsia="Calibri" w:hAnsi="Arial" w:cs="Arial"/>
                <w:bCs/>
                <w:sz w:val="16"/>
                <w:szCs w:val="16"/>
                <w:lang w:eastAsia="en-US"/>
              </w:rPr>
              <w:t>Current Research Information System and Portal (CRISP) project</w:t>
            </w:r>
            <w:r>
              <w:rPr>
                <w:rFonts w:ascii="Arial" w:eastAsia="Calibri" w:hAnsi="Arial" w:cs="Arial"/>
                <w:bCs/>
                <w:sz w:val="16"/>
                <w:szCs w:val="16"/>
                <w:lang w:eastAsia="en-US"/>
              </w:rPr>
              <w:t>.</w:t>
            </w:r>
          </w:p>
          <w:p w:rsidR="00F26644" w:rsidRPr="00F26644" w:rsidRDefault="00BA7A7F" w:rsidP="00F26644">
            <w:pPr>
              <w:keepLines w:val="0"/>
              <w:numPr>
                <w:ilvl w:val="0"/>
                <w:numId w:val="54"/>
              </w:numPr>
              <w:spacing w:before="60" w:after="200" w:line="276" w:lineRule="auto"/>
              <w:ind w:left="321"/>
              <w:contextualSpacing/>
              <w:jc w:val="left"/>
              <w:rPr>
                <w:rFonts w:ascii="Arial" w:eastAsia="Calibri" w:hAnsi="Arial" w:cs="Arial"/>
                <w:bCs/>
                <w:sz w:val="16"/>
                <w:szCs w:val="16"/>
                <w:lang w:eastAsia="en-US"/>
              </w:rPr>
            </w:pPr>
            <w:r w:rsidRPr="00F26644">
              <w:rPr>
                <w:rFonts w:ascii="Arial" w:eastAsia="Calibri" w:hAnsi="Arial" w:cs="Arial"/>
                <w:bCs/>
                <w:sz w:val="16"/>
                <w:szCs w:val="16"/>
                <w:lang w:eastAsia="en-US"/>
              </w:rPr>
              <w:t>Form strategic partnerships and collaborations to leverage more effective research outcomes for Australia and the world</w:t>
            </w:r>
            <w:r>
              <w:rPr>
                <w:rFonts w:ascii="Arial" w:eastAsia="Calibri" w:hAnsi="Arial" w:cs="Arial"/>
                <w:bCs/>
                <w:sz w:val="16"/>
                <w:szCs w:val="16"/>
                <w:lang w:eastAsia="en-US"/>
              </w:rPr>
              <w:t>.</w:t>
            </w:r>
          </w:p>
          <w:p w:rsidR="00F26644" w:rsidRPr="00F26644" w:rsidRDefault="00BA7A7F" w:rsidP="00F26644">
            <w:pPr>
              <w:keepLines w:val="0"/>
              <w:numPr>
                <w:ilvl w:val="0"/>
                <w:numId w:val="54"/>
              </w:numPr>
              <w:spacing w:before="60" w:after="200" w:line="276" w:lineRule="auto"/>
              <w:ind w:left="321"/>
              <w:contextualSpacing/>
              <w:jc w:val="left"/>
              <w:rPr>
                <w:rFonts w:ascii="Arial" w:eastAsia="Calibri" w:hAnsi="Arial" w:cs="Arial"/>
                <w:bCs/>
                <w:sz w:val="16"/>
                <w:szCs w:val="16"/>
                <w:lang w:eastAsia="en-US"/>
              </w:rPr>
            </w:pPr>
            <w:r w:rsidRPr="00F26644">
              <w:rPr>
                <w:rFonts w:ascii="Arial" w:eastAsia="Calibri" w:hAnsi="Arial" w:cs="Arial"/>
                <w:bCs/>
                <w:sz w:val="16"/>
                <w:szCs w:val="16"/>
                <w:lang w:eastAsia="en-US"/>
              </w:rPr>
              <w:t>Operate world-class research infrastructure, and leverage capabilities to support translational research that delivers real-life benefits and impact</w:t>
            </w:r>
            <w:r>
              <w:rPr>
                <w:rFonts w:ascii="Arial" w:eastAsia="Calibri" w:hAnsi="Arial" w:cs="Arial"/>
                <w:bCs/>
                <w:sz w:val="16"/>
                <w:szCs w:val="16"/>
                <w:lang w:eastAsia="en-US"/>
              </w:rPr>
              <w:t>.</w:t>
            </w:r>
          </w:p>
          <w:p w:rsidR="00F26644" w:rsidRPr="00F26644" w:rsidRDefault="00BA7A7F" w:rsidP="00F26644">
            <w:pPr>
              <w:keepLines w:val="0"/>
              <w:numPr>
                <w:ilvl w:val="0"/>
                <w:numId w:val="54"/>
              </w:numPr>
              <w:spacing w:before="60" w:after="200" w:line="276" w:lineRule="auto"/>
              <w:ind w:left="321"/>
              <w:contextualSpacing/>
              <w:jc w:val="left"/>
              <w:rPr>
                <w:rFonts w:ascii="Arial" w:eastAsia="Calibri" w:hAnsi="Arial" w:cs="Arial"/>
                <w:bCs/>
                <w:sz w:val="16"/>
                <w:szCs w:val="16"/>
                <w:lang w:eastAsia="en-US"/>
              </w:rPr>
            </w:pPr>
            <w:r w:rsidRPr="00F26644">
              <w:rPr>
                <w:rFonts w:ascii="Arial" w:eastAsia="Calibri" w:hAnsi="Arial" w:cs="Arial"/>
                <w:bCs/>
                <w:sz w:val="16"/>
                <w:szCs w:val="16"/>
                <w:lang w:eastAsia="en-US"/>
              </w:rPr>
              <w:t>Develop and produce new radioisotopes through working collaboratively with partners using our nuclear-related expertise</w:t>
            </w:r>
            <w:r>
              <w:rPr>
                <w:rFonts w:ascii="Arial" w:eastAsia="Calibri" w:hAnsi="Arial" w:cs="Arial"/>
                <w:bCs/>
                <w:sz w:val="16"/>
                <w:szCs w:val="16"/>
                <w:lang w:eastAsia="en-US"/>
              </w:rPr>
              <w:t>.</w:t>
            </w:r>
          </w:p>
          <w:p w:rsidR="00F26644" w:rsidRPr="00F26644" w:rsidRDefault="00BA7A7F" w:rsidP="00F26644">
            <w:pPr>
              <w:keepLines w:val="0"/>
              <w:numPr>
                <w:ilvl w:val="0"/>
                <w:numId w:val="54"/>
              </w:numPr>
              <w:spacing w:before="60" w:after="200" w:line="276" w:lineRule="auto"/>
              <w:ind w:left="321"/>
              <w:contextualSpacing/>
              <w:jc w:val="left"/>
              <w:rPr>
                <w:rFonts w:ascii="Arial" w:eastAsia="Calibri" w:hAnsi="Arial" w:cs="Arial"/>
                <w:bCs/>
                <w:sz w:val="16"/>
                <w:szCs w:val="16"/>
                <w:lang w:eastAsia="en-US"/>
              </w:rPr>
            </w:pPr>
            <w:r w:rsidRPr="00F26644">
              <w:rPr>
                <w:rFonts w:ascii="Arial" w:eastAsia="Calibri" w:hAnsi="Arial" w:cs="Arial"/>
                <w:bCs/>
                <w:sz w:val="16"/>
                <w:szCs w:val="16"/>
                <w:lang w:eastAsia="en-US"/>
              </w:rPr>
              <w:t>Use knowledge incubation, research translation, and collaboration within the Innovation Precinct to produce real-world benefits</w:t>
            </w:r>
            <w:r>
              <w:rPr>
                <w:rFonts w:ascii="Arial" w:eastAsia="Calibri" w:hAnsi="Arial" w:cs="Arial"/>
                <w:bCs/>
                <w:sz w:val="16"/>
                <w:szCs w:val="16"/>
                <w:lang w:eastAsia="en-US"/>
              </w:rPr>
              <w:t>.</w:t>
            </w:r>
          </w:p>
          <w:p w:rsidR="00F26644" w:rsidRPr="00F26644" w:rsidRDefault="00BA7A7F" w:rsidP="00F26644">
            <w:pPr>
              <w:keepLines w:val="0"/>
              <w:numPr>
                <w:ilvl w:val="0"/>
                <w:numId w:val="54"/>
              </w:numPr>
              <w:spacing w:before="60" w:after="200" w:line="276" w:lineRule="auto"/>
              <w:ind w:left="321"/>
              <w:contextualSpacing/>
              <w:jc w:val="left"/>
              <w:rPr>
                <w:rFonts w:ascii="Arial" w:eastAsia="Calibri" w:hAnsi="Arial" w:cs="Arial"/>
                <w:bCs/>
                <w:sz w:val="16"/>
                <w:szCs w:val="16"/>
                <w:lang w:eastAsia="en-US"/>
              </w:rPr>
            </w:pPr>
            <w:r w:rsidRPr="00F26644">
              <w:rPr>
                <w:rFonts w:ascii="Arial" w:eastAsia="Calibri" w:hAnsi="Arial" w:cs="Arial"/>
                <w:bCs/>
                <w:sz w:val="16"/>
                <w:szCs w:val="16"/>
                <w:lang w:eastAsia="en-US"/>
              </w:rPr>
              <w:t>Deliver expert advice to Local, State and Federal Governments and related stakeholders to support the national interest</w:t>
            </w:r>
            <w:r>
              <w:rPr>
                <w:rFonts w:ascii="Arial" w:eastAsia="Calibri" w:hAnsi="Arial" w:cs="Arial"/>
                <w:bCs/>
                <w:sz w:val="16"/>
                <w:szCs w:val="16"/>
                <w:lang w:eastAsia="en-US"/>
              </w:rPr>
              <w:t>.</w:t>
            </w:r>
          </w:p>
          <w:p w:rsidR="00F26644" w:rsidRPr="00F26644" w:rsidRDefault="00BA7A7F" w:rsidP="00F26644">
            <w:pPr>
              <w:keepLines w:val="0"/>
              <w:numPr>
                <w:ilvl w:val="0"/>
                <w:numId w:val="54"/>
              </w:numPr>
              <w:spacing w:before="60" w:after="200" w:line="276" w:lineRule="auto"/>
              <w:ind w:left="321"/>
              <w:contextualSpacing/>
              <w:jc w:val="left"/>
              <w:rPr>
                <w:rFonts w:ascii="Arial" w:eastAsia="Calibri" w:hAnsi="Arial" w:cs="Arial"/>
                <w:bCs/>
                <w:sz w:val="16"/>
                <w:szCs w:val="16"/>
                <w:lang w:eastAsia="en-US"/>
              </w:rPr>
            </w:pPr>
            <w:r w:rsidRPr="00F26644">
              <w:rPr>
                <w:rFonts w:ascii="Arial" w:eastAsia="Calibri" w:hAnsi="Arial" w:cs="Arial"/>
                <w:bCs/>
                <w:sz w:val="16"/>
                <w:szCs w:val="16"/>
                <w:lang w:eastAsia="en-US"/>
              </w:rPr>
              <w:t>Participate in global and regional nuclear discussions to ensure that Australia remains a leader in the applications of nuclear science and technology</w:t>
            </w:r>
            <w:r>
              <w:rPr>
                <w:rFonts w:ascii="Arial" w:eastAsia="Calibri" w:hAnsi="Arial" w:cs="Arial"/>
                <w:bCs/>
                <w:sz w:val="16"/>
                <w:szCs w:val="16"/>
                <w:lang w:eastAsia="en-US"/>
              </w:rPr>
              <w:t>.</w:t>
            </w:r>
          </w:p>
          <w:p w:rsidR="00F26644" w:rsidRPr="00F26644" w:rsidRDefault="00BA7A7F" w:rsidP="00F26644">
            <w:pPr>
              <w:keepLines w:val="0"/>
              <w:numPr>
                <w:ilvl w:val="0"/>
                <w:numId w:val="54"/>
              </w:numPr>
              <w:spacing w:before="60" w:after="200" w:line="276" w:lineRule="auto"/>
              <w:ind w:left="321"/>
              <w:contextualSpacing/>
              <w:jc w:val="left"/>
              <w:rPr>
                <w:rFonts w:ascii="Arial" w:eastAsia="Calibri" w:hAnsi="Arial" w:cs="Arial"/>
                <w:bCs/>
                <w:sz w:val="16"/>
                <w:szCs w:val="16"/>
                <w:lang w:eastAsia="en-US"/>
              </w:rPr>
            </w:pPr>
            <w:r w:rsidRPr="00F26644">
              <w:rPr>
                <w:rFonts w:ascii="Arial" w:eastAsia="Calibri" w:hAnsi="Arial" w:cs="Arial"/>
                <w:bCs/>
                <w:sz w:val="16"/>
                <w:szCs w:val="16"/>
                <w:lang w:eastAsia="en-US"/>
              </w:rPr>
              <w:t>Grow a more informed generation of Australians who understand the benefits of nuclear science and technology</w:t>
            </w:r>
            <w:r>
              <w:rPr>
                <w:rFonts w:ascii="Arial" w:eastAsia="Calibri" w:hAnsi="Arial" w:cs="Arial"/>
                <w:bCs/>
                <w:sz w:val="16"/>
                <w:szCs w:val="16"/>
                <w:lang w:eastAsia="en-US"/>
              </w:rPr>
              <w:t>.</w:t>
            </w:r>
          </w:p>
          <w:p w:rsidR="00F26644" w:rsidRPr="00F26644" w:rsidRDefault="00BA7A7F" w:rsidP="00F26644">
            <w:pPr>
              <w:keepLines w:val="0"/>
              <w:numPr>
                <w:ilvl w:val="0"/>
                <w:numId w:val="54"/>
              </w:numPr>
              <w:spacing w:before="60" w:after="200" w:line="276" w:lineRule="auto"/>
              <w:ind w:left="321"/>
              <w:contextualSpacing/>
              <w:jc w:val="left"/>
              <w:rPr>
                <w:rFonts w:ascii="Arial" w:eastAsia="Calibri" w:hAnsi="Arial" w:cs="Arial"/>
                <w:bCs/>
                <w:sz w:val="16"/>
                <w:szCs w:val="16"/>
                <w:lang w:eastAsia="en-US"/>
              </w:rPr>
            </w:pPr>
            <w:r w:rsidRPr="00F26644">
              <w:rPr>
                <w:rFonts w:ascii="Arial" w:eastAsia="Calibri" w:hAnsi="Arial" w:cs="Arial"/>
                <w:bCs/>
                <w:sz w:val="16"/>
                <w:szCs w:val="16"/>
                <w:lang w:eastAsia="en-US"/>
              </w:rPr>
              <w:t>Provide an inclusive environment that empowers our people and supports a culture of collaboration and engagement</w:t>
            </w:r>
            <w:r>
              <w:rPr>
                <w:rFonts w:ascii="Arial" w:eastAsia="Calibri" w:hAnsi="Arial" w:cs="Arial"/>
                <w:bCs/>
                <w:sz w:val="16"/>
                <w:szCs w:val="16"/>
                <w:lang w:eastAsia="en-US"/>
              </w:rPr>
              <w:t>.</w:t>
            </w:r>
          </w:p>
          <w:p w:rsidR="00F26644" w:rsidRPr="00F26644" w:rsidRDefault="00BA7A7F" w:rsidP="00F26644">
            <w:pPr>
              <w:keepLines w:val="0"/>
              <w:numPr>
                <w:ilvl w:val="0"/>
                <w:numId w:val="54"/>
              </w:numPr>
              <w:spacing w:before="60" w:after="200" w:line="276" w:lineRule="auto"/>
              <w:ind w:left="321"/>
              <w:contextualSpacing/>
              <w:jc w:val="left"/>
              <w:rPr>
                <w:rFonts w:ascii="Arial" w:eastAsia="Calibri" w:hAnsi="Arial" w:cs="Arial"/>
                <w:bCs/>
                <w:sz w:val="16"/>
                <w:szCs w:val="16"/>
                <w:lang w:eastAsia="en-US"/>
              </w:rPr>
            </w:pPr>
            <w:r w:rsidRPr="00F26644">
              <w:rPr>
                <w:rFonts w:ascii="Arial" w:eastAsia="Calibri" w:hAnsi="Arial" w:cs="Arial"/>
                <w:bCs/>
                <w:sz w:val="16"/>
                <w:szCs w:val="16"/>
                <w:lang w:eastAsia="en-US"/>
              </w:rPr>
              <w:t>Train and develop the next generation of specialised nuclear professionals</w:t>
            </w:r>
            <w:r>
              <w:rPr>
                <w:rFonts w:ascii="Arial" w:eastAsia="Calibri" w:hAnsi="Arial" w:cs="Arial"/>
                <w:bCs/>
                <w:sz w:val="16"/>
                <w:szCs w:val="16"/>
                <w:lang w:eastAsia="en-US"/>
              </w:rPr>
              <w:t>.</w:t>
            </w:r>
          </w:p>
        </w:tc>
      </w:tr>
      <w:tr w:rsidR="00253274" w:rsidTr="00E25E77">
        <w:trPr>
          <w:trHeight w:val="258"/>
        </w:trPr>
        <w:tc>
          <w:tcPr>
            <w:tcW w:w="1560" w:type="dxa"/>
            <w:tcBorders>
              <w:top w:val="double" w:sz="4" w:space="0" w:color="auto"/>
              <w:left w:val="single" w:sz="4" w:space="0" w:color="auto"/>
              <w:bottom w:val="single" w:sz="4" w:space="0" w:color="auto"/>
              <w:right w:val="single" w:sz="4" w:space="0" w:color="auto"/>
            </w:tcBorders>
          </w:tcPr>
          <w:p w:rsidR="00F26644" w:rsidRPr="00D411C6" w:rsidRDefault="00BA7A7F" w:rsidP="00F26644">
            <w:pPr>
              <w:keepLines w:val="0"/>
              <w:spacing w:before="60" w:after="60" w:line="240" w:lineRule="auto"/>
              <w:jc w:val="left"/>
              <w:rPr>
                <w:rFonts w:ascii="Arial" w:eastAsia="Calibri" w:hAnsi="Arial" w:cs="Arial"/>
                <w:b/>
                <w:sz w:val="16"/>
                <w:szCs w:val="16"/>
                <w:lang w:eastAsia="en-US"/>
              </w:rPr>
            </w:pPr>
            <w:r w:rsidRPr="00F26644">
              <w:rPr>
                <w:rFonts w:ascii="Arial" w:eastAsia="Calibri" w:hAnsi="Arial" w:cs="Arial"/>
                <w:b/>
                <w:sz w:val="16"/>
                <w:szCs w:val="16"/>
                <w:lang w:val="en-US" w:eastAsia="en-US"/>
              </w:rPr>
              <w:t>Year</w:t>
            </w:r>
          </w:p>
        </w:tc>
        <w:tc>
          <w:tcPr>
            <w:tcW w:w="2943" w:type="dxa"/>
            <w:tcBorders>
              <w:top w:val="double"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b/>
                <w:sz w:val="16"/>
                <w:szCs w:val="16"/>
                <w:lang w:val="en-US" w:eastAsia="en-US"/>
              </w:rPr>
            </w:pPr>
            <w:r w:rsidRPr="00F26644">
              <w:rPr>
                <w:rFonts w:ascii="Arial" w:eastAsia="Calibri" w:hAnsi="Arial" w:cs="Arial"/>
                <w:b/>
                <w:sz w:val="16"/>
                <w:szCs w:val="16"/>
                <w:lang w:val="en-US" w:eastAsia="en-US"/>
              </w:rPr>
              <w:t>Performance measures</w:t>
            </w:r>
          </w:p>
        </w:tc>
        <w:tc>
          <w:tcPr>
            <w:tcW w:w="3402" w:type="dxa"/>
            <w:tcBorders>
              <w:top w:val="double"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b/>
                <w:sz w:val="16"/>
                <w:szCs w:val="16"/>
                <w:lang w:val="en-US" w:eastAsia="en-US"/>
              </w:rPr>
            </w:pPr>
            <w:r w:rsidRPr="00F26644">
              <w:rPr>
                <w:rFonts w:ascii="Arial" w:eastAsia="Calibri" w:hAnsi="Arial" w:cs="Arial"/>
                <w:b/>
                <w:sz w:val="16"/>
                <w:szCs w:val="16"/>
                <w:lang w:val="en-US" w:eastAsia="en-US"/>
              </w:rPr>
              <w:t>Expected Performance Results</w:t>
            </w:r>
          </w:p>
        </w:tc>
      </w:tr>
      <w:tr w:rsidR="00253274" w:rsidTr="00E25E77">
        <w:trPr>
          <w:trHeight w:val="204"/>
        </w:trPr>
        <w:tc>
          <w:tcPr>
            <w:tcW w:w="1560" w:type="dxa"/>
            <w:vMerge w:val="restart"/>
            <w:tcBorders>
              <w:top w:val="single" w:sz="4" w:space="0" w:color="auto"/>
              <w:left w:val="single" w:sz="4" w:space="0" w:color="auto"/>
              <w:bottom w:val="dotted"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 xml:space="preserve">Current year </w:t>
            </w:r>
          </w:p>
          <w:p w:rsidR="00F26644" w:rsidRPr="00F26644" w:rsidRDefault="00BA7A7F" w:rsidP="00F26644">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2021-22</w:t>
            </w:r>
          </w:p>
        </w:tc>
        <w:tc>
          <w:tcPr>
            <w:tcW w:w="2943" w:type="dxa"/>
            <w:tcBorders>
              <w:top w:val="single"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i/>
                <w:color w:val="0070C0"/>
                <w:sz w:val="16"/>
                <w:szCs w:val="16"/>
                <w:lang w:val="en-US" w:eastAsia="en-US"/>
              </w:rPr>
            </w:pPr>
            <w:r w:rsidRPr="00F26644">
              <w:rPr>
                <w:rFonts w:ascii="Arial" w:eastAsia="Calibri" w:hAnsi="Arial" w:cs="Arial"/>
                <w:sz w:val="16"/>
                <w:szCs w:val="16"/>
                <w:bdr w:val="none" w:sz="0" w:space="0" w:color="auto" w:frame="1"/>
                <w:lang w:val="en-US" w:eastAsia="en-US"/>
              </w:rPr>
              <w:t>Full utilisation of landmark infrastructure</w:t>
            </w:r>
            <w:r>
              <w:rPr>
                <w:rFonts w:ascii="Arial" w:eastAsia="Calibri" w:hAnsi="Arial" w:cs="Arial"/>
                <w:sz w:val="16"/>
                <w:szCs w:val="16"/>
                <w:bdr w:val="none" w:sz="0" w:space="0" w:color="auto" w:frame="1"/>
                <w:lang w:val="en-US" w:eastAsia="en-US"/>
              </w:rPr>
              <w:t>.</w:t>
            </w:r>
          </w:p>
        </w:tc>
        <w:tc>
          <w:tcPr>
            <w:tcW w:w="3402" w:type="dxa"/>
            <w:tcBorders>
              <w:top w:val="single" w:sz="4" w:space="0" w:color="auto"/>
              <w:left w:val="single" w:sz="4" w:space="0" w:color="auto"/>
              <w:bottom w:val="single" w:sz="4" w:space="0" w:color="auto"/>
              <w:right w:val="single" w:sz="4" w:space="0" w:color="auto"/>
            </w:tcBorders>
          </w:tcPr>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OPAL Research Reactor: days at power</w:t>
            </w: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Target: 290 days</w:t>
            </w:r>
          </w:p>
          <w:p w:rsidR="00F26644" w:rsidRPr="00F26644" w:rsidRDefault="00BA7A7F" w:rsidP="00DD5740">
            <w:pPr>
              <w:keepLines w:val="0"/>
              <w:tabs>
                <w:tab w:val="left" w:pos="709"/>
              </w:tabs>
              <w:spacing w:before="60" w:after="60" w:line="240" w:lineRule="auto"/>
              <w:jc w:val="left"/>
              <w:rPr>
                <w:rFonts w:ascii="Arial" w:hAnsi="Arial" w:cs="Arial"/>
                <w:sz w:val="16"/>
                <w:szCs w:val="16"/>
              </w:rPr>
            </w:pPr>
            <w:r w:rsidRPr="00F26644">
              <w:rPr>
                <w:rFonts w:ascii="Arial" w:hAnsi="Arial" w:cs="Arial"/>
                <w:sz w:val="16"/>
                <w:szCs w:val="16"/>
              </w:rPr>
              <w:t>Forecast actual: 302</w:t>
            </w:r>
          </w:p>
          <w:p w:rsidR="00F26644" w:rsidRPr="00F26644" w:rsidRDefault="00F26644"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 xml:space="preserve">Australian Synchrotron: percentage utilisation </w:t>
            </w: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Target: 95%</w:t>
            </w:r>
          </w:p>
          <w:p w:rsidR="00F26644" w:rsidRPr="00F26644" w:rsidRDefault="00BA7A7F" w:rsidP="00DD5740">
            <w:pPr>
              <w:keepLines w:val="0"/>
              <w:tabs>
                <w:tab w:val="left" w:pos="709"/>
              </w:tabs>
              <w:spacing w:before="60" w:after="60" w:line="240" w:lineRule="auto"/>
              <w:jc w:val="left"/>
              <w:rPr>
                <w:rFonts w:ascii="Arial" w:hAnsi="Arial" w:cs="Arial"/>
                <w:sz w:val="16"/>
                <w:szCs w:val="16"/>
              </w:rPr>
            </w:pPr>
            <w:r w:rsidRPr="00F26644">
              <w:rPr>
                <w:rFonts w:ascii="Arial" w:hAnsi="Arial" w:cs="Arial"/>
                <w:sz w:val="16"/>
                <w:szCs w:val="16"/>
              </w:rPr>
              <w:t xml:space="preserve">Forecast </w:t>
            </w:r>
            <w:r w:rsidR="00D411C6">
              <w:rPr>
                <w:rFonts w:ascii="Arial" w:hAnsi="Arial" w:cs="Arial"/>
                <w:sz w:val="16"/>
                <w:szCs w:val="16"/>
              </w:rPr>
              <w:t>actual: 98%</w:t>
            </w:r>
          </w:p>
          <w:p w:rsidR="00F26644" w:rsidRPr="00973AFE" w:rsidRDefault="00F26644"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Neutron beam instruments: percentage utilisation</w:t>
            </w: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Target: 85%</w:t>
            </w:r>
          </w:p>
          <w:p w:rsidR="00F26644" w:rsidRPr="00F26644" w:rsidRDefault="00BA7A7F" w:rsidP="00DD5740">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 xml:space="preserve">Forecast actual: 64% </w:t>
            </w:r>
            <w:r w:rsidR="00921AAB" w:rsidRPr="00F26644">
              <w:rPr>
                <w:rFonts w:ascii="Arial" w:hAnsi="Arial" w:cs="Arial"/>
                <w:sz w:val="16"/>
                <w:szCs w:val="16"/>
              </w:rPr>
              <w:t>(b)</w:t>
            </w:r>
          </w:p>
          <w:p w:rsidR="00F26644" w:rsidRPr="00F26644" w:rsidRDefault="00F26644"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Accelerators: percentage of utilisation</w:t>
            </w: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Target: 65</w:t>
            </w:r>
            <w:r w:rsidR="00D411C6">
              <w:rPr>
                <w:rFonts w:ascii="Arial" w:eastAsia="Calibri" w:hAnsi="Arial" w:cs="Arial"/>
                <w:sz w:val="16"/>
                <w:szCs w:val="16"/>
                <w:bdr w:val="none" w:sz="0" w:space="0" w:color="auto" w:frame="1"/>
              </w:rPr>
              <w:t>%</w:t>
            </w:r>
          </w:p>
          <w:p w:rsidR="00F26644" w:rsidRPr="00F26644" w:rsidRDefault="00BA7A7F" w:rsidP="00DD5740">
            <w:pPr>
              <w:keepLines w:val="0"/>
              <w:tabs>
                <w:tab w:val="left" w:pos="709"/>
              </w:tabs>
              <w:spacing w:before="60" w:after="60" w:line="240" w:lineRule="auto"/>
              <w:jc w:val="left"/>
              <w:rPr>
                <w:rFonts w:ascii="Arial" w:hAnsi="Arial" w:cs="Arial"/>
                <w:sz w:val="16"/>
                <w:szCs w:val="16"/>
              </w:rPr>
            </w:pPr>
            <w:r w:rsidRPr="00F26644">
              <w:rPr>
                <w:rFonts w:ascii="Arial" w:hAnsi="Arial" w:cs="Arial"/>
                <w:sz w:val="16"/>
                <w:szCs w:val="16"/>
              </w:rPr>
              <w:t>Forecast actual: 55</w:t>
            </w:r>
            <w:r w:rsidR="00D411C6">
              <w:rPr>
                <w:rFonts w:ascii="Arial" w:hAnsi="Arial" w:cs="Arial"/>
                <w:sz w:val="16"/>
                <w:szCs w:val="16"/>
              </w:rPr>
              <w:t>%</w:t>
            </w:r>
            <w:r w:rsidRPr="00F26644">
              <w:rPr>
                <w:rFonts w:ascii="Arial" w:hAnsi="Arial" w:cs="Arial"/>
                <w:sz w:val="16"/>
                <w:szCs w:val="16"/>
              </w:rPr>
              <w:t xml:space="preserve"> (c)</w:t>
            </w:r>
          </w:p>
          <w:p w:rsidR="00D411C6" w:rsidRDefault="00D411C6" w:rsidP="00DD5740">
            <w:pPr>
              <w:keepLines w:val="0"/>
              <w:tabs>
                <w:tab w:val="left" w:pos="709"/>
              </w:tabs>
              <w:spacing w:before="60" w:after="60" w:line="240" w:lineRule="auto"/>
              <w:jc w:val="left"/>
              <w:rPr>
                <w:rFonts w:ascii="Arial" w:hAnsi="Arial" w:cs="Arial"/>
                <w:sz w:val="16"/>
                <w:szCs w:val="16"/>
              </w:rPr>
            </w:pPr>
          </w:p>
          <w:p w:rsidR="00F26644" w:rsidRPr="00F26644" w:rsidRDefault="00BA7A7F" w:rsidP="00DD5740">
            <w:pPr>
              <w:keepLines w:val="0"/>
              <w:tabs>
                <w:tab w:val="left" w:pos="709"/>
              </w:tabs>
              <w:spacing w:before="60" w:after="60" w:line="240" w:lineRule="auto"/>
              <w:jc w:val="left"/>
              <w:rPr>
                <w:rFonts w:ascii="Arial" w:hAnsi="Arial" w:cs="Arial"/>
                <w:sz w:val="16"/>
                <w:szCs w:val="16"/>
              </w:rPr>
            </w:pPr>
            <w:r w:rsidRPr="00F26644">
              <w:rPr>
                <w:rFonts w:ascii="Arial" w:hAnsi="Arial" w:cs="Arial"/>
                <w:sz w:val="16"/>
                <w:szCs w:val="16"/>
              </w:rPr>
              <w:t>National deuteration facility percentage utilisation</w:t>
            </w: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Target: 90%</w:t>
            </w:r>
          </w:p>
          <w:p w:rsidR="00F26644" w:rsidRPr="00F26644" w:rsidRDefault="00BA7A7F" w:rsidP="00DD5740">
            <w:pPr>
              <w:keepLines w:val="0"/>
              <w:tabs>
                <w:tab w:val="left" w:pos="709"/>
              </w:tabs>
              <w:spacing w:before="60" w:after="60" w:line="240" w:lineRule="auto"/>
              <w:jc w:val="left"/>
              <w:rPr>
                <w:rFonts w:ascii="Arial" w:hAnsi="Arial" w:cs="Arial"/>
                <w:sz w:val="16"/>
                <w:szCs w:val="16"/>
              </w:rPr>
            </w:pPr>
            <w:r w:rsidRPr="00F26644">
              <w:rPr>
                <w:rFonts w:ascii="Arial" w:hAnsi="Arial" w:cs="Arial"/>
                <w:sz w:val="16"/>
                <w:szCs w:val="16"/>
              </w:rPr>
              <w:t>Forecast actual: 89</w:t>
            </w:r>
            <w:r w:rsidR="00D411C6">
              <w:rPr>
                <w:rFonts w:ascii="Arial" w:hAnsi="Arial" w:cs="Arial"/>
                <w:sz w:val="16"/>
                <w:szCs w:val="16"/>
              </w:rPr>
              <w:t>%</w:t>
            </w:r>
          </w:p>
          <w:p w:rsidR="00F26644" w:rsidRPr="00F26644" w:rsidRDefault="00F26644" w:rsidP="00DD5740">
            <w:pPr>
              <w:keepLines w:val="0"/>
              <w:tabs>
                <w:tab w:val="left" w:pos="709"/>
              </w:tabs>
              <w:spacing w:before="60" w:after="60" w:line="240" w:lineRule="auto"/>
              <w:jc w:val="left"/>
              <w:rPr>
                <w:rFonts w:ascii="Arial" w:hAnsi="Arial" w:cs="Arial"/>
                <w:sz w:val="16"/>
                <w:szCs w:val="16"/>
              </w:rPr>
            </w:pPr>
          </w:p>
          <w:p w:rsidR="00F26644" w:rsidRPr="00F26644" w:rsidRDefault="00BA7A7F" w:rsidP="00DD5740">
            <w:pPr>
              <w:keepLines w:val="0"/>
              <w:tabs>
                <w:tab w:val="left" w:pos="709"/>
              </w:tabs>
              <w:spacing w:before="60" w:after="60" w:line="240" w:lineRule="auto"/>
              <w:jc w:val="left"/>
              <w:rPr>
                <w:rFonts w:ascii="Arial" w:hAnsi="Arial" w:cs="Arial"/>
                <w:sz w:val="16"/>
                <w:szCs w:val="16"/>
              </w:rPr>
            </w:pPr>
            <w:r w:rsidRPr="00F26644">
              <w:rPr>
                <w:rFonts w:ascii="Arial" w:hAnsi="Arial" w:cs="Arial"/>
                <w:sz w:val="16"/>
                <w:szCs w:val="16"/>
              </w:rPr>
              <w:t>User satisfaction (Net Promoter Score) across all facilities:</w:t>
            </w:r>
          </w:p>
          <w:p w:rsidR="00F26644" w:rsidRPr="00F26644" w:rsidRDefault="00BA7A7F" w:rsidP="00DD5740">
            <w:pPr>
              <w:keepLines w:val="0"/>
              <w:tabs>
                <w:tab w:val="left" w:pos="709"/>
              </w:tabs>
              <w:spacing w:before="60" w:after="60" w:line="240" w:lineRule="auto"/>
              <w:jc w:val="left"/>
              <w:rPr>
                <w:rFonts w:ascii="Arial" w:hAnsi="Arial" w:cs="Arial"/>
                <w:sz w:val="16"/>
                <w:szCs w:val="16"/>
              </w:rPr>
            </w:pPr>
            <w:r w:rsidRPr="00F26644">
              <w:rPr>
                <w:rFonts w:ascii="Arial" w:hAnsi="Arial" w:cs="Arial"/>
                <w:sz w:val="16"/>
                <w:szCs w:val="16"/>
              </w:rPr>
              <w:t>Target: 90</w:t>
            </w:r>
            <w:r w:rsidR="00D411C6">
              <w:rPr>
                <w:rFonts w:ascii="Arial" w:hAnsi="Arial" w:cs="Arial"/>
                <w:sz w:val="16"/>
                <w:szCs w:val="16"/>
              </w:rPr>
              <w:t>%</w:t>
            </w:r>
          </w:p>
          <w:p w:rsidR="00F26644" w:rsidRPr="00F26644" w:rsidRDefault="00BA7A7F" w:rsidP="00DD5740">
            <w:pPr>
              <w:keepLines w:val="0"/>
              <w:tabs>
                <w:tab w:val="left" w:pos="709"/>
              </w:tabs>
              <w:spacing w:before="60" w:after="60" w:line="240" w:lineRule="auto"/>
              <w:jc w:val="left"/>
              <w:rPr>
                <w:rFonts w:ascii="Arial" w:hAnsi="Arial" w:cs="Arial"/>
                <w:sz w:val="16"/>
                <w:szCs w:val="16"/>
              </w:rPr>
            </w:pPr>
            <w:r w:rsidRPr="00F26644">
              <w:rPr>
                <w:rFonts w:ascii="Arial" w:hAnsi="Arial" w:cs="Arial"/>
                <w:sz w:val="16"/>
                <w:szCs w:val="16"/>
              </w:rPr>
              <w:t>Forecast actual: 91</w:t>
            </w:r>
            <w:r w:rsidR="00D411C6">
              <w:rPr>
                <w:rFonts w:ascii="Arial" w:hAnsi="Arial" w:cs="Arial"/>
                <w:sz w:val="16"/>
                <w:szCs w:val="16"/>
              </w:rPr>
              <w:t>%</w:t>
            </w:r>
          </w:p>
        </w:tc>
      </w:tr>
      <w:tr w:rsidR="00253274" w:rsidTr="001D108E">
        <w:trPr>
          <w:trHeight w:val="203"/>
        </w:trPr>
        <w:tc>
          <w:tcPr>
            <w:tcW w:w="0" w:type="auto"/>
            <w:vMerge/>
            <w:tcBorders>
              <w:top w:val="single" w:sz="4" w:space="0" w:color="auto"/>
              <w:left w:val="single" w:sz="4" w:space="0" w:color="auto"/>
              <w:bottom w:val="dotted"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sz w:val="16"/>
                <w:szCs w:val="16"/>
              </w:rPr>
            </w:pPr>
          </w:p>
        </w:tc>
        <w:tc>
          <w:tcPr>
            <w:tcW w:w="2943" w:type="dxa"/>
            <w:tcBorders>
              <w:top w:val="single"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Ensure the reliable and sustainable supply of nuclear medicines</w:t>
            </w:r>
            <w:r>
              <w:rPr>
                <w:rFonts w:ascii="Arial" w:eastAsia="Calibri" w:hAnsi="Arial" w:cs="Arial"/>
                <w:iCs/>
                <w:sz w:val="16"/>
                <w:szCs w:val="16"/>
                <w:lang w:val="en-US" w:eastAsia="en-US"/>
              </w:rPr>
              <w:t>.</w:t>
            </w:r>
          </w:p>
        </w:tc>
        <w:tc>
          <w:tcPr>
            <w:tcW w:w="3402" w:type="dxa"/>
            <w:tcBorders>
              <w:top w:val="single" w:sz="4" w:space="0" w:color="auto"/>
              <w:left w:val="single" w:sz="4" w:space="0" w:color="auto"/>
              <w:bottom w:val="single" w:sz="4" w:space="0" w:color="auto"/>
              <w:right w:val="single" w:sz="4" w:space="0" w:color="auto"/>
            </w:tcBorders>
          </w:tcPr>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ANM (Mo-99): delivery in full and on time (d)</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Target: 95</w:t>
            </w:r>
            <w:r w:rsidR="00D411C6">
              <w:rPr>
                <w:rFonts w:ascii="Arial" w:hAnsi="Arial" w:cs="Arial"/>
                <w:sz w:val="16"/>
                <w:szCs w:val="16"/>
              </w:rPr>
              <w:t>%</w:t>
            </w:r>
            <w:r w:rsidRPr="00F26644">
              <w:rPr>
                <w:rFonts w:ascii="Arial" w:hAnsi="Arial" w:cs="Arial"/>
                <w:sz w:val="16"/>
                <w:szCs w:val="16"/>
              </w:rPr>
              <w:t xml:space="preserve"> or greater</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Forecast actual: 96</w:t>
            </w:r>
            <w:r w:rsidR="00D411C6">
              <w:rPr>
                <w:rFonts w:ascii="Arial" w:hAnsi="Arial" w:cs="Arial"/>
                <w:sz w:val="16"/>
                <w:szCs w:val="16"/>
              </w:rPr>
              <w:t>%</w:t>
            </w:r>
          </w:p>
          <w:p w:rsidR="00F26644" w:rsidRPr="00F26644" w:rsidRDefault="00F26644" w:rsidP="00DD5740">
            <w:pPr>
              <w:keepLines w:val="0"/>
              <w:spacing w:before="60" w:after="60" w:line="240" w:lineRule="auto"/>
              <w:jc w:val="left"/>
              <w:rPr>
                <w:rFonts w:ascii="Arial" w:hAnsi="Arial" w:cs="Arial"/>
                <w:sz w:val="16"/>
                <w:szCs w:val="16"/>
              </w:rPr>
            </w:pP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ANSTO Nuclear Medicine Production Facility: delivery in full and on time (d)</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Target: 95</w:t>
            </w:r>
            <w:r w:rsidR="00D411C6">
              <w:rPr>
                <w:rFonts w:ascii="Arial" w:hAnsi="Arial" w:cs="Arial"/>
                <w:sz w:val="16"/>
                <w:szCs w:val="16"/>
              </w:rPr>
              <w:t>%</w:t>
            </w:r>
            <w:r w:rsidRPr="00F26644">
              <w:rPr>
                <w:rFonts w:ascii="Arial" w:hAnsi="Arial" w:cs="Arial"/>
                <w:sz w:val="16"/>
                <w:szCs w:val="16"/>
              </w:rPr>
              <w:t xml:space="preserve"> or greater</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Forecast actual: 93</w:t>
            </w:r>
            <w:r w:rsidR="00D411C6">
              <w:rPr>
                <w:rFonts w:ascii="Arial" w:hAnsi="Arial" w:cs="Arial"/>
                <w:sz w:val="16"/>
                <w:szCs w:val="16"/>
              </w:rPr>
              <w:t>%</w:t>
            </w:r>
            <w:r w:rsidRPr="00F26644">
              <w:rPr>
                <w:rFonts w:ascii="Arial" w:hAnsi="Arial" w:cs="Arial"/>
                <w:sz w:val="16"/>
                <w:szCs w:val="16"/>
              </w:rPr>
              <w:t xml:space="preserve"> (e)</w:t>
            </w:r>
          </w:p>
          <w:p w:rsidR="00F26644" w:rsidRPr="00F26644" w:rsidRDefault="00F26644" w:rsidP="00DD5740">
            <w:pPr>
              <w:keepLines w:val="0"/>
              <w:spacing w:before="60" w:after="60" w:line="240" w:lineRule="auto"/>
              <w:jc w:val="left"/>
              <w:rPr>
                <w:rFonts w:ascii="Arial" w:hAnsi="Arial" w:cs="Arial"/>
                <w:sz w:val="16"/>
                <w:szCs w:val="16"/>
              </w:rPr>
            </w:pP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NTD Silicon delivery in full and on time</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Target: 95</w:t>
            </w:r>
            <w:r w:rsidR="00D411C6">
              <w:rPr>
                <w:rFonts w:ascii="Arial" w:hAnsi="Arial" w:cs="Arial"/>
                <w:sz w:val="16"/>
                <w:szCs w:val="16"/>
              </w:rPr>
              <w:t>%</w:t>
            </w:r>
            <w:r w:rsidRPr="00F26644">
              <w:rPr>
                <w:rFonts w:ascii="Arial" w:hAnsi="Arial" w:cs="Arial"/>
                <w:sz w:val="16"/>
                <w:szCs w:val="16"/>
              </w:rPr>
              <w:t xml:space="preserve"> or greater</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Forecast actual: 84</w:t>
            </w:r>
            <w:r w:rsidR="00D411C6">
              <w:rPr>
                <w:rFonts w:ascii="Arial" w:hAnsi="Arial" w:cs="Arial"/>
                <w:sz w:val="16"/>
                <w:szCs w:val="16"/>
              </w:rPr>
              <w:t>%</w:t>
            </w:r>
          </w:p>
        </w:tc>
      </w:tr>
      <w:tr w:rsidR="00253274" w:rsidTr="001D108E">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sz w:val="16"/>
                <w:szCs w:val="16"/>
              </w:rPr>
            </w:pPr>
          </w:p>
        </w:tc>
        <w:tc>
          <w:tcPr>
            <w:tcW w:w="2943" w:type="dxa"/>
            <w:tcBorders>
              <w:top w:val="single"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sz w:val="16"/>
                <w:szCs w:val="16"/>
                <w:lang w:val="en-US" w:eastAsia="en-US"/>
              </w:rPr>
              <w:t>Deliver and translate research that has scientific and industrial impact</w:t>
            </w:r>
            <w:r>
              <w:rPr>
                <w:rFonts w:ascii="Arial" w:eastAsia="Calibri" w:hAnsi="Arial" w:cs="Arial"/>
                <w:sz w:val="16"/>
                <w:szCs w:val="16"/>
                <w:lang w:val="en-US" w:eastAsia="en-US"/>
              </w:rPr>
              <w:t>.</w:t>
            </w:r>
          </w:p>
        </w:tc>
        <w:tc>
          <w:tcPr>
            <w:tcW w:w="3402" w:type="dxa"/>
            <w:tcBorders>
              <w:top w:val="single" w:sz="4" w:space="0" w:color="auto"/>
              <w:left w:val="single" w:sz="4" w:space="0" w:color="auto"/>
              <w:bottom w:val="single" w:sz="4" w:space="0" w:color="auto"/>
              <w:right w:val="single" w:sz="4" w:space="0" w:color="auto"/>
            </w:tcBorders>
          </w:tcPr>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Publications undertaken with national and international collaborators</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Target: 95</w:t>
            </w:r>
            <w:r w:rsidR="00D411C6">
              <w:rPr>
                <w:rFonts w:ascii="Arial" w:hAnsi="Arial" w:cs="Arial"/>
                <w:sz w:val="16"/>
                <w:szCs w:val="16"/>
              </w:rPr>
              <w:t>%</w:t>
            </w:r>
            <w:r w:rsidRPr="00F26644">
              <w:rPr>
                <w:rFonts w:ascii="Arial" w:hAnsi="Arial" w:cs="Arial"/>
                <w:sz w:val="16"/>
                <w:szCs w:val="16"/>
              </w:rPr>
              <w:t xml:space="preserve"> or greater</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Forecast actual: 96</w:t>
            </w:r>
            <w:r w:rsidR="00D411C6">
              <w:rPr>
                <w:rFonts w:ascii="Arial" w:hAnsi="Arial" w:cs="Arial"/>
                <w:sz w:val="16"/>
                <w:szCs w:val="16"/>
              </w:rPr>
              <w:t>%</w:t>
            </w:r>
          </w:p>
          <w:p w:rsidR="00F26644" w:rsidRPr="00F26644" w:rsidRDefault="00F26644" w:rsidP="00DD5740">
            <w:pPr>
              <w:keepLines w:val="0"/>
              <w:spacing w:before="60" w:after="60" w:line="240" w:lineRule="auto"/>
              <w:jc w:val="left"/>
              <w:rPr>
                <w:rFonts w:ascii="Arial" w:hAnsi="Arial" w:cs="Arial"/>
                <w:sz w:val="16"/>
                <w:szCs w:val="16"/>
              </w:rPr>
            </w:pP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Case studies demonstrating the impact of our research</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Target: eight case studies for reporting period</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Forecast actual: eight case studies for reporting period</w:t>
            </w:r>
          </w:p>
          <w:p w:rsidR="00F26644" w:rsidRPr="00F26644" w:rsidRDefault="00F26644" w:rsidP="00DD5740">
            <w:pPr>
              <w:keepLines w:val="0"/>
              <w:spacing w:before="60" w:after="60" w:line="240" w:lineRule="auto"/>
              <w:jc w:val="left"/>
              <w:rPr>
                <w:rFonts w:ascii="Arial" w:hAnsi="Arial" w:cs="Arial"/>
                <w:sz w:val="16"/>
                <w:szCs w:val="16"/>
              </w:rPr>
            </w:pP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Total publications per calendar year (ANSTO only, ANSTO with national and/or international co-authors or both)</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 xml:space="preserve">Target: 600 or greater </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 xml:space="preserve">Forecast actual: 594 </w:t>
            </w:r>
          </w:p>
          <w:p w:rsidR="00F26644" w:rsidRPr="00F26644" w:rsidRDefault="00F26644" w:rsidP="00DD5740">
            <w:pPr>
              <w:keepLines w:val="0"/>
              <w:spacing w:before="60" w:after="60" w:line="240" w:lineRule="auto"/>
              <w:jc w:val="left"/>
              <w:rPr>
                <w:rFonts w:ascii="Arial" w:hAnsi="Arial" w:cs="Arial"/>
                <w:sz w:val="16"/>
                <w:szCs w:val="16"/>
              </w:rPr>
            </w:pP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External revenue from research and research services (excluding National Collaborative Research Infrastructure Strategy, NCRIS Grants)</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Target: $5</w:t>
            </w:r>
            <w:r w:rsidR="00D411C6">
              <w:rPr>
                <w:rFonts w:ascii="Arial" w:hAnsi="Arial" w:cs="Arial"/>
                <w:sz w:val="16"/>
                <w:szCs w:val="16"/>
              </w:rPr>
              <w:t>m</w:t>
            </w:r>
          </w:p>
          <w:p w:rsidR="00F26644" w:rsidRPr="00F26644" w:rsidRDefault="00BA7A7F" w:rsidP="00DD5740">
            <w:pPr>
              <w:keepLines w:val="0"/>
              <w:spacing w:before="60" w:after="60" w:line="240" w:lineRule="auto"/>
              <w:jc w:val="left"/>
              <w:rPr>
                <w:rFonts w:ascii="Arial" w:hAnsi="Arial" w:cs="Arial"/>
                <w:sz w:val="16"/>
                <w:szCs w:val="16"/>
              </w:rPr>
            </w:pPr>
            <w:r>
              <w:rPr>
                <w:rFonts w:ascii="Arial" w:hAnsi="Arial" w:cs="Arial"/>
                <w:sz w:val="16"/>
                <w:szCs w:val="16"/>
              </w:rPr>
              <w:t>Forecast actual; $6.3m</w:t>
            </w:r>
          </w:p>
          <w:p w:rsidR="00F26644" w:rsidRPr="00F26644" w:rsidRDefault="00F26644" w:rsidP="00DD5740">
            <w:pPr>
              <w:keepLines w:val="0"/>
              <w:spacing w:before="60" w:after="60" w:line="240" w:lineRule="auto"/>
              <w:jc w:val="left"/>
              <w:rPr>
                <w:rFonts w:cs="Arial"/>
                <w:sz w:val="16"/>
                <w:szCs w:val="16"/>
              </w:rPr>
            </w:pP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New jobs created each year within the Innovation Precinct</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Target: 10</w:t>
            </w:r>
          </w:p>
          <w:p w:rsidR="00F26644" w:rsidRPr="00F26644" w:rsidRDefault="00BA7A7F" w:rsidP="00DD5740">
            <w:pPr>
              <w:keepLines w:val="0"/>
              <w:spacing w:before="60" w:after="60" w:line="240" w:lineRule="auto"/>
              <w:jc w:val="left"/>
              <w:rPr>
                <w:rFonts w:cs="Arial"/>
                <w:sz w:val="16"/>
                <w:szCs w:val="16"/>
              </w:rPr>
            </w:pPr>
            <w:r w:rsidRPr="00F26644">
              <w:rPr>
                <w:rFonts w:ascii="Arial" w:hAnsi="Arial" w:cs="Arial"/>
                <w:sz w:val="16"/>
                <w:szCs w:val="16"/>
              </w:rPr>
              <w:t>Forecast actual: Target achieved</w:t>
            </w:r>
          </w:p>
        </w:tc>
      </w:tr>
      <w:tr w:rsidR="00253274" w:rsidTr="001D108E">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sz w:val="16"/>
                <w:szCs w:val="16"/>
              </w:rPr>
            </w:pPr>
          </w:p>
        </w:tc>
        <w:tc>
          <w:tcPr>
            <w:tcW w:w="2943" w:type="dxa"/>
            <w:tcBorders>
              <w:top w:val="single"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Ensure a highly reliable, safe and secure environment</w:t>
            </w:r>
            <w:r>
              <w:rPr>
                <w:rFonts w:ascii="Arial" w:eastAsia="Calibri" w:hAnsi="Arial" w:cs="Arial"/>
                <w:iCs/>
                <w:sz w:val="16"/>
                <w:szCs w:val="16"/>
                <w:lang w:val="en-US" w:eastAsia="en-US"/>
              </w:rPr>
              <w:t>.</w:t>
            </w:r>
          </w:p>
        </w:tc>
        <w:tc>
          <w:tcPr>
            <w:tcW w:w="3402" w:type="dxa"/>
            <w:tcBorders>
              <w:top w:val="single" w:sz="4" w:space="0" w:color="auto"/>
              <w:left w:val="single" w:sz="4" w:space="0" w:color="auto"/>
              <w:bottom w:val="single" w:sz="4" w:space="0" w:color="auto"/>
              <w:right w:val="single" w:sz="4" w:space="0" w:color="auto"/>
            </w:tcBorders>
          </w:tcPr>
          <w:p w:rsidR="00F26644" w:rsidRPr="00F26644" w:rsidRDefault="00BA7A7F" w:rsidP="00DD5740">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Improvement in safety culture</w:t>
            </w:r>
          </w:p>
          <w:p w:rsidR="00F26644" w:rsidRPr="00F26644" w:rsidRDefault="00BA7A7F" w:rsidP="00DD5740">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Target: increase in Opportunities for Improvement to Actual Incidents recorded</w:t>
            </w:r>
          </w:p>
          <w:p w:rsidR="00F26644" w:rsidRPr="00F26644" w:rsidRDefault="00BA7A7F" w:rsidP="00DD5740">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Forecast actual: Target achieved</w:t>
            </w:r>
          </w:p>
          <w:p w:rsidR="00F26644" w:rsidRPr="00F26644" w:rsidRDefault="00F26644" w:rsidP="00DD5740">
            <w:pPr>
              <w:keepLines w:val="0"/>
              <w:spacing w:before="60" w:after="60" w:line="240" w:lineRule="auto"/>
              <w:jc w:val="left"/>
              <w:rPr>
                <w:rFonts w:ascii="Arial" w:eastAsia="Calibri" w:hAnsi="Arial" w:cs="Arial"/>
                <w:sz w:val="16"/>
                <w:szCs w:val="16"/>
                <w:lang w:val="en-US" w:eastAsia="en-US"/>
              </w:rPr>
            </w:pPr>
          </w:p>
          <w:p w:rsidR="00F26644" w:rsidRPr="00F26644" w:rsidRDefault="00BA7A7F" w:rsidP="00DD5740">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Improvement in site-wide safety</w:t>
            </w:r>
          </w:p>
          <w:p w:rsidR="00F26644" w:rsidRPr="00F26644" w:rsidRDefault="00BA7A7F" w:rsidP="00DD5740">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Target: year on year decrease in class 1, 2, and 3 incidents.</w:t>
            </w:r>
          </w:p>
          <w:p w:rsidR="00F26644" w:rsidRPr="00F26644" w:rsidRDefault="00BA7A7F" w:rsidP="00DD5740">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Forecast actual:</w:t>
            </w:r>
            <w:r w:rsidRPr="00F26644">
              <w:rPr>
                <w:rFonts w:ascii="Arial" w:hAnsi="Arial" w:cs="Arial"/>
                <w:sz w:val="16"/>
                <w:szCs w:val="16"/>
              </w:rPr>
              <w:t xml:space="preserve"> Target achieved</w:t>
            </w:r>
          </w:p>
          <w:p w:rsidR="00F26644" w:rsidRPr="00F26644" w:rsidRDefault="00BA7A7F" w:rsidP="00DD5740">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Class 1 – damage that permanently alters a person’s life</w:t>
            </w:r>
          </w:p>
          <w:p w:rsidR="00F26644" w:rsidRPr="00F26644" w:rsidRDefault="00BA7A7F" w:rsidP="00DD5740">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Class 2 – Damage that temporarily alters a person’s life</w:t>
            </w:r>
          </w:p>
          <w:p w:rsidR="00F26644" w:rsidRPr="00F26644" w:rsidRDefault="00BA7A7F" w:rsidP="00DD5740">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Class 3 – inconveniences in person’s life or 105 days/shifts off work</w:t>
            </w:r>
          </w:p>
        </w:tc>
      </w:tr>
      <w:tr w:rsidR="00253274" w:rsidTr="00DD41BC">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sz w:val="16"/>
                <w:szCs w:val="16"/>
              </w:rPr>
            </w:pPr>
          </w:p>
        </w:tc>
        <w:tc>
          <w:tcPr>
            <w:tcW w:w="2943" w:type="dxa"/>
            <w:tcBorders>
              <w:top w:val="dashed"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Providing expert advice and being a trusted advisor</w:t>
            </w:r>
            <w:r>
              <w:rPr>
                <w:rFonts w:ascii="Arial" w:eastAsia="Calibri" w:hAnsi="Arial" w:cs="Arial"/>
                <w:iCs/>
                <w:sz w:val="16"/>
                <w:szCs w:val="16"/>
                <w:lang w:val="en-US" w:eastAsia="en-US"/>
              </w:rPr>
              <w:t>.</w:t>
            </w:r>
          </w:p>
        </w:tc>
        <w:tc>
          <w:tcPr>
            <w:tcW w:w="3402" w:type="dxa"/>
            <w:tcBorders>
              <w:top w:val="dashed" w:sz="4" w:space="0" w:color="auto"/>
              <w:left w:val="single" w:sz="4" w:space="0" w:color="auto"/>
              <w:bottom w:val="single" w:sz="4" w:space="0" w:color="auto"/>
              <w:right w:val="single" w:sz="4" w:space="0" w:color="auto"/>
            </w:tcBorders>
          </w:tcPr>
          <w:p w:rsidR="00F26644" w:rsidRPr="00D633C1" w:rsidRDefault="00BA7A7F" w:rsidP="00DD5740">
            <w:pPr>
              <w:keepLines w:val="0"/>
              <w:spacing w:before="60" w:after="60" w:line="240" w:lineRule="auto"/>
              <w:jc w:val="left"/>
              <w:rPr>
                <w:rFonts w:ascii="Arial" w:eastAsia="Calibri" w:hAnsi="Arial" w:cs="Arial"/>
                <w:iCs/>
                <w:sz w:val="16"/>
                <w:szCs w:val="16"/>
                <w:lang w:val="en-US" w:eastAsia="en-US"/>
              </w:rPr>
            </w:pPr>
            <w:r w:rsidRPr="00D633C1">
              <w:rPr>
                <w:rFonts w:ascii="Arial" w:eastAsia="Calibri" w:hAnsi="Arial" w:cs="Arial"/>
                <w:iCs/>
                <w:sz w:val="16"/>
                <w:szCs w:val="16"/>
                <w:lang w:val="en-US" w:eastAsia="en-US"/>
              </w:rPr>
              <w:t>Australian Government Stakeholder satisfaction – Federal, State and Local Government</w:t>
            </w:r>
          </w:p>
          <w:p w:rsidR="00F26644" w:rsidRPr="00D633C1" w:rsidRDefault="00BA7A7F" w:rsidP="00DD5740">
            <w:pPr>
              <w:keepLines w:val="0"/>
              <w:spacing w:before="60" w:after="60" w:line="240" w:lineRule="auto"/>
              <w:jc w:val="left"/>
              <w:rPr>
                <w:rFonts w:ascii="Arial" w:eastAsia="Calibri" w:hAnsi="Arial" w:cs="Arial"/>
                <w:iCs/>
                <w:sz w:val="16"/>
                <w:szCs w:val="16"/>
                <w:lang w:val="en-US" w:eastAsia="en-US"/>
              </w:rPr>
            </w:pPr>
            <w:r w:rsidRPr="00D633C1">
              <w:rPr>
                <w:rFonts w:ascii="Arial" w:eastAsia="Calibri" w:hAnsi="Arial" w:cs="Arial"/>
                <w:iCs/>
                <w:sz w:val="16"/>
                <w:szCs w:val="16"/>
                <w:lang w:val="en-US" w:eastAsia="en-US"/>
              </w:rPr>
              <w:t>Target: 75%</w:t>
            </w:r>
          </w:p>
          <w:p w:rsidR="00F26644" w:rsidRPr="00D633C1" w:rsidRDefault="00BA7A7F" w:rsidP="00DD5740">
            <w:pPr>
              <w:keepLines w:val="0"/>
              <w:spacing w:before="60" w:after="60" w:line="240" w:lineRule="auto"/>
              <w:jc w:val="left"/>
              <w:rPr>
                <w:rFonts w:ascii="Arial" w:eastAsia="Calibri" w:hAnsi="Arial" w:cs="Arial"/>
                <w:iCs/>
                <w:sz w:val="16"/>
                <w:szCs w:val="16"/>
                <w:lang w:val="en-US" w:eastAsia="en-US"/>
              </w:rPr>
            </w:pPr>
            <w:r w:rsidRPr="00D633C1">
              <w:rPr>
                <w:rFonts w:ascii="Arial" w:eastAsia="Calibri" w:hAnsi="Arial" w:cs="Arial"/>
                <w:iCs/>
                <w:sz w:val="16"/>
                <w:szCs w:val="16"/>
                <w:lang w:val="en-US" w:eastAsia="en-US"/>
              </w:rPr>
              <w:t>Forecast actual: Target achieved</w:t>
            </w:r>
          </w:p>
          <w:p w:rsidR="00F26644" w:rsidRPr="00D633C1" w:rsidRDefault="00F26644" w:rsidP="00DD5740">
            <w:pPr>
              <w:keepLines w:val="0"/>
              <w:spacing w:before="60" w:after="60" w:line="240" w:lineRule="auto"/>
              <w:jc w:val="left"/>
              <w:rPr>
                <w:rFonts w:ascii="Arial" w:eastAsia="Calibri" w:hAnsi="Arial" w:cs="Arial"/>
                <w:iCs/>
                <w:sz w:val="16"/>
                <w:szCs w:val="16"/>
                <w:lang w:val="en-US" w:eastAsia="en-US"/>
              </w:rPr>
            </w:pPr>
          </w:p>
          <w:p w:rsidR="00F26644" w:rsidRPr="00D633C1" w:rsidRDefault="00BA7A7F" w:rsidP="00DD5740">
            <w:pPr>
              <w:keepLines w:val="0"/>
              <w:spacing w:before="60" w:after="60" w:line="240" w:lineRule="auto"/>
              <w:jc w:val="left"/>
              <w:rPr>
                <w:rFonts w:ascii="Arial" w:eastAsia="Calibri" w:hAnsi="Arial" w:cs="Arial"/>
                <w:iCs/>
                <w:sz w:val="16"/>
                <w:szCs w:val="16"/>
                <w:lang w:val="en-US" w:eastAsia="en-US"/>
              </w:rPr>
            </w:pPr>
            <w:r w:rsidRPr="00D633C1">
              <w:rPr>
                <w:rFonts w:ascii="Arial" w:eastAsia="Calibri" w:hAnsi="Arial" w:cs="Arial"/>
                <w:iCs/>
                <w:sz w:val="16"/>
                <w:szCs w:val="16"/>
                <w:lang w:val="en-US" w:eastAsia="en-US"/>
              </w:rPr>
              <w:t>Case studies to highlight and assess the impact of ANSTO’s engagement with Government-related stakeholders</w:t>
            </w:r>
          </w:p>
          <w:p w:rsidR="00F26644" w:rsidRPr="00D633C1" w:rsidRDefault="00BA7A7F" w:rsidP="00DD5740">
            <w:pPr>
              <w:keepLines w:val="0"/>
              <w:spacing w:before="60" w:after="60" w:line="240" w:lineRule="auto"/>
              <w:jc w:val="left"/>
              <w:rPr>
                <w:rFonts w:ascii="Arial" w:eastAsia="Calibri" w:hAnsi="Arial" w:cs="Arial"/>
                <w:iCs/>
                <w:sz w:val="16"/>
                <w:szCs w:val="16"/>
                <w:lang w:val="en-US" w:eastAsia="en-US"/>
              </w:rPr>
            </w:pPr>
            <w:r w:rsidRPr="00D633C1">
              <w:rPr>
                <w:rFonts w:ascii="Arial" w:eastAsia="Calibri" w:hAnsi="Arial" w:cs="Arial"/>
                <w:iCs/>
                <w:sz w:val="16"/>
                <w:szCs w:val="16"/>
                <w:lang w:val="en-US" w:eastAsia="en-US"/>
              </w:rPr>
              <w:t>Target: 4 or more cases studies per annum</w:t>
            </w:r>
          </w:p>
          <w:p w:rsidR="00F26644" w:rsidRPr="00D633C1" w:rsidRDefault="00BA7A7F" w:rsidP="00DD5740">
            <w:pPr>
              <w:keepLines w:val="0"/>
              <w:spacing w:before="60" w:after="60" w:line="240" w:lineRule="auto"/>
              <w:jc w:val="left"/>
              <w:rPr>
                <w:rFonts w:ascii="Arial" w:eastAsia="Calibri" w:hAnsi="Arial" w:cs="Arial"/>
                <w:iCs/>
                <w:sz w:val="16"/>
                <w:szCs w:val="16"/>
                <w:lang w:val="en-US" w:eastAsia="en-US"/>
              </w:rPr>
            </w:pPr>
            <w:r w:rsidRPr="00D633C1">
              <w:rPr>
                <w:rFonts w:ascii="Arial" w:eastAsia="Calibri" w:hAnsi="Arial" w:cs="Arial"/>
                <w:iCs/>
                <w:sz w:val="16"/>
                <w:szCs w:val="16"/>
                <w:lang w:val="en-US" w:eastAsia="en-US"/>
              </w:rPr>
              <w:t xml:space="preserve">Forecast actual: </w:t>
            </w:r>
            <w:r w:rsidRPr="00D633C1">
              <w:rPr>
                <w:rFonts w:ascii="Arial" w:eastAsia="Calibri" w:hAnsi="Arial" w:cs="Arial"/>
                <w:sz w:val="16"/>
                <w:szCs w:val="16"/>
                <w:lang w:val="en-US" w:eastAsia="x-none"/>
              </w:rPr>
              <w:t>T</w:t>
            </w:r>
            <w:r w:rsidRPr="00D633C1">
              <w:rPr>
                <w:rFonts w:ascii="Arial" w:eastAsia="Calibri" w:hAnsi="Arial" w:cs="Arial"/>
                <w:iCs/>
                <w:sz w:val="16"/>
                <w:szCs w:val="16"/>
                <w:lang w:val="en-US" w:eastAsia="en-US"/>
              </w:rPr>
              <w:t>arget achieved</w:t>
            </w:r>
          </w:p>
          <w:p w:rsidR="00F26644" w:rsidRPr="00D633C1" w:rsidRDefault="00F26644" w:rsidP="00DD5740">
            <w:pPr>
              <w:keepLines w:val="0"/>
              <w:spacing w:before="60" w:after="60" w:line="240" w:lineRule="auto"/>
              <w:jc w:val="left"/>
              <w:rPr>
                <w:rFonts w:ascii="Arial" w:eastAsia="Calibri" w:hAnsi="Arial" w:cs="Arial"/>
                <w:iCs/>
                <w:sz w:val="16"/>
                <w:szCs w:val="16"/>
                <w:lang w:val="en-US" w:eastAsia="en-US"/>
              </w:rPr>
            </w:pPr>
          </w:p>
          <w:p w:rsidR="00F26644" w:rsidRPr="00D633C1" w:rsidRDefault="00BA7A7F" w:rsidP="00DD5740">
            <w:pPr>
              <w:keepLines w:val="0"/>
              <w:spacing w:before="60" w:after="60" w:line="240" w:lineRule="auto"/>
              <w:jc w:val="left"/>
              <w:rPr>
                <w:rFonts w:ascii="Arial" w:eastAsia="Calibri" w:hAnsi="Arial" w:cs="Arial"/>
                <w:iCs/>
                <w:sz w:val="16"/>
                <w:szCs w:val="16"/>
                <w:lang w:val="en-US" w:eastAsia="en-US"/>
              </w:rPr>
            </w:pPr>
            <w:r w:rsidRPr="00D633C1">
              <w:rPr>
                <w:rFonts w:ascii="Arial" w:eastAsia="Calibri" w:hAnsi="Arial" w:cs="Arial"/>
                <w:iCs/>
                <w:sz w:val="16"/>
                <w:szCs w:val="16"/>
                <w:lang w:val="en-US" w:eastAsia="en-US"/>
              </w:rPr>
              <w:t xml:space="preserve">Facilitation of Australian participation and leadership in International Atomic Energy Agency (IAEA) and Regional Cooperative Agreement (RCA) programs </w:t>
            </w:r>
          </w:p>
          <w:p w:rsidR="00F26644" w:rsidRPr="00D633C1" w:rsidRDefault="00BA7A7F" w:rsidP="00DD5740">
            <w:pPr>
              <w:keepLines w:val="0"/>
              <w:spacing w:before="60" w:after="60" w:line="240" w:lineRule="auto"/>
              <w:jc w:val="left"/>
              <w:rPr>
                <w:rFonts w:ascii="Arial" w:eastAsia="Calibri" w:hAnsi="Arial" w:cs="Arial"/>
                <w:iCs/>
                <w:sz w:val="16"/>
                <w:szCs w:val="16"/>
                <w:lang w:val="en-US" w:eastAsia="en-US"/>
              </w:rPr>
            </w:pPr>
            <w:r w:rsidRPr="00D633C1">
              <w:rPr>
                <w:rFonts w:ascii="Arial" w:eastAsia="Calibri" w:hAnsi="Arial" w:cs="Arial"/>
                <w:iCs/>
                <w:sz w:val="16"/>
                <w:szCs w:val="16"/>
                <w:lang w:val="en-US" w:eastAsia="en-US"/>
              </w:rPr>
              <w:t>Target: Participation in 80 per cent of RCA active projects</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Forecast actual: Target achieved</w:t>
            </w:r>
          </w:p>
          <w:p w:rsidR="00F26644" w:rsidRPr="00F26644" w:rsidRDefault="00F26644" w:rsidP="00DD5740">
            <w:pPr>
              <w:keepLines w:val="0"/>
              <w:spacing w:before="60" w:after="60" w:line="240" w:lineRule="auto"/>
              <w:jc w:val="left"/>
              <w:rPr>
                <w:rFonts w:ascii="Arial" w:eastAsia="Calibri" w:hAnsi="Arial" w:cs="Arial"/>
                <w:iCs/>
                <w:sz w:val="16"/>
                <w:szCs w:val="16"/>
                <w:lang w:val="en-US" w:eastAsia="en-US"/>
              </w:rPr>
            </w:pP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leading at least 1 RCA project</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Forecast actual: Target achieved</w:t>
            </w:r>
          </w:p>
          <w:p w:rsidR="00F26644" w:rsidRPr="00F26644" w:rsidRDefault="00F26644" w:rsidP="00DD5740">
            <w:pPr>
              <w:keepLines w:val="0"/>
              <w:spacing w:before="60" w:after="60" w:line="240" w:lineRule="auto"/>
              <w:jc w:val="left"/>
              <w:rPr>
                <w:rFonts w:ascii="Arial" w:eastAsia="Calibri" w:hAnsi="Arial" w:cs="Arial"/>
                <w:iCs/>
                <w:sz w:val="16"/>
                <w:szCs w:val="16"/>
                <w:lang w:val="en-US" w:eastAsia="en-US"/>
              </w:rPr>
            </w:pP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Participation in at least 10 IAEA coordinated research projects relevant to nuclear applications.</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Forecast actual: Target achieved</w:t>
            </w:r>
          </w:p>
          <w:p w:rsidR="00F26644" w:rsidRPr="00F26644" w:rsidRDefault="00F26644" w:rsidP="00DD5740">
            <w:pPr>
              <w:keepLines w:val="0"/>
              <w:spacing w:before="60" w:after="60" w:line="240" w:lineRule="auto"/>
              <w:jc w:val="left"/>
              <w:rPr>
                <w:rFonts w:ascii="Arial" w:eastAsia="Calibri" w:hAnsi="Arial" w:cs="Arial"/>
                <w:iCs/>
                <w:sz w:val="16"/>
                <w:szCs w:val="16"/>
                <w:lang w:val="en-US" w:eastAsia="en-US"/>
              </w:rPr>
            </w:pP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Case studies to highlight and assess the impact of ANSTO engagement with international stakeholders</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at least 2 per annum</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Forecast actual: Target achieved</w:t>
            </w:r>
          </w:p>
        </w:tc>
      </w:tr>
      <w:tr w:rsidR="00253274" w:rsidTr="00DD41BC">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sz w:val="16"/>
                <w:szCs w:val="16"/>
              </w:rPr>
            </w:pPr>
          </w:p>
        </w:tc>
        <w:tc>
          <w:tcPr>
            <w:tcW w:w="2943" w:type="dxa"/>
            <w:tcBorders>
              <w:top w:val="dashed"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Share with the general public research outcomes enabled by ANSTO</w:t>
            </w:r>
            <w:r>
              <w:rPr>
                <w:rFonts w:ascii="Arial" w:eastAsia="Calibri" w:hAnsi="Arial" w:cs="Arial"/>
                <w:iCs/>
                <w:sz w:val="16"/>
                <w:szCs w:val="16"/>
                <w:lang w:val="en-US" w:eastAsia="en-US"/>
              </w:rPr>
              <w:t>.</w:t>
            </w:r>
          </w:p>
        </w:tc>
        <w:tc>
          <w:tcPr>
            <w:tcW w:w="3402" w:type="dxa"/>
            <w:tcBorders>
              <w:top w:val="dashed"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at least 36 stories published on the ANSTO website per annum</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Forecast Actual: Target achieved</w:t>
            </w:r>
          </w:p>
        </w:tc>
      </w:tr>
      <w:tr w:rsidR="00253274" w:rsidTr="00DD41BC">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sz w:val="16"/>
                <w:szCs w:val="16"/>
              </w:rPr>
            </w:pPr>
          </w:p>
        </w:tc>
        <w:tc>
          <w:tcPr>
            <w:tcW w:w="2943" w:type="dxa"/>
            <w:tcBorders>
              <w:top w:val="dashed"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Offer a range of resources for teachers and student to support the national science curriculum outcomes for years 3 to 12</w:t>
            </w:r>
            <w:r>
              <w:rPr>
                <w:rFonts w:ascii="Arial" w:eastAsia="Calibri" w:hAnsi="Arial" w:cs="Arial"/>
                <w:iCs/>
                <w:sz w:val="16"/>
                <w:szCs w:val="16"/>
                <w:lang w:val="en-US" w:eastAsia="en-US"/>
              </w:rPr>
              <w:t>.</w:t>
            </w:r>
          </w:p>
        </w:tc>
        <w:tc>
          <w:tcPr>
            <w:tcW w:w="3402" w:type="dxa"/>
            <w:tcBorders>
              <w:top w:val="dashed"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Deliver at least six national programs per annum</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Forecast actual: Target achieved</w:t>
            </w:r>
          </w:p>
        </w:tc>
      </w:tr>
      <w:tr w:rsidR="00253274" w:rsidTr="00DD41BC">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sz w:val="16"/>
                <w:szCs w:val="16"/>
              </w:rPr>
            </w:pPr>
          </w:p>
        </w:tc>
        <w:tc>
          <w:tcPr>
            <w:tcW w:w="2943" w:type="dxa"/>
            <w:tcBorders>
              <w:top w:val="dashed"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Increase accessibility of STEM teacher training programs</w:t>
            </w:r>
            <w:r>
              <w:rPr>
                <w:rFonts w:ascii="Arial" w:eastAsia="Calibri" w:hAnsi="Arial" w:cs="Arial"/>
                <w:iCs/>
                <w:sz w:val="16"/>
                <w:szCs w:val="16"/>
                <w:lang w:val="en-US" w:eastAsia="en-US"/>
              </w:rPr>
              <w:t>.</w:t>
            </w:r>
          </w:p>
        </w:tc>
        <w:tc>
          <w:tcPr>
            <w:tcW w:w="3402" w:type="dxa"/>
            <w:tcBorders>
              <w:top w:val="dashed"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Deliver teacher professional development days in all states and territories</w:t>
            </w:r>
          </w:p>
          <w:p w:rsidR="00F26644" w:rsidRPr="00F26644" w:rsidRDefault="00BA7A7F" w:rsidP="00DD5740">
            <w:pPr>
              <w:keepLines w:val="0"/>
              <w:spacing w:before="60" w:after="60" w:line="240" w:lineRule="auto"/>
              <w:jc w:val="left"/>
              <w:rPr>
                <w:rFonts w:ascii="Arial" w:eastAsia="Calibri" w:hAnsi="Arial" w:cs="Arial"/>
                <w:iCs/>
                <w:sz w:val="16"/>
                <w:szCs w:val="16"/>
                <w:vertAlign w:val="superscript"/>
                <w:lang w:val="en-US" w:eastAsia="en-US"/>
              </w:rPr>
            </w:pPr>
            <w:r w:rsidRPr="00F26644">
              <w:rPr>
                <w:rFonts w:ascii="Arial" w:eastAsia="Calibri" w:hAnsi="Arial" w:cs="Arial"/>
                <w:iCs/>
                <w:sz w:val="16"/>
                <w:szCs w:val="16"/>
                <w:lang w:val="en-US" w:eastAsia="en-US"/>
              </w:rPr>
              <w:t>Forecast actual: 6 sessions</w:t>
            </w:r>
            <w:r>
              <w:rPr>
                <w:rFonts w:ascii="Arial" w:eastAsia="Calibri" w:hAnsi="Arial" w:cs="Arial"/>
                <w:iCs/>
                <w:sz w:val="16"/>
                <w:szCs w:val="16"/>
                <w:lang w:val="en-US" w:eastAsia="en-US"/>
              </w:rPr>
              <w:t xml:space="preserve"> (f)</w:t>
            </w:r>
          </w:p>
        </w:tc>
      </w:tr>
      <w:tr w:rsidR="00253274" w:rsidTr="00DD41BC">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sz w:val="16"/>
                <w:szCs w:val="16"/>
              </w:rPr>
            </w:pPr>
          </w:p>
        </w:tc>
        <w:tc>
          <w:tcPr>
            <w:tcW w:w="2943" w:type="dxa"/>
            <w:tcBorders>
              <w:top w:val="dashed"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Conduct educational tours and science experiences at ANSTO’s Sydney and Melbourne campuses</w:t>
            </w:r>
            <w:r>
              <w:rPr>
                <w:rFonts w:ascii="Arial" w:eastAsia="Calibri" w:hAnsi="Arial" w:cs="Arial"/>
                <w:iCs/>
                <w:sz w:val="16"/>
                <w:szCs w:val="16"/>
                <w:lang w:val="en-US" w:eastAsia="en-US"/>
              </w:rPr>
              <w:t>.</w:t>
            </w:r>
          </w:p>
        </w:tc>
        <w:tc>
          <w:tcPr>
            <w:tcW w:w="3402" w:type="dxa"/>
            <w:tcBorders>
              <w:top w:val="dashed"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At least 15,000 visitors per annum</w:t>
            </w:r>
          </w:p>
          <w:p w:rsidR="00F26644" w:rsidRPr="00F26644" w:rsidRDefault="00BA7A7F" w:rsidP="00DD5740">
            <w:pPr>
              <w:keepLines w:val="0"/>
              <w:spacing w:before="60" w:after="60" w:line="240" w:lineRule="auto"/>
              <w:jc w:val="left"/>
              <w:rPr>
                <w:rFonts w:ascii="Arial" w:eastAsia="Calibri" w:hAnsi="Arial" w:cs="Arial"/>
                <w:iCs/>
                <w:sz w:val="16"/>
                <w:szCs w:val="16"/>
                <w:vertAlign w:val="superscript"/>
                <w:lang w:val="en-US" w:eastAsia="en-US"/>
              </w:rPr>
            </w:pPr>
            <w:r w:rsidRPr="00F26644">
              <w:rPr>
                <w:rFonts w:ascii="Arial" w:eastAsia="Calibri" w:hAnsi="Arial" w:cs="Arial"/>
                <w:iCs/>
                <w:sz w:val="16"/>
                <w:szCs w:val="16"/>
                <w:lang w:val="en-US" w:eastAsia="en-US"/>
              </w:rPr>
              <w:t>Forecast actual: 8,000</w:t>
            </w:r>
            <w:r>
              <w:rPr>
                <w:rFonts w:ascii="Arial" w:eastAsia="Calibri" w:hAnsi="Arial" w:cs="Arial"/>
                <w:iCs/>
                <w:sz w:val="16"/>
                <w:szCs w:val="16"/>
                <w:lang w:val="en-US" w:eastAsia="en-US"/>
              </w:rPr>
              <w:t xml:space="preserve"> (g)</w:t>
            </w:r>
          </w:p>
        </w:tc>
      </w:tr>
      <w:tr w:rsidR="00253274" w:rsidTr="00DD41BC">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sz w:val="16"/>
                <w:szCs w:val="16"/>
              </w:rPr>
            </w:pPr>
          </w:p>
        </w:tc>
        <w:tc>
          <w:tcPr>
            <w:tcW w:w="2943" w:type="dxa"/>
            <w:tcBorders>
              <w:top w:val="dashed"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 xml:space="preserve">Leadership teams </w:t>
            </w:r>
            <w:r>
              <w:rPr>
                <w:rFonts w:ascii="Arial" w:eastAsia="Calibri" w:hAnsi="Arial" w:cs="Arial"/>
                <w:iCs/>
                <w:sz w:val="16"/>
                <w:szCs w:val="16"/>
                <w:lang w:val="en-US" w:eastAsia="en-US"/>
              </w:rPr>
              <w:t>–</w:t>
            </w:r>
            <w:r w:rsidRPr="00F26644">
              <w:rPr>
                <w:rFonts w:ascii="Arial" w:eastAsia="Calibri" w:hAnsi="Arial" w:cs="Arial"/>
                <w:iCs/>
                <w:sz w:val="16"/>
                <w:szCs w:val="16"/>
                <w:lang w:val="en-US" w:eastAsia="en-US"/>
              </w:rPr>
              <w:t xml:space="preserve"> representation</w:t>
            </w:r>
            <w:r>
              <w:rPr>
                <w:rFonts w:ascii="Arial" w:eastAsia="Calibri" w:hAnsi="Arial" w:cs="Arial"/>
                <w:iCs/>
                <w:sz w:val="16"/>
                <w:szCs w:val="16"/>
                <w:lang w:val="en-US" w:eastAsia="en-US"/>
              </w:rPr>
              <w:t>.</w:t>
            </w:r>
          </w:p>
        </w:tc>
        <w:tc>
          <w:tcPr>
            <w:tcW w:w="3402" w:type="dxa"/>
            <w:tcBorders>
              <w:top w:val="dashed" w:sz="4" w:space="0" w:color="auto"/>
              <w:left w:val="single" w:sz="4" w:space="0" w:color="auto"/>
              <w:bottom w:val="single" w:sz="4" w:space="0" w:color="auto"/>
              <w:right w:val="single" w:sz="4" w:space="0" w:color="auto"/>
            </w:tcBorders>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Pr>
                <w:rFonts w:ascii="Arial" w:eastAsia="Calibri" w:hAnsi="Arial" w:cs="Arial"/>
                <w:iCs/>
                <w:sz w:val="16"/>
                <w:szCs w:val="16"/>
                <w:lang w:val="en-US" w:eastAsia="en-US"/>
              </w:rPr>
              <w:t>Female: 40%</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Pr>
                <w:rFonts w:ascii="Arial" w:eastAsia="Calibri" w:hAnsi="Arial" w:cs="Arial"/>
                <w:iCs/>
                <w:sz w:val="16"/>
                <w:szCs w:val="16"/>
                <w:lang w:val="en-US" w:eastAsia="en-US"/>
              </w:rPr>
              <w:t>Male: 40%</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Discretionary: 20</w:t>
            </w:r>
            <w:r w:rsidR="00D411C6">
              <w:rPr>
                <w:rFonts w:ascii="Arial" w:eastAsia="Calibri" w:hAnsi="Arial" w:cs="Arial"/>
                <w:iCs/>
                <w:sz w:val="16"/>
                <w:szCs w:val="16"/>
                <w:lang w:val="en-US" w:eastAsia="en-US"/>
              </w:rPr>
              <w:t>%</w:t>
            </w:r>
          </w:p>
          <w:p w:rsidR="00F26644" w:rsidRPr="00F26644" w:rsidRDefault="00F26644" w:rsidP="00DD5740">
            <w:pPr>
              <w:keepLines w:val="0"/>
              <w:spacing w:before="60" w:after="60" w:line="240" w:lineRule="auto"/>
              <w:jc w:val="left"/>
              <w:rPr>
                <w:rFonts w:ascii="Arial" w:eastAsia="Calibri" w:hAnsi="Arial" w:cs="Arial"/>
                <w:iCs/>
                <w:sz w:val="16"/>
                <w:szCs w:val="16"/>
                <w:lang w:val="en-US" w:eastAsia="en-US"/>
              </w:rPr>
            </w:pP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Forecast actual</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Pr>
                <w:rFonts w:ascii="Arial" w:eastAsia="Calibri" w:hAnsi="Arial" w:cs="Arial"/>
                <w:iCs/>
                <w:sz w:val="16"/>
                <w:szCs w:val="16"/>
                <w:lang w:val="en-US" w:eastAsia="en-US"/>
              </w:rPr>
              <w:t>Female: 25%</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Male: 75</w:t>
            </w:r>
            <w:r w:rsidR="00D411C6">
              <w:rPr>
                <w:rFonts w:ascii="Arial" w:eastAsia="Calibri" w:hAnsi="Arial" w:cs="Arial"/>
                <w:iCs/>
                <w:sz w:val="16"/>
                <w:szCs w:val="16"/>
                <w:lang w:val="en-US" w:eastAsia="en-US"/>
              </w:rPr>
              <w:t>%</w:t>
            </w:r>
          </w:p>
        </w:tc>
      </w:tr>
      <w:tr w:rsidR="00253274" w:rsidTr="00DD41BC">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sz w:val="16"/>
                <w:szCs w:val="16"/>
              </w:rPr>
            </w:pPr>
          </w:p>
        </w:tc>
        <w:tc>
          <w:tcPr>
            <w:tcW w:w="2943" w:type="dxa"/>
            <w:tcBorders>
              <w:top w:val="dashed"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 xml:space="preserve">ANSTO wide </w:t>
            </w:r>
            <w:r>
              <w:rPr>
                <w:rFonts w:ascii="Arial" w:eastAsia="Calibri" w:hAnsi="Arial" w:cs="Arial"/>
                <w:iCs/>
                <w:sz w:val="16"/>
                <w:szCs w:val="16"/>
                <w:lang w:val="en-US" w:eastAsia="en-US"/>
              </w:rPr>
              <w:t>–</w:t>
            </w:r>
            <w:r w:rsidRPr="00F26644">
              <w:rPr>
                <w:rFonts w:ascii="Arial" w:eastAsia="Calibri" w:hAnsi="Arial" w:cs="Arial"/>
                <w:iCs/>
                <w:sz w:val="16"/>
                <w:szCs w:val="16"/>
                <w:lang w:val="en-US" w:eastAsia="en-US"/>
              </w:rPr>
              <w:t xml:space="preserve"> representation</w:t>
            </w:r>
            <w:r>
              <w:rPr>
                <w:rFonts w:ascii="Arial" w:eastAsia="Calibri" w:hAnsi="Arial" w:cs="Arial"/>
                <w:iCs/>
                <w:sz w:val="16"/>
                <w:szCs w:val="16"/>
                <w:lang w:val="en-US" w:eastAsia="en-US"/>
              </w:rPr>
              <w:t>.</w:t>
            </w:r>
          </w:p>
        </w:tc>
        <w:tc>
          <w:tcPr>
            <w:tcW w:w="3402" w:type="dxa"/>
            <w:tcBorders>
              <w:top w:val="dashed" w:sz="4" w:space="0" w:color="auto"/>
              <w:left w:val="single" w:sz="4" w:space="0" w:color="auto"/>
              <w:bottom w:val="single" w:sz="4" w:space="0" w:color="auto"/>
              <w:right w:val="single" w:sz="4" w:space="0" w:color="auto"/>
            </w:tcBorders>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Female: 40</w:t>
            </w:r>
            <w:r w:rsidR="00D411C6">
              <w:rPr>
                <w:rFonts w:ascii="Arial" w:eastAsia="Calibri" w:hAnsi="Arial" w:cs="Arial"/>
                <w:iCs/>
                <w:sz w:val="16"/>
                <w:szCs w:val="16"/>
                <w:lang w:val="en-US" w:eastAsia="en-US"/>
              </w:rPr>
              <w:t>%</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Male: 40</w:t>
            </w:r>
            <w:r w:rsidR="00D411C6">
              <w:rPr>
                <w:rFonts w:ascii="Arial" w:eastAsia="Calibri" w:hAnsi="Arial" w:cs="Arial"/>
                <w:iCs/>
                <w:sz w:val="16"/>
                <w:szCs w:val="16"/>
                <w:lang w:val="en-US" w:eastAsia="en-US"/>
              </w:rPr>
              <w:t>%</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Discretionary: 20</w:t>
            </w:r>
            <w:r w:rsidR="00D411C6">
              <w:rPr>
                <w:rFonts w:ascii="Arial" w:eastAsia="Calibri" w:hAnsi="Arial" w:cs="Arial"/>
                <w:iCs/>
                <w:sz w:val="16"/>
                <w:szCs w:val="16"/>
                <w:lang w:val="en-US" w:eastAsia="en-US"/>
              </w:rPr>
              <w:t>%</w:t>
            </w:r>
          </w:p>
          <w:p w:rsidR="00F26644" w:rsidRPr="00F26644" w:rsidRDefault="00F26644" w:rsidP="00DD5740">
            <w:pPr>
              <w:keepLines w:val="0"/>
              <w:spacing w:before="60" w:after="60" w:line="240" w:lineRule="auto"/>
              <w:jc w:val="left"/>
              <w:rPr>
                <w:rFonts w:ascii="Arial" w:eastAsia="Calibri" w:hAnsi="Arial" w:cs="Arial"/>
                <w:iCs/>
                <w:sz w:val="16"/>
                <w:szCs w:val="16"/>
                <w:lang w:val="en-US" w:eastAsia="en-US"/>
              </w:rPr>
            </w:pP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Forecast actual</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Female: 32</w:t>
            </w:r>
            <w:r w:rsidR="00D411C6">
              <w:rPr>
                <w:rFonts w:ascii="Arial" w:eastAsia="Calibri" w:hAnsi="Arial" w:cs="Arial"/>
                <w:iCs/>
                <w:sz w:val="16"/>
                <w:szCs w:val="16"/>
                <w:lang w:val="en-US" w:eastAsia="en-US"/>
              </w:rPr>
              <w:t>%</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Male: 68</w:t>
            </w:r>
            <w:r w:rsidR="00D411C6">
              <w:rPr>
                <w:rFonts w:ascii="Arial" w:eastAsia="Calibri" w:hAnsi="Arial" w:cs="Arial"/>
                <w:iCs/>
                <w:sz w:val="16"/>
                <w:szCs w:val="16"/>
                <w:lang w:val="en-US" w:eastAsia="en-US"/>
              </w:rPr>
              <w:t>%</w:t>
            </w:r>
          </w:p>
        </w:tc>
      </w:tr>
      <w:tr w:rsidR="00253274" w:rsidTr="00DD41BC">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sz w:val="16"/>
                <w:szCs w:val="16"/>
              </w:rPr>
            </w:pPr>
          </w:p>
        </w:tc>
        <w:tc>
          <w:tcPr>
            <w:tcW w:w="2943" w:type="dxa"/>
            <w:tcBorders>
              <w:top w:val="dashed"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Postgraduates supervised</w:t>
            </w:r>
            <w:r>
              <w:rPr>
                <w:rFonts w:ascii="Arial" w:eastAsia="Calibri" w:hAnsi="Arial" w:cs="Arial"/>
                <w:iCs/>
                <w:sz w:val="16"/>
                <w:szCs w:val="16"/>
                <w:lang w:val="en-US" w:eastAsia="en-US"/>
              </w:rPr>
              <w:t>.</w:t>
            </w:r>
          </w:p>
        </w:tc>
        <w:tc>
          <w:tcPr>
            <w:tcW w:w="3402" w:type="dxa"/>
            <w:tcBorders>
              <w:top w:val="dashed"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120</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Forecast actual: 156</w:t>
            </w:r>
          </w:p>
        </w:tc>
      </w:tr>
      <w:tr w:rsidR="00253274" w:rsidTr="001D108E">
        <w:trPr>
          <w:trHeight w:val="100"/>
        </w:trPr>
        <w:tc>
          <w:tcPr>
            <w:tcW w:w="1560" w:type="dxa"/>
            <w:tcBorders>
              <w:top w:val="single" w:sz="4" w:space="0" w:color="auto"/>
              <w:left w:val="single" w:sz="4" w:space="0" w:color="auto"/>
              <w:bottom w:val="dotted" w:sz="4" w:space="0" w:color="auto"/>
              <w:right w:val="single" w:sz="4" w:space="0" w:color="auto"/>
            </w:tcBorders>
          </w:tcPr>
          <w:p w:rsidR="00F26644" w:rsidRPr="00F26644" w:rsidRDefault="00BA7A7F" w:rsidP="00F26644">
            <w:pPr>
              <w:keepLines w:val="0"/>
              <w:spacing w:before="60" w:after="60" w:line="240" w:lineRule="auto"/>
              <w:jc w:val="left"/>
              <w:rPr>
                <w:rFonts w:ascii="Arial" w:eastAsia="Calibri" w:hAnsi="Arial" w:cs="Arial"/>
                <w:b/>
                <w:sz w:val="16"/>
                <w:szCs w:val="16"/>
                <w:lang w:val="en-US" w:eastAsia="en-US"/>
              </w:rPr>
            </w:pPr>
            <w:r w:rsidRPr="00F26644">
              <w:rPr>
                <w:rFonts w:ascii="Arial" w:eastAsia="Calibri" w:hAnsi="Arial" w:cs="Arial"/>
                <w:b/>
                <w:sz w:val="16"/>
                <w:szCs w:val="16"/>
                <w:lang w:val="en-US" w:eastAsia="en-US"/>
              </w:rPr>
              <w:t>Year</w:t>
            </w:r>
          </w:p>
        </w:tc>
        <w:tc>
          <w:tcPr>
            <w:tcW w:w="2943" w:type="dxa"/>
            <w:tcBorders>
              <w:top w:val="single"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b/>
                <w:sz w:val="16"/>
                <w:szCs w:val="16"/>
                <w:lang w:val="en-US" w:eastAsia="en-US"/>
              </w:rPr>
            </w:pPr>
            <w:r w:rsidRPr="00F26644">
              <w:rPr>
                <w:rFonts w:ascii="Arial" w:eastAsia="Calibri" w:hAnsi="Arial" w:cs="Arial"/>
                <w:b/>
                <w:sz w:val="16"/>
                <w:szCs w:val="16"/>
                <w:lang w:val="en-US" w:eastAsia="en-US"/>
              </w:rPr>
              <w:t>Performance measures</w:t>
            </w:r>
          </w:p>
        </w:tc>
        <w:tc>
          <w:tcPr>
            <w:tcW w:w="3402" w:type="dxa"/>
            <w:tcBorders>
              <w:top w:val="single"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b/>
                <w:sz w:val="16"/>
                <w:szCs w:val="16"/>
                <w:lang w:val="en-US" w:eastAsia="en-US"/>
              </w:rPr>
            </w:pPr>
            <w:r w:rsidRPr="00F26644">
              <w:rPr>
                <w:rFonts w:ascii="Arial" w:eastAsia="Calibri" w:hAnsi="Arial" w:cs="Arial"/>
                <w:b/>
                <w:sz w:val="16"/>
                <w:szCs w:val="16"/>
                <w:lang w:val="en-US" w:eastAsia="en-US"/>
              </w:rPr>
              <w:t>Planned Performance Results</w:t>
            </w:r>
          </w:p>
        </w:tc>
      </w:tr>
      <w:tr w:rsidR="00253274" w:rsidTr="001D108E">
        <w:trPr>
          <w:trHeight w:val="144"/>
        </w:trPr>
        <w:tc>
          <w:tcPr>
            <w:tcW w:w="1560" w:type="dxa"/>
            <w:vMerge w:val="restart"/>
            <w:tcBorders>
              <w:top w:val="single" w:sz="4" w:space="0" w:color="auto"/>
              <w:left w:val="single" w:sz="4" w:space="0" w:color="auto"/>
              <w:bottom w:val="single" w:sz="4" w:space="0" w:color="auto"/>
              <w:right w:val="single" w:sz="4" w:space="0" w:color="auto"/>
            </w:tcBorders>
            <w:hideMark/>
          </w:tcPr>
          <w:p w:rsidR="00F26644" w:rsidRPr="00D411C6" w:rsidRDefault="00BA7A7F" w:rsidP="00F26644">
            <w:pPr>
              <w:keepLines w:val="0"/>
              <w:spacing w:before="60" w:after="60" w:line="240" w:lineRule="auto"/>
              <w:jc w:val="left"/>
              <w:rPr>
                <w:rFonts w:ascii="Arial" w:eastAsia="Calibri" w:hAnsi="Arial" w:cs="Arial"/>
                <w:sz w:val="16"/>
                <w:szCs w:val="16"/>
                <w:bdr w:val="none" w:sz="0" w:space="0" w:color="auto" w:frame="1"/>
                <w:lang w:val="en-US" w:eastAsia="en-US"/>
              </w:rPr>
            </w:pPr>
            <w:r w:rsidRPr="00D411C6">
              <w:rPr>
                <w:rFonts w:ascii="Arial" w:eastAsia="Calibri" w:hAnsi="Arial" w:cs="Arial"/>
                <w:sz w:val="16"/>
                <w:szCs w:val="16"/>
                <w:bdr w:val="none" w:sz="0" w:space="0" w:color="auto" w:frame="1"/>
                <w:lang w:val="en-US" w:eastAsia="en-US"/>
              </w:rPr>
              <w:t>Budget Year</w:t>
            </w:r>
          </w:p>
          <w:p w:rsidR="00F26644" w:rsidRPr="00F26644" w:rsidRDefault="00BA7A7F" w:rsidP="00F26644">
            <w:pPr>
              <w:keepLines w:val="0"/>
              <w:spacing w:before="60" w:after="60" w:line="240" w:lineRule="auto"/>
              <w:jc w:val="left"/>
              <w:rPr>
                <w:rFonts w:ascii="Arial" w:eastAsia="Calibri" w:hAnsi="Arial" w:cs="Arial"/>
                <w:sz w:val="18"/>
                <w:szCs w:val="22"/>
                <w:lang w:val="en-US" w:eastAsia="en-US"/>
              </w:rPr>
            </w:pPr>
            <w:r w:rsidRPr="00D411C6">
              <w:rPr>
                <w:rFonts w:ascii="Arial" w:eastAsia="Calibri" w:hAnsi="Arial" w:cs="Arial"/>
                <w:sz w:val="16"/>
                <w:szCs w:val="16"/>
                <w:bdr w:val="none" w:sz="0" w:space="0" w:color="auto" w:frame="1"/>
                <w:lang w:val="en-US" w:eastAsia="en-US"/>
              </w:rPr>
              <w:t>2022-23</w:t>
            </w:r>
          </w:p>
        </w:tc>
        <w:tc>
          <w:tcPr>
            <w:tcW w:w="2943" w:type="dxa"/>
            <w:tcBorders>
              <w:top w:val="single"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
                <w:sz w:val="16"/>
                <w:szCs w:val="16"/>
                <w:lang w:val="en-US" w:eastAsia="en-US"/>
              </w:rPr>
            </w:pPr>
            <w:r w:rsidRPr="00F26644">
              <w:rPr>
                <w:rFonts w:ascii="Arial" w:eastAsia="Calibri" w:hAnsi="Arial" w:cs="Arial"/>
                <w:sz w:val="16"/>
                <w:szCs w:val="16"/>
                <w:bdr w:val="none" w:sz="0" w:space="0" w:color="auto" w:frame="1"/>
                <w:lang w:val="en-US" w:eastAsia="en-US"/>
              </w:rPr>
              <w:t>Full utilisation of landmark infrastructure</w:t>
            </w:r>
            <w:r>
              <w:rPr>
                <w:rFonts w:ascii="Arial" w:eastAsia="Calibri" w:hAnsi="Arial" w:cs="Arial"/>
                <w:sz w:val="16"/>
                <w:szCs w:val="16"/>
                <w:bdr w:val="none" w:sz="0" w:space="0" w:color="auto" w:frame="1"/>
                <w:lang w:val="en-US" w:eastAsia="en-US"/>
              </w:rPr>
              <w:t>.</w:t>
            </w:r>
          </w:p>
        </w:tc>
        <w:tc>
          <w:tcPr>
            <w:tcW w:w="3402" w:type="dxa"/>
            <w:tcBorders>
              <w:top w:val="single" w:sz="4" w:space="0" w:color="auto"/>
              <w:left w:val="single" w:sz="4" w:space="0" w:color="auto"/>
              <w:bottom w:val="single" w:sz="4" w:space="0" w:color="auto"/>
              <w:right w:val="single" w:sz="4" w:space="0" w:color="auto"/>
            </w:tcBorders>
          </w:tcPr>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OPAL Research Reactor: days at power</w:t>
            </w: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Target: 300 days</w:t>
            </w:r>
          </w:p>
          <w:p w:rsidR="00F26644" w:rsidRPr="00F26644" w:rsidRDefault="00F26644"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 xml:space="preserve">Australian Synchrotron: percentage utilisation </w:t>
            </w: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Annual Target: 95%</w:t>
            </w:r>
          </w:p>
          <w:p w:rsidR="00F26644" w:rsidRPr="00F26644" w:rsidRDefault="00F26644"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Neutron beam instruments: percentage utilisation</w:t>
            </w: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Annual Target: 85%</w:t>
            </w:r>
          </w:p>
          <w:p w:rsidR="00F26644" w:rsidRPr="00F26644" w:rsidRDefault="00F26644"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Accelerators: percentage utilisation</w:t>
            </w: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Annual Target: 65%</w:t>
            </w:r>
          </w:p>
          <w:p w:rsidR="00F26644" w:rsidRPr="00F26644" w:rsidRDefault="00F26644" w:rsidP="00DD5740">
            <w:pPr>
              <w:keepLines w:val="0"/>
              <w:tabs>
                <w:tab w:val="left" w:pos="709"/>
              </w:tabs>
              <w:spacing w:before="60" w:after="60" w:line="240" w:lineRule="auto"/>
              <w:jc w:val="left"/>
              <w:rPr>
                <w:rFonts w:ascii="Arial" w:eastAsia="Calibri" w:hAnsi="Arial" w:cs="Arial"/>
                <w:b/>
                <w:sz w:val="16"/>
                <w:szCs w:val="16"/>
                <w:bdr w:val="none" w:sz="0" w:space="0" w:color="auto" w:frame="1"/>
              </w:rPr>
            </w:pPr>
          </w:p>
          <w:p w:rsidR="00F26644" w:rsidRPr="00F26644" w:rsidRDefault="00BA7A7F" w:rsidP="00DD5740">
            <w:pPr>
              <w:keepLines w:val="0"/>
              <w:tabs>
                <w:tab w:val="left" w:pos="709"/>
              </w:tabs>
              <w:spacing w:before="60" w:after="60" w:line="240" w:lineRule="auto"/>
              <w:jc w:val="left"/>
              <w:rPr>
                <w:rFonts w:ascii="Arial" w:hAnsi="Arial" w:cs="Arial"/>
                <w:sz w:val="16"/>
                <w:szCs w:val="16"/>
              </w:rPr>
            </w:pPr>
            <w:r w:rsidRPr="00F26644">
              <w:rPr>
                <w:rFonts w:ascii="Arial" w:hAnsi="Arial" w:cs="Arial"/>
                <w:sz w:val="16"/>
                <w:szCs w:val="16"/>
              </w:rPr>
              <w:t>National deuteration facility percentage utilisation</w:t>
            </w: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Annual Target: 90%</w:t>
            </w:r>
          </w:p>
          <w:p w:rsidR="00F26644" w:rsidRPr="00F26644" w:rsidRDefault="00F26644" w:rsidP="00DD5740">
            <w:pPr>
              <w:keepLines w:val="0"/>
              <w:tabs>
                <w:tab w:val="left" w:pos="709"/>
              </w:tabs>
              <w:spacing w:before="60" w:after="60" w:line="240" w:lineRule="auto"/>
              <w:jc w:val="left"/>
              <w:rPr>
                <w:rFonts w:ascii="Arial" w:hAnsi="Arial" w:cs="Arial"/>
                <w:sz w:val="16"/>
                <w:szCs w:val="16"/>
              </w:rPr>
            </w:pPr>
          </w:p>
          <w:p w:rsidR="00F26644" w:rsidRPr="00F26644" w:rsidRDefault="00BA7A7F" w:rsidP="00DD5740">
            <w:pPr>
              <w:keepLines w:val="0"/>
              <w:tabs>
                <w:tab w:val="left" w:pos="709"/>
              </w:tabs>
              <w:spacing w:before="60" w:after="60" w:line="240" w:lineRule="auto"/>
              <w:jc w:val="left"/>
              <w:rPr>
                <w:rFonts w:ascii="Arial" w:hAnsi="Arial" w:cs="Arial"/>
                <w:sz w:val="16"/>
                <w:szCs w:val="16"/>
              </w:rPr>
            </w:pPr>
            <w:r w:rsidRPr="00F26644">
              <w:rPr>
                <w:rFonts w:ascii="Arial" w:hAnsi="Arial" w:cs="Arial"/>
                <w:sz w:val="16"/>
                <w:szCs w:val="16"/>
              </w:rPr>
              <w:t>User satisfaction (Net Promoter Score) across all facilities:</w:t>
            </w:r>
          </w:p>
          <w:p w:rsidR="00F26644" w:rsidRPr="00F26644" w:rsidRDefault="00BA7A7F" w:rsidP="00DD5740">
            <w:pPr>
              <w:keepLines w:val="0"/>
              <w:tabs>
                <w:tab w:val="left" w:pos="709"/>
              </w:tabs>
              <w:spacing w:before="60" w:after="60" w:line="240" w:lineRule="auto"/>
              <w:jc w:val="left"/>
              <w:rPr>
                <w:rFonts w:eastAsia="Calibri" w:cs="Arial"/>
                <w:sz w:val="16"/>
                <w:szCs w:val="16"/>
                <w:bdr w:val="none" w:sz="0" w:space="0" w:color="auto" w:frame="1"/>
              </w:rPr>
            </w:pPr>
            <w:r>
              <w:rPr>
                <w:rFonts w:ascii="Arial" w:hAnsi="Arial" w:cs="Arial"/>
                <w:sz w:val="16"/>
                <w:szCs w:val="16"/>
              </w:rPr>
              <w:t>Annual Target: 90%</w:t>
            </w:r>
          </w:p>
        </w:tc>
      </w:tr>
      <w:tr w:rsidR="00253274" w:rsidTr="001D108E">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sz w:val="18"/>
              </w:rPr>
            </w:pPr>
          </w:p>
        </w:tc>
        <w:tc>
          <w:tcPr>
            <w:tcW w:w="2943" w:type="dxa"/>
            <w:tcBorders>
              <w:top w:val="single"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hAnsi="Arial"/>
                <w:i/>
                <w:sz w:val="16"/>
                <w:szCs w:val="16"/>
                <w:lang w:val="en-US" w:eastAsia="en-US"/>
              </w:rPr>
            </w:pPr>
            <w:r w:rsidRPr="00F26644">
              <w:rPr>
                <w:rFonts w:ascii="Arial" w:eastAsia="Calibri" w:hAnsi="Arial" w:cs="Arial"/>
                <w:iCs/>
                <w:sz w:val="16"/>
                <w:szCs w:val="16"/>
                <w:lang w:val="en-US" w:eastAsia="en-US"/>
              </w:rPr>
              <w:t>Ensure the reliable and sustainable supply of nuclear medicines</w:t>
            </w:r>
            <w:r>
              <w:rPr>
                <w:rFonts w:ascii="Arial" w:eastAsia="Calibri" w:hAnsi="Arial" w:cs="Arial"/>
                <w:iCs/>
                <w:sz w:val="16"/>
                <w:szCs w:val="16"/>
                <w:lang w:val="en-US" w:eastAsia="en-US"/>
              </w:rPr>
              <w:t>.</w:t>
            </w:r>
          </w:p>
        </w:tc>
        <w:tc>
          <w:tcPr>
            <w:tcW w:w="3402" w:type="dxa"/>
            <w:tcBorders>
              <w:top w:val="single" w:sz="4" w:space="0" w:color="auto"/>
              <w:left w:val="single" w:sz="4" w:space="0" w:color="auto"/>
              <w:bottom w:val="single" w:sz="4" w:space="0" w:color="auto"/>
              <w:right w:val="single" w:sz="4" w:space="0" w:color="auto"/>
            </w:tcBorders>
          </w:tcPr>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ANM (Mo-99): delivery in full and on time</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Target: 95</w:t>
            </w:r>
            <w:r w:rsidR="00D411C6">
              <w:rPr>
                <w:rFonts w:ascii="Arial" w:hAnsi="Arial" w:cs="Arial"/>
                <w:sz w:val="16"/>
                <w:szCs w:val="16"/>
              </w:rPr>
              <w:t>%</w:t>
            </w:r>
            <w:r w:rsidRPr="00F26644">
              <w:rPr>
                <w:rFonts w:ascii="Arial" w:hAnsi="Arial" w:cs="Arial"/>
                <w:sz w:val="16"/>
                <w:szCs w:val="16"/>
              </w:rPr>
              <w:t xml:space="preserve"> or greater</w:t>
            </w:r>
          </w:p>
          <w:p w:rsidR="00F26644" w:rsidRPr="00F26644" w:rsidRDefault="00F26644" w:rsidP="00DD5740">
            <w:pPr>
              <w:keepLines w:val="0"/>
              <w:spacing w:before="60" w:after="60" w:line="240" w:lineRule="auto"/>
              <w:jc w:val="left"/>
              <w:rPr>
                <w:rFonts w:ascii="Arial" w:hAnsi="Arial" w:cs="Arial"/>
                <w:sz w:val="16"/>
                <w:szCs w:val="16"/>
              </w:rPr>
            </w:pP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ANSTO Nuclear Medicine Production Facility: delivery in full and on time</w:t>
            </w:r>
          </w:p>
          <w:p w:rsidR="00F26644" w:rsidRPr="00F26644" w:rsidRDefault="00BA7A7F" w:rsidP="00DD5740">
            <w:pPr>
              <w:keepLines w:val="0"/>
              <w:spacing w:before="60" w:after="60" w:line="240" w:lineRule="auto"/>
              <w:jc w:val="left"/>
              <w:rPr>
                <w:rFonts w:ascii="Arial" w:hAnsi="Arial" w:cs="Arial"/>
                <w:sz w:val="16"/>
                <w:szCs w:val="16"/>
              </w:rPr>
            </w:pPr>
            <w:r>
              <w:rPr>
                <w:rFonts w:ascii="Arial" w:hAnsi="Arial" w:cs="Arial"/>
                <w:sz w:val="16"/>
                <w:szCs w:val="16"/>
              </w:rPr>
              <w:t>Target: 95%</w:t>
            </w:r>
            <w:r w:rsidR="00921AAB" w:rsidRPr="00F26644">
              <w:rPr>
                <w:rFonts w:ascii="Arial" w:hAnsi="Arial" w:cs="Arial"/>
                <w:sz w:val="16"/>
                <w:szCs w:val="16"/>
              </w:rPr>
              <w:t xml:space="preserve"> or greater</w:t>
            </w:r>
          </w:p>
          <w:p w:rsidR="00F26644" w:rsidRPr="00F26644" w:rsidRDefault="00F26644" w:rsidP="00DD5740">
            <w:pPr>
              <w:keepLines w:val="0"/>
              <w:spacing w:before="60" w:after="60" w:line="240" w:lineRule="auto"/>
              <w:jc w:val="left"/>
              <w:rPr>
                <w:rFonts w:cs="Arial"/>
                <w:sz w:val="16"/>
                <w:szCs w:val="16"/>
              </w:rPr>
            </w:pP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NTD Silicon delivery in full and on time</w:t>
            </w:r>
          </w:p>
          <w:p w:rsidR="00F26644" w:rsidRPr="00F26644" w:rsidRDefault="00BA7A7F" w:rsidP="00DD5740">
            <w:pPr>
              <w:keepLines w:val="0"/>
              <w:spacing w:before="60" w:after="60" w:line="240" w:lineRule="auto"/>
              <w:jc w:val="left"/>
              <w:rPr>
                <w:rFonts w:ascii="Arial" w:hAnsi="Arial" w:cs="Arial"/>
                <w:sz w:val="16"/>
                <w:szCs w:val="16"/>
              </w:rPr>
            </w:pPr>
            <w:r>
              <w:rPr>
                <w:rFonts w:ascii="Arial" w:hAnsi="Arial" w:cs="Arial"/>
                <w:sz w:val="16"/>
                <w:szCs w:val="16"/>
              </w:rPr>
              <w:t xml:space="preserve">Target: 95% </w:t>
            </w:r>
            <w:r w:rsidR="00921AAB" w:rsidRPr="00F26644">
              <w:rPr>
                <w:rFonts w:ascii="Arial" w:hAnsi="Arial" w:cs="Arial"/>
                <w:sz w:val="16"/>
                <w:szCs w:val="16"/>
              </w:rPr>
              <w:t>or greater</w:t>
            </w:r>
          </w:p>
        </w:tc>
      </w:tr>
      <w:tr w:rsidR="00253274" w:rsidTr="00DD41BC">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sz w:val="18"/>
              </w:rPr>
            </w:pPr>
          </w:p>
        </w:tc>
        <w:tc>
          <w:tcPr>
            <w:tcW w:w="2943" w:type="dxa"/>
            <w:tcBorders>
              <w:top w:val="single"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
                <w:sz w:val="16"/>
                <w:szCs w:val="16"/>
                <w:lang w:val="en-US" w:eastAsia="en-US"/>
              </w:rPr>
            </w:pPr>
            <w:r w:rsidRPr="00F26644">
              <w:rPr>
                <w:rFonts w:ascii="Arial" w:eastAsia="Calibri" w:hAnsi="Arial" w:cs="Arial"/>
                <w:sz w:val="16"/>
                <w:szCs w:val="16"/>
                <w:lang w:val="en-US" w:eastAsia="en-US"/>
              </w:rPr>
              <w:t>Deliver and translate research that has scientific and industrial impact</w:t>
            </w:r>
            <w:r>
              <w:rPr>
                <w:rFonts w:ascii="Arial" w:eastAsia="Calibri" w:hAnsi="Arial" w:cs="Arial"/>
                <w:sz w:val="16"/>
                <w:szCs w:val="16"/>
                <w:lang w:val="en-US" w:eastAsia="en-US"/>
              </w:rPr>
              <w:t>.</w:t>
            </w:r>
          </w:p>
        </w:tc>
        <w:tc>
          <w:tcPr>
            <w:tcW w:w="3402" w:type="dxa"/>
            <w:tcBorders>
              <w:top w:val="single" w:sz="4" w:space="0" w:color="auto"/>
              <w:left w:val="single" w:sz="4" w:space="0" w:color="auto"/>
              <w:bottom w:val="single" w:sz="4" w:space="0" w:color="auto"/>
              <w:right w:val="single" w:sz="4" w:space="0" w:color="auto"/>
            </w:tcBorders>
          </w:tcPr>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Publications undertaken with national and international collaborators</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Target: 95 per cent or greater</w:t>
            </w:r>
          </w:p>
          <w:p w:rsidR="00F26644" w:rsidRPr="00F26644" w:rsidRDefault="00F26644" w:rsidP="00DD5740">
            <w:pPr>
              <w:keepLines w:val="0"/>
              <w:spacing w:before="60" w:after="60" w:line="240" w:lineRule="auto"/>
              <w:jc w:val="left"/>
              <w:rPr>
                <w:rFonts w:ascii="Arial" w:hAnsi="Arial" w:cs="Arial"/>
                <w:sz w:val="16"/>
                <w:szCs w:val="16"/>
              </w:rPr>
            </w:pP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Case studies demonstrating the impact of our research</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Target: eight case studies for reporting period</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Total publications (ANSTO only, ANSTO with national and/or international co-authors or both)</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Target: 600 or greater</w:t>
            </w:r>
          </w:p>
          <w:p w:rsidR="00F26644" w:rsidRPr="00F26644" w:rsidRDefault="00F26644" w:rsidP="00DD5740">
            <w:pPr>
              <w:keepLines w:val="0"/>
              <w:spacing w:before="60" w:after="60" w:line="240" w:lineRule="auto"/>
              <w:jc w:val="left"/>
              <w:rPr>
                <w:rFonts w:ascii="Arial" w:hAnsi="Arial" w:cs="Arial"/>
                <w:sz w:val="16"/>
                <w:szCs w:val="16"/>
              </w:rPr>
            </w:pP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External revenue from research and research services (excluding National Collaborative Research Infrastructure Strategy, NCRIS Grants)</w:t>
            </w:r>
          </w:p>
          <w:p w:rsidR="00F26644" w:rsidRPr="00F26644" w:rsidRDefault="00BA7A7F" w:rsidP="00DD5740">
            <w:pPr>
              <w:keepLines w:val="0"/>
              <w:spacing w:before="60" w:after="60" w:line="240" w:lineRule="auto"/>
              <w:jc w:val="left"/>
              <w:rPr>
                <w:rFonts w:ascii="Arial" w:hAnsi="Arial" w:cs="Arial"/>
                <w:sz w:val="16"/>
                <w:szCs w:val="16"/>
              </w:rPr>
            </w:pPr>
            <w:r>
              <w:rPr>
                <w:rFonts w:ascii="Arial" w:hAnsi="Arial" w:cs="Arial"/>
                <w:sz w:val="16"/>
                <w:szCs w:val="16"/>
              </w:rPr>
              <w:t>Target: $5.25m</w:t>
            </w:r>
          </w:p>
        </w:tc>
      </w:tr>
      <w:tr w:rsidR="00253274" w:rsidTr="00DD41BC">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sz w:val="18"/>
              </w:rPr>
            </w:pPr>
          </w:p>
        </w:tc>
        <w:tc>
          <w:tcPr>
            <w:tcW w:w="2943" w:type="dxa"/>
            <w:tcBorders>
              <w:top w:val="single"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Ensure a highly reliable, safe and secure environment</w:t>
            </w:r>
            <w:r>
              <w:rPr>
                <w:rFonts w:ascii="Arial" w:eastAsia="Calibri" w:hAnsi="Arial" w:cs="Arial"/>
                <w:iCs/>
                <w:sz w:val="16"/>
                <w:szCs w:val="16"/>
                <w:lang w:val="en-US"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Improvement in safety culture</w:t>
            </w:r>
          </w:p>
          <w:p w:rsidR="00F26644" w:rsidRPr="00F26644" w:rsidRDefault="00BA7A7F" w:rsidP="00DD5740">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Target: increase in Opportunities for Improvement to Actual Incidents recorded</w:t>
            </w:r>
          </w:p>
          <w:p w:rsidR="00F26644" w:rsidRPr="00F26644" w:rsidRDefault="00BA7A7F" w:rsidP="00DD5740">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Improvement in site-wide safety</w:t>
            </w:r>
          </w:p>
          <w:p w:rsidR="00F26644" w:rsidRPr="00F26644" w:rsidRDefault="00BA7A7F" w:rsidP="00DD5740">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Target: year on year decrease in class 1, 2, and 3 incidents.</w:t>
            </w:r>
          </w:p>
        </w:tc>
      </w:tr>
      <w:tr w:rsidR="00253274" w:rsidTr="00DD41BC">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sz w:val="18"/>
              </w:rPr>
            </w:pPr>
          </w:p>
        </w:tc>
        <w:tc>
          <w:tcPr>
            <w:tcW w:w="2943" w:type="dxa"/>
            <w:tcBorders>
              <w:top w:val="dashed"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Providing expert advice and being a trusted advisor</w:t>
            </w:r>
            <w:r>
              <w:rPr>
                <w:rFonts w:ascii="Arial" w:eastAsia="Calibri" w:hAnsi="Arial" w:cs="Arial"/>
                <w:iCs/>
                <w:sz w:val="16"/>
                <w:szCs w:val="16"/>
                <w:lang w:val="en-US" w:eastAsia="en-US"/>
              </w:rPr>
              <w:t>.</w:t>
            </w:r>
          </w:p>
        </w:tc>
        <w:tc>
          <w:tcPr>
            <w:tcW w:w="3402" w:type="dxa"/>
            <w:tcBorders>
              <w:top w:val="dashed" w:sz="4" w:space="0" w:color="auto"/>
              <w:left w:val="single" w:sz="4" w:space="0" w:color="auto"/>
              <w:bottom w:val="single" w:sz="4" w:space="0" w:color="auto"/>
              <w:right w:val="single" w:sz="4" w:space="0" w:color="auto"/>
            </w:tcBorders>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Australian Government Stakeholder satisfaction – Federal, State and Local Government</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Pr>
                <w:rFonts w:ascii="Arial" w:eastAsia="Calibri" w:hAnsi="Arial" w:cs="Arial"/>
                <w:iCs/>
                <w:sz w:val="16"/>
                <w:szCs w:val="16"/>
                <w:lang w:val="en-US" w:eastAsia="en-US"/>
              </w:rPr>
              <w:t>Target: 75%</w:t>
            </w:r>
          </w:p>
          <w:p w:rsidR="00F26644" w:rsidRPr="00F26644" w:rsidRDefault="00F26644" w:rsidP="00DD5740">
            <w:pPr>
              <w:keepLines w:val="0"/>
              <w:spacing w:before="60" w:after="60" w:line="240" w:lineRule="auto"/>
              <w:jc w:val="left"/>
              <w:rPr>
                <w:rFonts w:ascii="Arial" w:eastAsia="Calibri" w:hAnsi="Arial" w:cs="Arial"/>
                <w:iCs/>
                <w:sz w:val="16"/>
                <w:szCs w:val="16"/>
                <w:lang w:val="en-US" w:eastAsia="en-US"/>
              </w:rPr>
            </w:pP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Case studies to highlight and assess the impact of ANSTO’s engagement with Government-related stakeholders</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4 or more cases studies per annum</w:t>
            </w:r>
          </w:p>
          <w:p w:rsidR="00F26644" w:rsidRPr="00F26644" w:rsidRDefault="00F26644" w:rsidP="00DD5740">
            <w:pPr>
              <w:keepLines w:val="0"/>
              <w:spacing w:before="60" w:after="60" w:line="240" w:lineRule="auto"/>
              <w:jc w:val="left"/>
              <w:rPr>
                <w:rFonts w:ascii="Arial" w:eastAsia="Calibri" w:hAnsi="Arial" w:cs="Arial"/>
                <w:iCs/>
                <w:sz w:val="16"/>
                <w:szCs w:val="16"/>
                <w:lang w:val="en-US" w:eastAsia="en-US"/>
              </w:rPr>
            </w:pP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 xml:space="preserve">Facilitation of Australian participation and leadership in International Atomic Energy Agency (IAEA) and Regional Cooperative Agreement (RCA) programs </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Pr>
                <w:rFonts w:ascii="Arial" w:eastAsia="Calibri" w:hAnsi="Arial" w:cs="Arial"/>
                <w:iCs/>
                <w:sz w:val="16"/>
                <w:szCs w:val="16"/>
                <w:lang w:val="en-US" w:eastAsia="en-US"/>
              </w:rPr>
              <w:t xml:space="preserve">Target: Participation in 80% </w:t>
            </w:r>
            <w:r w:rsidR="00921AAB" w:rsidRPr="00F26644">
              <w:rPr>
                <w:rFonts w:ascii="Arial" w:eastAsia="Calibri" w:hAnsi="Arial" w:cs="Arial"/>
                <w:iCs/>
                <w:sz w:val="16"/>
                <w:szCs w:val="16"/>
                <w:lang w:val="en-US" w:eastAsia="en-US"/>
              </w:rPr>
              <w:t>of RCA active projects</w:t>
            </w:r>
          </w:p>
          <w:p w:rsidR="00F26644" w:rsidRPr="00F26644" w:rsidRDefault="00F26644" w:rsidP="00DD5740">
            <w:pPr>
              <w:keepLines w:val="0"/>
              <w:spacing w:before="60" w:after="60" w:line="240" w:lineRule="auto"/>
              <w:jc w:val="left"/>
              <w:rPr>
                <w:rFonts w:ascii="Arial" w:eastAsia="Calibri" w:hAnsi="Arial" w:cs="Arial"/>
                <w:iCs/>
                <w:sz w:val="16"/>
                <w:szCs w:val="16"/>
                <w:lang w:val="en-US" w:eastAsia="en-US"/>
              </w:rPr>
            </w:pP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leading at least 1 RCA project</w:t>
            </w:r>
          </w:p>
          <w:p w:rsidR="00F26644" w:rsidRPr="00F26644" w:rsidRDefault="00F26644" w:rsidP="00DD5740">
            <w:pPr>
              <w:keepLines w:val="0"/>
              <w:spacing w:before="60" w:after="60" w:line="240" w:lineRule="auto"/>
              <w:jc w:val="left"/>
              <w:rPr>
                <w:rFonts w:ascii="Arial" w:eastAsia="Calibri" w:hAnsi="Arial" w:cs="Arial"/>
                <w:iCs/>
                <w:sz w:val="16"/>
                <w:szCs w:val="16"/>
                <w:lang w:val="en-US" w:eastAsia="en-US"/>
              </w:rPr>
            </w:pP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Participation in at least 10 IAEA projects relevant t</w:t>
            </w:r>
            <w:r>
              <w:rPr>
                <w:rFonts w:ascii="Arial" w:eastAsia="Calibri" w:hAnsi="Arial" w:cs="Arial"/>
                <w:iCs/>
                <w:sz w:val="16"/>
                <w:szCs w:val="16"/>
                <w:lang w:val="en-US" w:eastAsia="en-US"/>
              </w:rPr>
              <w:t>o nuclear applications.</w:t>
            </w:r>
          </w:p>
          <w:p w:rsidR="00F26644" w:rsidRPr="00F26644" w:rsidRDefault="00F26644" w:rsidP="00DD5740">
            <w:pPr>
              <w:keepLines w:val="0"/>
              <w:spacing w:before="60" w:after="60" w:line="240" w:lineRule="auto"/>
              <w:jc w:val="left"/>
              <w:rPr>
                <w:rFonts w:ascii="Arial" w:eastAsia="Calibri" w:hAnsi="Arial" w:cs="Arial"/>
                <w:iCs/>
                <w:sz w:val="16"/>
                <w:szCs w:val="16"/>
                <w:lang w:val="en-US" w:eastAsia="en-US"/>
              </w:rPr>
            </w:pP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Case studies to highlight and assess the impact of ANSTO engagement with international stakeholders</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at least 2 per annum</w:t>
            </w:r>
          </w:p>
        </w:tc>
      </w:tr>
      <w:tr w:rsidR="00253274" w:rsidTr="00DD41BC">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sz w:val="18"/>
              </w:rPr>
            </w:pPr>
          </w:p>
        </w:tc>
        <w:tc>
          <w:tcPr>
            <w:tcW w:w="2943" w:type="dxa"/>
            <w:tcBorders>
              <w:top w:val="dashed"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Share with the general public research outcomes enabled by ANSTO</w:t>
            </w:r>
            <w:r>
              <w:rPr>
                <w:rFonts w:ascii="Arial" w:eastAsia="Calibri" w:hAnsi="Arial" w:cs="Arial"/>
                <w:iCs/>
                <w:sz w:val="16"/>
                <w:szCs w:val="16"/>
                <w:lang w:val="en-US" w:eastAsia="en-US"/>
              </w:rPr>
              <w:t>.</w:t>
            </w:r>
          </w:p>
        </w:tc>
        <w:tc>
          <w:tcPr>
            <w:tcW w:w="3402" w:type="dxa"/>
            <w:tcBorders>
              <w:top w:val="dashed"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at least 36 stories published on the ANSTO website per annum</w:t>
            </w:r>
          </w:p>
        </w:tc>
      </w:tr>
      <w:tr w:rsidR="00253274" w:rsidTr="00DD41BC">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sz w:val="18"/>
              </w:rPr>
            </w:pPr>
          </w:p>
        </w:tc>
        <w:tc>
          <w:tcPr>
            <w:tcW w:w="2943" w:type="dxa"/>
            <w:tcBorders>
              <w:top w:val="dashed"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Offer a range of resources for teachers and student to support the national science curriculum outcomes for years 3 to 12</w:t>
            </w:r>
            <w:r>
              <w:rPr>
                <w:rFonts w:ascii="Arial" w:eastAsia="Calibri" w:hAnsi="Arial" w:cs="Arial"/>
                <w:iCs/>
                <w:sz w:val="16"/>
                <w:szCs w:val="16"/>
                <w:lang w:val="en-US" w:eastAsia="en-US"/>
              </w:rPr>
              <w:t>.</w:t>
            </w:r>
          </w:p>
        </w:tc>
        <w:tc>
          <w:tcPr>
            <w:tcW w:w="3402" w:type="dxa"/>
            <w:tcBorders>
              <w:top w:val="dashed"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Deliver at least six national programs per annum</w:t>
            </w:r>
          </w:p>
        </w:tc>
      </w:tr>
      <w:tr w:rsidR="00253274" w:rsidTr="00DD41BC">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sz w:val="18"/>
              </w:rPr>
            </w:pPr>
          </w:p>
        </w:tc>
        <w:tc>
          <w:tcPr>
            <w:tcW w:w="2943" w:type="dxa"/>
            <w:tcBorders>
              <w:top w:val="dashed"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Increase accessibility of STEM teacher training programs</w:t>
            </w:r>
            <w:r>
              <w:rPr>
                <w:rFonts w:ascii="Arial" w:eastAsia="Calibri" w:hAnsi="Arial" w:cs="Arial"/>
                <w:iCs/>
                <w:sz w:val="16"/>
                <w:szCs w:val="16"/>
                <w:lang w:val="en-US" w:eastAsia="en-US"/>
              </w:rPr>
              <w:t>.</w:t>
            </w:r>
          </w:p>
        </w:tc>
        <w:tc>
          <w:tcPr>
            <w:tcW w:w="3402" w:type="dxa"/>
            <w:tcBorders>
              <w:top w:val="dashed"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Deliver six teacher professional development sessions</w:t>
            </w:r>
          </w:p>
        </w:tc>
      </w:tr>
      <w:tr w:rsidR="00253274" w:rsidTr="00DD41BC">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sz w:val="18"/>
              </w:rPr>
            </w:pPr>
          </w:p>
        </w:tc>
        <w:tc>
          <w:tcPr>
            <w:tcW w:w="2943" w:type="dxa"/>
            <w:tcBorders>
              <w:top w:val="dashed"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Conduct educational tours and science experiences at ANSTO’s Sydney and Melbourne campuses</w:t>
            </w:r>
            <w:r>
              <w:rPr>
                <w:rFonts w:ascii="Arial" w:eastAsia="Calibri" w:hAnsi="Arial" w:cs="Arial"/>
                <w:iCs/>
                <w:sz w:val="16"/>
                <w:szCs w:val="16"/>
                <w:lang w:val="en-US" w:eastAsia="en-US"/>
              </w:rPr>
              <w:t>.</w:t>
            </w:r>
          </w:p>
        </w:tc>
        <w:tc>
          <w:tcPr>
            <w:tcW w:w="3402" w:type="dxa"/>
            <w:tcBorders>
              <w:top w:val="dashed"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At least 15,000 visitors per annum</w:t>
            </w:r>
          </w:p>
        </w:tc>
      </w:tr>
      <w:tr w:rsidR="00253274" w:rsidTr="00DD41BC">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sz w:val="18"/>
              </w:rPr>
            </w:pPr>
          </w:p>
        </w:tc>
        <w:tc>
          <w:tcPr>
            <w:tcW w:w="2943" w:type="dxa"/>
            <w:tcBorders>
              <w:top w:val="dashed" w:sz="4" w:space="0" w:color="auto"/>
              <w:left w:val="single" w:sz="4" w:space="0" w:color="auto"/>
              <w:bottom w:val="single" w:sz="4" w:space="0" w:color="auto"/>
              <w:right w:val="single" w:sz="4" w:space="0" w:color="auto"/>
            </w:tcBorders>
            <w:hideMark/>
          </w:tcPr>
          <w:p w:rsidR="00F26644" w:rsidRPr="00F26644" w:rsidRDefault="00BA7A7F" w:rsidP="000B334A">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 xml:space="preserve">Leadership teams </w:t>
            </w:r>
            <w:r>
              <w:rPr>
                <w:rFonts w:ascii="Arial" w:eastAsia="Calibri" w:hAnsi="Arial" w:cs="Arial"/>
                <w:iCs/>
                <w:sz w:val="16"/>
                <w:szCs w:val="16"/>
                <w:lang w:val="en-US" w:eastAsia="en-US"/>
              </w:rPr>
              <w:t>-</w:t>
            </w:r>
            <w:r w:rsidRPr="00F26644">
              <w:rPr>
                <w:rFonts w:ascii="Arial" w:eastAsia="Calibri" w:hAnsi="Arial" w:cs="Arial"/>
                <w:iCs/>
                <w:sz w:val="16"/>
                <w:szCs w:val="16"/>
                <w:lang w:val="en-US" w:eastAsia="en-US"/>
              </w:rPr>
              <w:t xml:space="preserve"> representation</w:t>
            </w:r>
            <w:r>
              <w:rPr>
                <w:rFonts w:ascii="Arial" w:eastAsia="Calibri" w:hAnsi="Arial" w:cs="Arial"/>
                <w:iCs/>
                <w:sz w:val="16"/>
                <w:szCs w:val="16"/>
                <w:lang w:val="en-US" w:eastAsia="en-US"/>
              </w:rPr>
              <w:t>.</w:t>
            </w:r>
          </w:p>
        </w:tc>
        <w:tc>
          <w:tcPr>
            <w:tcW w:w="3402" w:type="dxa"/>
            <w:tcBorders>
              <w:top w:val="dashed"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Pr>
                <w:rFonts w:ascii="Arial" w:eastAsia="Calibri" w:hAnsi="Arial" w:cs="Arial"/>
                <w:iCs/>
                <w:sz w:val="16"/>
                <w:szCs w:val="16"/>
                <w:lang w:val="en-US" w:eastAsia="en-US"/>
              </w:rPr>
              <w:t>Female: 40%</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Pr>
                <w:rFonts w:ascii="Arial" w:eastAsia="Calibri" w:hAnsi="Arial" w:cs="Arial"/>
                <w:iCs/>
                <w:sz w:val="16"/>
                <w:szCs w:val="16"/>
                <w:lang w:val="en-US" w:eastAsia="en-US"/>
              </w:rPr>
              <w:t>Male: 40%</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Pr>
                <w:rFonts w:ascii="Arial" w:eastAsia="Calibri" w:hAnsi="Arial" w:cs="Arial"/>
                <w:iCs/>
                <w:sz w:val="16"/>
                <w:szCs w:val="16"/>
                <w:lang w:val="en-US" w:eastAsia="en-US"/>
              </w:rPr>
              <w:t>Discretionary: 20%</w:t>
            </w:r>
          </w:p>
        </w:tc>
      </w:tr>
      <w:tr w:rsidR="00253274" w:rsidTr="00DD41BC">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sz w:val="18"/>
              </w:rPr>
            </w:pPr>
          </w:p>
        </w:tc>
        <w:tc>
          <w:tcPr>
            <w:tcW w:w="2943" w:type="dxa"/>
            <w:tcBorders>
              <w:top w:val="dashed" w:sz="4" w:space="0" w:color="auto"/>
              <w:left w:val="single" w:sz="4" w:space="0" w:color="auto"/>
              <w:bottom w:val="single" w:sz="4" w:space="0" w:color="auto"/>
              <w:right w:val="single" w:sz="4" w:space="0" w:color="auto"/>
            </w:tcBorders>
            <w:hideMark/>
          </w:tcPr>
          <w:p w:rsidR="00F26644" w:rsidRPr="00F26644" w:rsidRDefault="00BA7A7F" w:rsidP="000B334A">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 xml:space="preserve">ANSTO wide </w:t>
            </w:r>
            <w:r>
              <w:rPr>
                <w:rFonts w:ascii="Arial" w:eastAsia="Calibri" w:hAnsi="Arial" w:cs="Arial"/>
                <w:iCs/>
                <w:sz w:val="16"/>
                <w:szCs w:val="16"/>
                <w:lang w:val="en-US" w:eastAsia="en-US"/>
              </w:rPr>
              <w:t>-</w:t>
            </w:r>
            <w:r w:rsidRPr="00F26644">
              <w:rPr>
                <w:rFonts w:ascii="Arial" w:eastAsia="Calibri" w:hAnsi="Arial" w:cs="Arial"/>
                <w:iCs/>
                <w:sz w:val="16"/>
                <w:szCs w:val="16"/>
                <w:lang w:val="en-US" w:eastAsia="en-US"/>
              </w:rPr>
              <w:t xml:space="preserve"> representation</w:t>
            </w:r>
            <w:r>
              <w:rPr>
                <w:rFonts w:ascii="Arial" w:eastAsia="Calibri" w:hAnsi="Arial" w:cs="Arial"/>
                <w:iCs/>
                <w:sz w:val="16"/>
                <w:szCs w:val="16"/>
                <w:lang w:val="en-US" w:eastAsia="en-US"/>
              </w:rPr>
              <w:t>.</w:t>
            </w:r>
          </w:p>
        </w:tc>
        <w:tc>
          <w:tcPr>
            <w:tcW w:w="3402" w:type="dxa"/>
            <w:tcBorders>
              <w:top w:val="dashed"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Pr>
                <w:rFonts w:ascii="Arial" w:eastAsia="Calibri" w:hAnsi="Arial" w:cs="Arial"/>
                <w:iCs/>
                <w:sz w:val="16"/>
                <w:szCs w:val="16"/>
                <w:lang w:val="en-US" w:eastAsia="en-US"/>
              </w:rPr>
              <w:t>Female: 40%</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Male: 40</w:t>
            </w:r>
            <w:r w:rsidR="00D411C6">
              <w:rPr>
                <w:rFonts w:ascii="Arial" w:eastAsia="Calibri" w:hAnsi="Arial" w:cs="Arial"/>
                <w:iCs/>
                <w:sz w:val="16"/>
                <w:szCs w:val="16"/>
                <w:lang w:val="en-US" w:eastAsia="en-US"/>
              </w:rPr>
              <w:t>%</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Pr>
                <w:rFonts w:ascii="Arial" w:eastAsia="Calibri" w:hAnsi="Arial" w:cs="Arial"/>
                <w:iCs/>
                <w:sz w:val="16"/>
                <w:szCs w:val="16"/>
                <w:lang w:val="en-US" w:eastAsia="en-US"/>
              </w:rPr>
              <w:t>Discretionary: 20%</w:t>
            </w:r>
          </w:p>
        </w:tc>
      </w:tr>
      <w:tr w:rsidR="00253274" w:rsidTr="00E57C7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sz w:val="18"/>
              </w:rPr>
            </w:pPr>
          </w:p>
        </w:tc>
        <w:tc>
          <w:tcPr>
            <w:tcW w:w="2943" w:type="dxa"/>
            <w:tcBorders>
              <w:top w:val="dashed" w:sz="4" w:space="0" w:color="auto"/>
              <w:left w:val="single" w:sz="4" w:space="0" w:color="auto"/>
              <w:bottom w:val="single" w:sz="4" w:space="0" w:color="auto"/>
              <w:right w:val="single" w:sz="4" w:space="0" w:color="auto"/>
            </w:tcBorders>
            <w:hideMark/>
          </w:tcPr>
          <w:p w:rsidR="00F26644" w:rsidRPr="00F26644" w:rsidRDefault="00BA7A7F" w:rsidP="00F26644">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Postgraduates supervised</w:t>
            </w:r>
            <w:r>
              <w:rPr>
                <w:rFonts w:ascii="Arial" w:eastAsia="Calibri" w:hAnsi="Arial" w:cs="Arial"/>
                <w:iCs/>
                <w:sz w:val="16"/>
                <w:szCs w:val="16"/>
                <w:lang w:val="en-US" w:eastAsia="en-US"/>
              </w:rPr>
              <w:t>.</w:t>
            </w:r>
          </w:p>
        </w:tc>
        <w:tc>
          <w:tcPr>
            <w:tcW w:w="3402" w:type="dxa"/>
            <w:tcBorders>
              <w:top w:val="dashed"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120</w:t>
            </w:r>
          </w:p>
        </w:tc>
      </w:tr>
      <w:tr w:rsidR="00253274" w:rsidTr="00E57C71">
        <w:trPr>
          <w:trHeight w:val="179"/>
        </w:trPr>
        <w:tc>
          <w:tcPr>
            <w:tcW w:w="1560" w:type="dxa"/>
            <w:vMerge w:val="restart"/>
            <w:tcBorders>
              <w:top w:val="single" w:sz="4" w:space="0" w:color="auto"/>
              <w:left w:val="single" w:sz="4" w:space="0" w:color="auto"/>
              <w:bottom w:val="single" w:sz="4" w:space="0" w:color="auto"/>
              <w:right w:val="single" w:sz="4" w:space="0" w:color="auto"/>
            </w:tcBorders>
            <w:hideMark/>
          </w:tcPr>
          <w:p w:rsidR="00F26644" w:rsidRPr="00DD5740" w:rsidRDefault="00BA7A7F" w:rsidP="00F26644">
            <w:pPr>
              <w:keepLines w:val="0"/>
              <w:spacing w:before="60" w:after="60" w:line="240" w:lineRule="auto"/>
              <w:jc w:val="left"/>
              <w:rPr>
                <w:rFonts w:ascii="Arial" w:eastAsia="Calibri" w:hAnsi="Arial"/>
                <w:sz w:val="16"/>
                <w:szCs w:val="16"/>
                <w:lang w:val="en-US" w:eastAsia="en-US"/>
              </w:rPr>
            </w:pPr>
            <w:r w:rsidRPr="00DD5740">
              <w:rPr>
                <w:rFonts w:ascii="Arial" w:eastAsia="Calibri" w:hAnsi="Arial" w:cs="Arial"/>
                <w:sz w:val="16"/>
                <w:szCs w:val="16"/>
                <w:lang w:val="en-US" w:eastAsia="en-US"/>
              </w:rPr>
              <w:t>Forward Estimates</w:t>
            </w:r>
          </w:p>
          <w:p w:rsidR="00F26644" w:rsidRPr="00F26644" w:rsidRDefault="00BA7A7F" w:rsidP="00F26644">
            <w:pPr>
              <w:keepLines w:val="0"/>
              <w:spacing w:before="60" w:after="60" w:line="240" w:lineRule="auto"/>
              <w:jc w:val="left"/>
              <w:rPr>
                <w:rFonts w:ascii="Arial" w:eastAsia="Calibri" w:hAnsi="Arial" w:cs="Arial"/>
                <w:b/>
                <w:sz w:val="18"/>
                <w:szCs w:val="22"/>
                <w:lang w:val="en-US" w:eastAsia="en-US"/>
              </w:rPr>
            </w:pPr>
            <w:r w:rsidRPr="00DD5740">
              <w:rPr>
                <w:rFonts w:ascii="Arial" w:eastAsia="Calibri" w:hAnsi="Arial" w:cs="Arial"/>
                <w:sz w:val="16"/>
                <w:szCs w:val="16"/>
                <w:lang w:val="en-US" w:eastAsia="en-US"/>
              </w:rPr>
              <w:t>2023-26</w:t>
            </w:r>
          </w:p>
        </w:tc>
        <w:tc>
          <w:tcPr>
            <w:tcW w:w="2943" w:type="dxa"/>
            <w:vMerge w:val="restart"/>
            <w:tcBorders>
              <w:top w:val="single" w:sz="4" w:space="0" w:color="auto"/>
              <w:left w:val="single" w:sz="4" w:space="0" w:color="auto"/>
              <w:bottom w:val="single" w:sz="4" w:space="0" w:color="auto"/>
              <w:right w:val="single" w:sz="4" w:space="0" w:color="auto"/>
            </w:tcBorders>
          </w:tcPr>
          <w:p w:rsidR="00F26644" w:rsidRPr="00F26644" w:rsidRDefault="00BA7A7F" w:rsidP="00F26644">
            <w:pPr>
              <w:keepLines w:val="0"/>
              <w:spacing w:before="60" w:after="60" w:line="240" w:lineRule="auto"/>
              <w:jc w:val="left"/>
              <w:rPr>
                <w:rFonts w:ascii="Arial" w:eastAsia="Calibri" w:hAnsi="Arial" w:cs="Arial"/>
                <w:iCs/>
                <w:sz w:val="16"/>
                <w:szCs w:val="18"/>
                <w:lang w:val="en-US" w:eastAsia="en-US"/>
              </w:rPr>
            </w:pPr>
            <w:r w:rsidRPr="00F26644">
              <w:rPr>
                <w:rFonts w:ascii="Arial" w:eastAsia="Calibri" w:hAnsi="Arial" w:cs="Arial"/>
                <w:iCs/>
                <w:sz w:val="16"/>
                <w:szCs w:val="18"/>
                <w:lang w:val="en-US" w:eastAsia="en-US"/>
              </w:rPr>
              <w:t>As per 2022-23</w:t>
            </w:r>
            <w:r>
              <w:rPr>
                <w:rFonts w:ascii="Arial" w:eastAsia="Calibri" w:hAnsi="Arial" w:cs="Arial"/>
                <w:iCs/>
                <w:sz w:val="16"/>
                <w:szCs w:val="18"/>
                <w:lang w:val="en-US" w:eastAsia="en-US"/>
              </w:rPr>
              <w:t>.</w:t>
            </w:r>
          </w:p>
          <w:p w:rsidR="00F26644" w:rsidRPr="00F26644" w:rsidRDefault="00F26644" w:rsidP="00F26644">
            <w:pPr>
              <w:keepLines w:val="0"/>
              <w:spacing w:before="60" w:after="60" w:line="240" w:lineRule="auto"/>
              <w:jc w:val="left"/>
              <w:rPr>
                <w:rFonts w:ascii="Arial" w:eastAsia="Calibri" w:hAnsi="Arial" w:cs="Arial"/>
                <w:iCs/>
                <w:sz w:val="16"/>
                <w:szCs w:val="18"/>
                <w:lang w:val="en-US" w:eastAsia="en-US"/>
              </w:rPr>
            </w:pPr>
          </w:p>
        </w:tc>
        <w:tc>
          <w:tcPr>
            <w:tcW w:w="3402" w:type="dxa"/>
            <w:tcBorders>
              <w:top w:val="single" w:sz="4" w:space="0" w:color="auto"/>
              <w:left w:val="single" w:sz="4" w:space="0" w:color="auto"/>
              <w:bottom w:val="single" w:sz="4" w:space="0" w:color="auto"/>
              <w:right w:val="single" w:sz="4" w:space="0" w:color="auto"/>
            </w:tcBorders>
          </w:tcPr>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OPAL Research Reactor: days at power</w:t>
            </w: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2023-24 Target: 200 days</w:t>
            </w:r>
            <w:r>
              <w:rPr>
                <w:rFonts w:ascii="Arial" w:eastAsia="Calibri" w:hAnsi="Arial" w:cs="Arial"/>
                <w:sz w:val="16"/>
                <w:szCs w:val="16"/>
                <w:bdr w:val="none" w:sz="0" w:space="0" w:color="auto" w:frame="1"/>
              </w:rPr>
              <w:t xml:space="preserve"> (h)</w:t>
            </w: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2024-25 Target: 300 days</w:t>
            </w: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2025-26 Target: 260 days</w:t>
            </w:r>
          </w:p>
          <w:p w:rsidR="00F26644" w:rsidRPr="00F26644" w:rsidRDefault="00F26644"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 xml:space="preserve">Australian Synchrotron: percentage utilisation </w:t>
            </w: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Annual Target: 95%</w:t>
            </w:r>
          </w:p>
          <w:p w:rsidR="00F26644" w:rsidRPr="00F26644" w:rsidRDefault="00F26644"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Neutron beam instruments: percentage utilisation</w:t>
            </w: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Annual Target: 85</w:t>
            </w:r>
            <w:r w:rsidR="00D411C6">
              <w:rPr>
                <w:rFonts w:ascii="Arial" w:eastAsia="Calibri" w:hAnsi="Arial" w:cs="Arial"/>
                <w:sz w:val="16"/>
                <w:szCs w:val="16"/>
                <w:bdr w:val="none" w:sz="0" w:space="0" w:color="auto" w:frame="1"/>
              </w:rPr>
              <w:t>%</w:t>
            </w:r>
            <w:r w:rsidRPr="00F26644">
              <w:rPr>
                <w:rFonts w:ascii="Arial" w:eastAsia="Calibri" w:hAnsi="Arial" w:cs="Arial"/>
                <w:sz w:val="16"/>
                <w:szCs w:val="16"/>
                <w:bdr w:val="none" w:sz="0" w:space="0" w:color="auto" w:frame="1"/>
              </w:rPr>
              <w:t xml:space="preserve"> </w:t>
            </w:r>
          </w:p>
          <w:p w:rsidR="00F26644" w:rsidRPr="00F26644" w:rsidRDefault="00F26644"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Accelerators: percentage utilisation</w:t>
            </w: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Annual Target: 65</w:t>
            </w:r>
            <w:r w:rsidR="00D411C6">
              <w:rPr>
                <w:rFonts w:ascii="Arial" w:eastAsia="Calibri" w:hAnsi="Arial" w:cs="Arial"/>
                <w:sz w:val="16"/>
                <w:szCs w:val="16"/>
                <w:bdr w:val="none" w:sz="0" w:space="0" w:color="auto" w:frame="1"/>
              </w:rPr>
              <w:t>%</w:t>
            </w:r>
          </w:p>
          <w:p w:rsidR="00F26644" w:rsidRPr="00F26644" w:rsidRDefault="00F26644" w:rsidP="00DD5740">
            <w:pPr>
              <w:keepLines w:val="0"/>
              <w:tabs>
                <w:tab w:val="left" w:pos="709"/>
              </w:tabs>
              <w:spacing w:before="60" w:after="60" w:line="240" w:lineRule="auto"/>
              <w:jc w:val="left"/>
              <w:rPr>
                <w:rFonts w:ascii="Arial" w:eastAsia="Calibri" w:hAnsi="Arial" w:cs="Arial"/>
                <w:b/>
                <w:sz w:val="16"/>
                <w:szCs w:val="16"/>
                <w:bdr w:val="none" w:sz="0" w:space="0" w:color="auto" w:frame="1"/>
              </w:rPr>
            </w:pPr>
          </w:p>
          <w:p w:rsidR="00F26644" w:rsidRPr="00F26644" w:rsidRDefault="00BA7A7F" w:rsidP="00DD5740">
            <w:pPr>
              <w:keepLines w:val="0"/>
              <w:tabs>
                <w:tab w:val="left" w:pos="709"/>
              </w:tabs>
              <w:spacing w:before="60" w:after="60" w:line="240" w:lineRule="auto"/>
              <w:jc w:val="left"/>
              <w:rPr>
                <w:rFonts w:ascii="Arial" w:hAnsi="Arial" w:cs="Arial"/>
                <w:sz w:val="16"/>
                <w:szCs w:val="16"/>
              </w:rPr>
            </w:pPr>
            <w:r w:rsidRPr="00F26644">
              <w:rPr>
                <w:rFonts w:ascii="Arial" w:hAnsi="Arial" w:cs="Arial"/>
                <w:sz w:val="16"/>
                <w:szCs w:val="16"/>
              </w:rPr>
              <w:t>National deuteration facility percentage utilisation</w:t>
            </w:r>
          </w:p>
          <w:p w:rsidR="00F26644" w:rsidRPr="00F26644" w:rsidRDefault="00BA7A7F" w:rsidP="00DD5740">
            <w:pPr>
              <w:keepLines w:val="0"/>
              <w:tabs>
                <w:tab w:val="left" w:pos="709"/>
              </w:tabs>
              <w:spacing w:before="60" w:after="60" w:line="240" w:lineRule="auto"/>
              <w:jc w:val="left"/>
              <w:rPr>
                <w:rFonts w:ascii="Arial" w:eastAsia="Calibri" w:hAnsi="Arial" w:cs="Arial"/>
                <w:sz w:val="16"/>
                <w:szCs w:val="16"/>
                <w:bdr w:val="none" w:sz="0" w:space="0" w:color="auto" w:frame="1"/>
              </w:rPr>
            </w:pPr>
            <w:r w:rsidRPr="00F26644">
              <w:rPr>
                <w:rFonts w:ascii="Arial" w:eastAsia="Calibri" w:hAnsi="Arial" w:cs="Arial"/>
                <w:sz w:val="16"/>
                <w:szCs w:val="16"/>
                <w:bdr w:val="none" w:sz="0" w:space="0" w:color="auto" w:frame="1"/>
              </w:rPr>
              <w:t>Annual Target: 90</w:t>
            </w:r>
            <w:r w:rsidR="00D411C6">
              <w:rPr>
                <w:rFonts w:ascii="Arial" w:eastAsia="Calibri" w:hAnsi="Arial" w:cs="Arial"/>
                <w:sz w:val="16"/>
                <w:szCs w:val="16"/>
                <w:bdr w:val="none" w:sz="0" w:space="0" w:color="auto" w:frame="1"/>
              </w:rPr>
              <w:t>%</w:t>
            </w:r>
            <w:r w:rsidRPr="00F26644">
              <w:rPr>
                <w:rFonts w:ascii="Arial" w:eastAsia="Calibri" w:hAnsi="Arial" w:cs="Arial"/>
                <w:sz w:val="16"/>
                <w:szCs w:val="16"/>
                <w:bdr w:val="none" w:sz="0" w:space="0" w:color="auto" w:frame="1"/>
              </w:rPr>
              <w:t xml:space="preserve"> </w:t>
            </w:r>
          </w:p>
          <w:p w:rsidR="00F26644" w:rsidRPr="00F26644" w:rsidRDefault="00F26644" w:rsidP="00DD5740">
            <w:pPr>
              <w:keepLines w:val="0"/>
              <w:tabs>
                <w:tab w:val="left" w:pos="709"/>
              </w:tabs>
              <w:spacing w:before="60" w:after="60" w:line="240" w:lineRule="auto"/>
              <w:jc w:val="left"/>
              <w:rPr>
                <w:rFonts w:ascii="Arial" w:hAnsi="Arial" w:cs="Arial"/>
                <w:sz w:val="16"/>
                <w:szCs w:val="16"/>
              </w:rPr>
            </w:pPr>
          </w:p>
          <w:p w:rsidR="00F26644" w:rsidRPr="00F26644" w:rsidRDefault="00BA7A7F" w:rsidP="00DD5740">
            <w:pPr>
              <w:keepLines w:val="0"/>
              <w:tabs>
                <w:tab w:val="left" w:pos="709"/>
              </w:tabs>
              <w:spacing w:before="60" w:after="60" w:line="240" w:lineRule="auto"/>
              <w:jc w:val="left"/>
              <w:rPr>
                <w:rFonts w:ascii="Arial" w:hAnsi="Arial" w:cs="Arial"/>
                <w:sz w:val="16"/>
                <w:szCs w:val="16"/>
              </w:rPr>
            </w:pPr>
            <w:r w:rsidRPr="00F26644">
              <w:rPr>
                <w:rFonts w:ascii="Arial" w:hAnsi="Arial" w:cs="Arial"/>
                <w:sz w:val="16"/>
                <w:szCs w:val="16"/>
              </w:rPr>
              <w:t>User satisfaction (Net Promoter Score) across all facilities:</w:t>
            </w:r>
          </w:p>
          <w:p w:rsidR="00F26644" w:rsidRPr="00F26644" w:rsidRDefault="00BA7A7F" w:rsidP="00DD5740">
            <w:pPr>
              <w:keepLines w:val="0"/>
              <w:tabs>
                <w:tab w:val="left" w:pos="709"/>
              </w:tabs>
              <w:spacing w:before="60" w:after="60" w:line="240" w:lineRule="auto"/>
              <w:jc w:val="left"/>
              <w:rPr>
                <w:rFonts w:ascii="Arial" w:hAnsi="Arial" w:cs="Arial"/>
                <w:sz w:val="16"/>
                <w:szCs w:val="16"/>
              </w:rPr>
            </w:pPr>
            <w:r w:rsidRPr="00F26644">
              <w:rPr>
                <w:rFonts w:ascii="Arial" w:hAnsi="Arial" w:cs="Arial"/>
                <w:sz w:val="16"/>
                <w:szCs w:val="16"/>
              </w:rPr>
              <w:t>Annual Target: 90</w:t>
            </w:r>
            <w:r w:rsidR="00D411C6">
              <w:rPr>
                <w:rFonts w:ascii="Arial" w:hAnsi="Arial" w:cs="Arial"/>
                <w:sz w:val="16"/>
                <w:szCs w:val="16"/>
              </w:rPr>
              <w:t>%</w:t>
            </w:r>
          </w:p>
        </w:tc>
      </w:tr>
      <w:tr w:rsidR="00253274" w:rsidTr="00E57C71">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b/>
                <w:sz w:val="18"/>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iCs/>
                <w:sz w:val="16"/>
                <w:szCs w:val="18"/>
              </w:rPr>
            </w:pPr>
          </w:p>
        </w:tc>
        <w:tc>
          <w:tcPr>
            <w:tcW w:w="3402" w:type="dxa"/>
            <w:tcBorders>
              <w:top w:val="single" w:sz="4" w:space="0" w:color="auto"/>
              <w:left w:val="single" w:sz="4" w:space="0" w:color="auto"/>
              <w:bottom w:val="single" w:sz="4" w:space="0" w:color="auto"/>
              <w:right w:val="single" w:sz="4" w:space="0" w:color="auto"/>
            </w:tcBorders>
          </w:tcPr>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ANM (Mo-99): delivery in full and on time</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eastAsia="Calibri" w:hAnsi="Arial" w:cs="Arial"/>
                <w:sz w:val="16"/>
                <w:szCs w:val="16"/>
                <w:bdr w:val="none" w:sz="0" w:space="0" w:color="auto" w:frame="1"/>
              </w:rPr>
              <w:t xml:space="preserve">Annual </w:t>
            </w:r>
            <w:r w:rsidR="00D411C6">
              <w:rPr>
                <w:rFonts w:ascii="Arial" w:hAnsi="Arial" w:cs="Arial"/>
                <w:sz w:val="16"/>
                <w:szCs w:val="16"/>
              </w:rPr>
              <w:t>Target: 95%</w:t>
            </w:r>
            <w:r w:rsidRPr="00F26644">
              <w:rPr>
                <w:rFonts w:ascii="Arial" w:hAnsi="Arial" w:cs="Arial"/>
                <w:sz w:val="16"/>
                <w:szCs w:val="16"/>
              </w:rPr>
              <w:t>or greater</w:t>
            </w:r>
          </w:p>
          <w:p w:rsidR="00F26644" w:rsidRPr="00F26644" w:rsidRDefault="00F26644" w:rsidP="00DD5740">
            <w:pPr>
              <w:keepLines w:val="0"/>
              <w:spacing w:before="60" w:after="60" w:line="240" w:lineRule="auto"/>
              <w:jc w:val="left"/>
              <w:rPr>
                <w:rFonts w:ascii="Arial" w:hAnsi="Arial" w:cs="Arial"/>
                <w:sz w:val="16"/>
                <w:szCs w:val="16"/>
              </w:rPr>
            </w:pP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ANSTO Nuclear Medicine Production Facility: delivery in full and on time</w:t>
            </w:r>
          </w:p>
          <w:p w:rsidR="00F26644" w:rsidRPr="00F26644" w:rsidRDefault="00BA7A7F" w:rsidP="00DD5740">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bdr w:val="none" w:sz="0" w:space="0" w:color="auto" w:frame="1"/>
                <w:lang w:val="en-US" w:eastAsia="en-US"/>
              </w:rPr>
              <w:t xml:space="preserve">Annual </w:t>
            </w:r>
            <w:r w:rsidRPr="00F26644">
              <w:rPr>
                <w:rFonts w:ascii="Arial" w:eastAsia="Calibri" w:hAnsi="Arial" w:cs="Arial"/>
                <w:sz w:val="16"/>
                <w:szCs w:val="16"/>
                <w:lang w:val="en-US" w:eastAsia="en-US"/>
              </w:rPr>
              <w:t>Target: 95</w:t>
            </w:r>
            <w:r w:rsidR="00D411C6">
              <w:rPr>
                <w:rFonts w:ascii="Arial" w:eastAsia="Calibri" w:hAnsi="Arial" w:cs="Arial"/>
                <w:sz w:val="16"/>
                <w:szCs w:val="16"/>
                <w:lang w:val="en-US" w:eastAsia="en-US"/>
              </w:rPr>
              <w:t>%</w:t>
            </w:r>
            <w:r w:rsidRPr="00F26644">
              <w:rPr>
                <w:rFonts w:ascii="Arial" w:eastAsia="Calibri" w:hAnsi="Arial" w:cs="Arial"/>
                <w:sz w:val="16"/>
                <w:szCs w:val="16"/>
                <w:lang w:val="en-US" w:eastAsia="en-US"/>
              </w:rPr>
              <w:t xml:space="preserve"> or greater</w:t>
            </w:r>
          </w:p>
          <w:p w:rsidR="00F26644" w:rsidRPr="00F26644" w:rsidRDefault="00F26644" w:rsidP="00DD5740">
            <w:pPr>
              <w:keepLines w:val="0"/>
              <w:spacing w:before="60" w:after="60" w:line="240" w:lineRule="auto"/>
              <w:jc w:val="left"/>
              <w:rPr>
                <w:rFonts w:ascii="Arial" w:eastAsia="Calibri" w:hAnsi="Arial" w:cs="Arial"/>
                <w:i/>
                <w:sz w:val="15"/>
                <w:szCs w:val="15"/>
                <w:lang w:val="en-US" w:eastAsia="en-US"/>
              </w:rPr>
            </w:pP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NTD Silicon delivery in full and on time</w:t>
            </w:r>
          </w:p>
          <w:p w:rsidR="00F26644" w:rsidRPr="00F26644" w:rsidRDefault="00BA7A7F" w:rsidP="00DD5740">
            <w:pPr>
              <w:keepLines w:val="0"/>
              <w:spacing w:before="60" w:after="60" w:line="240" w:lineRule="auto"/>
              <w:jc w:val="left"/>
              <w:rPr>
                <w:rFonts w:ascii="Arial" w:hAnsi="Arial" w:cs="Arial"/>
                <w:sz w:val="16"/>
                <w:szCs w:val="16"/>
              </w:rPr>
            </w:pPr>
            <w:r>
              <w:rPr>
                <w:rFonts w:ascii="Arial" w:hAnsi="Arial" w:cs="Arial"/>
                <w:sz w:val="16"/>
                <w:szCs w:val="16"/>
              </w:rPr>
              <w:t>Target: 95%</w:t>
            </w:r>
            <w:r w:rsidR="00921AAB" w:rsidRPr="00F26644">
              <w:rPr>
                <w:rFonts w:ascii="Arial" w:hAnsi="Arial" w:cs="Arial"/>
                <w:sz w:val="16"/>
                <w:szCs w:val="16"/>
              </w:rPr>
              <w:t>or greater</w:t>
            </w:r>
          </w:p>
        </w:tc>
      </w:tr>
      <w:tr w:rsidR="00253274" w:rsidTr="00E57C71">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b/>
                <w:sz w:val="18"/>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iCs/>
                <w:sz w:val="16"/>
                <w:szCs w:val="18"/>
              </w:rPr>
            </w:pPr>
          </w:p>
        </w:tc>
        <w:tc>
          <w:tcPr>
            <w:tcW w:w="3402" w:type="dxa"/>
            <w:tcBorders>
              <w:top w:val="single" w:sz="4" w:space="0" w:color="auto"/>
              <w:left w:val="single" w:sz="4" w:space="0" w:color="auto"/>
              <w:bottom w:val="single" w:sz="4" w:space="0" w:color="auto"/>
              <w:right w:val="single" w:sz="4" w:space="0" w:color="auto"/>
            </w:tcBorders>
          </w:tcPr>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Publications undertaken with national and international collaborators</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Annual Target: 95</w:t>
            </w:r>
            <w:r w:rsidR="00D411C6">
              <w:rPr>
                <w:rFonts w:ascii="Arial" w:hAnsi="Arial" w:cs="Arial"/>
                <w:sz w:val="16"/>
                <w:szCs w:val="16"/>
              </w:rPr>
              <w:t>%</w:t>
            </w:r>
            <w:r w:rsidRPr="00F26644">
              <w:rPr>
                <w:rFonts w:ascii="Arial" w:hAnsi="Arial" w:cs="Arial"/>
                <w:sz w:val="16"/>
                <w:szCs w:val="16"/>
              </w:rPr>
              <w:t xml:space="preserve"> or greater</w:t>
            </w:r>
          </w:p>
          <w:p w:rsidR="00F26644" w:rsidRPr="00F26644" w:rsidRDefault="00F26644" w:rsidP="00DD5740">
            <w:pPr>
              <w:keepLines w:val="0"/>
              <w:spacing w:before="60" w:after="60" w:line="240" w:lineRule="auto"/>
              <w:jc w:val="left"/>
              <w:rPr>
                <w:rFonts w:ascii="Arial" w:hAnsi="Arial" w:cs="Arial"/>
                <w:sz w:val="16"/>
                <w:szCs w:val="16"/>
              </w:rPr>
            </w:pP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Case studies demonstrating the impact of our research</w:t>
            </w:r>
          </w:p>
          <w:p w:rsidR="00F26644" w:rsidRPr="00F26644" w:rsidRDefault="00BA7A7F" w:rsidP="00DD5740">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Annual Target: eight case studies for reporting period</w:t>
            </w:r>
          </w:p>
          <w:p w:rsidR="00F26644" w:rsidRPr="00F26644" w:rsidRDefault="00F26644" w:rsidP="00DD5740">
            <w:pPr>
              <w:keepLines w:val="0"/>
              <w:spacing w:before="60" w:after="60" w:line="240" w:lineRule="auto"/>
              <w:jc w:val="left"/>
              <w:rPr>
                <w:rFonts w:ascii="Arial" w:hAnsi="Arial" w:cs="Arial"/>
                <w:sz w:val="16"/>
                <w:szCs w:val="16"/>
              </w:rPr>
            </w:pP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Total publications (ANSTO only, ANSTO with national and/or international co-authors or both)</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Target: 600 or greater</w:t>
            </w:r>
          </w:p>
          <w:p w:rsidR="00F26644" w:rsidRPr="00F26644" w:rsidRDefault="00F26644" w:rsidP="00DD5740">
            <w:pPr>
              <w:keepLines w:val="0"/>
              <w:spacing w:before="60" w:after="60" w:line="240" w:lineRule="auto"/>
              <w:jc w:val="left"/>
              <w:rPr>
                <w:rFonts w:ascii="Arial" w:hAnsi="Arial" w:cs="Arial"/>
                <w:sz w:val="16"/>
                <w:szCs w:val="16"/>
              </w:rPr>
            </w:pP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External revenue from research and research services (excluding National Collaborative Research Infrastructure Strategy, NCRIS Grants)</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2023-24 Target: $5.5</w:t>
            </w:r>
            <w:r w:rsidR="00D411C6">
              <w:rPr>
                <w:rFonts w:ascii="Arial" w:hAnsi="Arial" w:cs="Arial"/>
                <w:sz w:val="16"/>
                <w:szCs w:val="16"/>
              </w:rPr>
              <w:t>m</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2024-25 Target: $5.75</w:t>
            </w:r>
            <w:r w:rsidR="00D411C6">
              <w:rPr>
                <w:rFonts w:ascii="Arial" w:hAnsi="Arial" w:cs="Arial"/>
                <w:sz w:val="16"/>
                <w:szCs w:val="16"/>
              </w:rPr>
              <w:t>m</w:t>
            </w:r>
          </w:p>
          <w:p w:rsidR="00F26644" w:rsidRPr="00F26644" w:rsidRDefault="00BA7A7F" w:rsidP="00DD5740">
            <w:pPr>
              <w:keepLines w:val="0"/>
              <w:spacing w:before="60" w:after="60" w:line="240" w:lineRule="auto"/>
              <w:jc w:val="left"/>
              <w:rPr>
                <w:rFonts w:ascii="Arial" w:hAnsi="Arial" w:cs="Arial"/>
                <w:sz w:val="16"/>
                <w:szCs w:val="16"/>
              </w:rPr>
            </w:pPr>
            <w:r>
              <w:rPr>
                <w:rFonts w:ascii="Arial" w:hAnsi="Arial" w:cs="Arial"/>
                <w:sz w:val="16"/>
                <w:szCs w:val="16"/>
              </w:rPr>
              <w:t>2025-26 Target: $6m</w:t>
            </w:r>
          </w:p>
        </w:tc>
      </w:tr>
      <w:tr w:rsidR="00253274" w:rsidTr="00E57C71">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b/>
                <w:sz w:val="18"/>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iCs/>
                <w:sz w:val="16"/>
                <w:szCs w:val="18"/>
              </w:rPr>
            </w:pPr>
          </w:p>
        </w:tc>
        <w:tc>
          <w:tcPr>
            <w:tcW w:w="3402" w:type="dxa"/>
            <w:tcBorders>
              <w:top w:val="single" w:sz="4" w:space="0" w:color="auto"/>
              <w:left w:val="single" w:sz="4" w:space="0" w:color="auto"/>
              <w:bottom w:val="single" w:sz="4" w:space="0" w:color="auto"/>
              <w:right w:val="single" w:sz="4" w:space="0" w:color="auto"/>
            </w:tcBorders>
          </w:tcPr>
          <w:p w:rsidR="00F26644" w:rsidRPr="00F26644" w:rsidRDefault="00BA7A7F" w:rsidP="00DD5740">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Improvement in safety culture</w:t>
            </w:r>
          </w:p>
          <w:p w:rsidR="00F26644" w:rsidRPr="00F26644" w:rsidRDefault="00BA7A7F" w:rsidP="00DD5740">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Target: increase in Opportunities for Improvement to Actual Incidents recorded</w:t>
            </w:r>
          </w:p>
          <w:p w:rsidR="00F26644" w:rsidRPr="00F26644" w:rsidRDefault="00F26644" w:rsidP="00DD5740">
            <w:pPr>
              <w:keepLines w:val="0"/>
              <w:spacing w:before="60" w:after="60" w:line="240" w:lineRule="auto"/>
              <w:jc w:val="left"/>
              <w:rPr>
                <w:rFonts w:ascii="Arial" w:eastAsia="Calibri" w:hAnsi="Arial" w:cs="Arial"/>
                <w:sz w:val="16"/>
                <w:szCs w:val="16"/>
                <w:lang w:val="en-US" w:eastAsia="en-US"/>
              </w:rPr>
            </w:pPr>
          </w:p>
          <w:p w:rsidR="00F26644" w:rsidRPr="00F26644" w:rsidRDefault="00BA7A7F" w:rsidP="00DD5740">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Improvement in site-wide safety</w:t>
            </w:r>
          </w:p>
          <w:p w:rsidR="00F26644" w:rsidRPr="00F26644" w:rsidRDefault="00BA7A7F" w:rsidP="00DD5740">
            <w:pPr>
              <w:keepLines w:val="0"/>
              <w:spacing w:before="60" w:after="60" w:line="240" w:lineRule="auto"/>
              <w:jc w:val="left"/>
              <w:rPr>
                <w:rFonts w:ascii="Arial" w:eastAsia="Calibri" w:hAnsi="Arial" w:cs="Arial"/>
                <w:sz w:val="16"/>
                <w:szCs w:val="16"/>
                <w:lang w:val="en-US" w:eastAsia="en-US"/>
              </w:rPr>
            </w:pPr>
            <w:r w:rsidRPr="00F26644">
              <w:rPr>
                <w:rFonts w:ascii="Arial" w:eastAsia="Calibri" w:hAnsi="Arial" w:cs="Arial"/>
                <w:sz w:val="16"/>
                <w:szCs w:val="16"/>
                <w:lang w:val="en-US" w:eastAsia="en-US"/>
              </w:rPr>
              <w:t>Target: year on year decrease in class 1, 2, and 3 incidents.</w:t>
            </w:r>
          </w:p>
        </w:tc>
      </w:tr>
      <w:tr w:rsidR="00253274" w:rsidTr="00E57C71">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b/>
                <w:sz w:val="18"/>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iCs/>
                <w:sz w:val="16"/>
                <w:szCs w:val="18"/>
              </w:rPr>
            </w:pPr>
          </w:p>
        </w:tc>
        <w:tc>
          <w:tcPr>
            <w:tcW w:w="3402" w:type="dxa"/>
            <w:tcBorders>
              <w:top w:val="single" w:sz="4" w:space="0" w:color="auto"/>
              <w:left w:val="single" w:sz="4" w:space="0" w:color="auto"/>
              <w:bottom w:val="single" w:sz="4" w:space="0" w:color="auto"/>
              <w:right w:val="single" w:sz="4" w:space="0" w:color="auto"/>
            </w:tcBorders>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Australian Government Stakeholder satisfaction – Federal, State and Local Government</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Pr>
                <w:rFonts w:ascii="Arial" w:eastAsia="Calibri" w:hAnsi="Arial" w:cs="Arial"/>
                <w:iCs/>
                <w:sz w:val="16"/>
                <w:szCs w:val="16"/>
                <w:lang w:val="en-US" w:eastAsia="en-US"/>
              </w:rPr>
              <w:t>Target: 75%</w:t>
            </w:r>
          </w:p>
          <w:p w:rsidR="00F26644" w:rsidRPr="00973AFE" w:rsidRDefault="00F26644" w:rsidP="00DD5740">
            <w:pPr>
              <w:keepLines w:val="0"/>
              <w:spacing w:before="60" w:after="60" w:line="240" w:lineRule="auto"/>
              <w:jc w:val="left"/>
              <w:rPr>
                <w:rFonts w:ascii="Arial" w:eastAsia="Calibri" w:hAnsi="Arial" w:cs="Arial"/>
                <w:iCs/>
                <w:sz w:val="12"/>
                <w:szCs w:val="12"/>
                <w:lang w:val="en-US" w:eastAsia="en-US"/>
              </w:rPr>
            </w:pP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Case studies to highlight and assess the impact of ANSTO’s engagement with Government-related stakeholders</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4 or more cases studies per annum</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 xml:space="preserve">Facilitation of Australian participation and leadership in International Atomic Energy Agency (IAEA) and Regional Cooperative Agreement (RCA) programs </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Participation in 80 per cent of RCA active projects</w:t>
            </w:r>
          </w:p>
          <w:p w:rsidR="00F26644" w:rsidRPr="00973AFE" w:rsidRDefault="00F26644" w:rsidP="00DD5740">
            <w:pPr>
              <w:keepLines w:val="0"/>
              <w:spacing w:before="60" w:after="60" w:line="240" w:lineRule="auto"/>
              <w:jc w:val="left"/>
              <w:rPr>
                <w:rFonts w:ascii="Arial" w:eastAsia="Calibri" w:hAnsi="Arial" w:cs="Arial"/>
                <w:iCs/>
                <w:sz w:val="12"/>
                <w:szCs w:val="12"/>
                <w:lang w:val="en-US" w:eastAsia="en-US"/>
              </w:rPr>
            </w:pP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leading at least 1 RCA project</w:t>
            </w:r>
          </w:p>
          <w:p w:rsidR="00F26644" w:rsidRPr="00973AFE" w:rsidRDefault="00F26644" w:rsidP="00DD5740">
            <w:pPr>
              <w:keepLines w:val="0"/>
              <w:spacing w:before="60" w:after="60" w:line="240" w:lineRule="auto"/>
              <w:jc w:val="left"/>
              <w:rPr>
                <w:rFonts w:ascii="Arial" w:eastAsia="Calibri" w:hAnsi="Arial" w:cs="Arial"/>
                <w:iCs/>
                <w:sz w:val="12"/>
                <w:szCs w:val="12"/>
                <w:lang w:val="en-US" w:eastAsia="en-US"/>
              </w:rPr>
            </w:pP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Participation in at least 10 IAEA projects relevant to nuclear applications. projects</w:t>
            </w:r>
          </w:p>
          <w:p w:rsidR="00F26644" w:rsidRPr="00973AFE" w:rsidRDefault="00F26644" w:rsidP="00DD5740">
            <w:pPr>
              <w:keepLines w:val="0"/>
              <w:spacing w:before="60" w:after="60" w:line="240" w:lineRule="auto"/>
              <w:jc w:val="left"/>
              <w:rPr>
                <w:rFonts w:ascii="Arial" w:eastAsia="Calibri" w:hAnsi="Arial" w:cs="Arial"/>
                <w:iCs/>
                <w:sz w:val="12"/>
                <w:szCs w:val="12"/>
                <w:lang w:val="en-US" w:eastAsia="en-US"/>
              </w:rPr>
            </w:pP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Case studies to highlight and assess the impact of ANSTO engagement with international stakeholders</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at least 2 per annum</w:t>
            </w:r>
          </w:p>
        </w:tc>
      </w:tr>
      <w:tr w:rsidR="00253274" w:rsidTr="00E57C71">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b/>
                <w:sz w:val="18"/>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iCs/>
                <w:sz w:val="16"/>
                <w:szCs w:val="18"/>
              </w:rPr>
            </w:pPr>
          </w:p>
        </w:tc>
        <w:tc>
          <w:tcPr>
            <w:tcW w:w="3402" w:type="dxa"/>
            <w:tcBorders>
              <w:top w:val="single"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at least 36 stories published on the ANSTO website per annum</w:t>
            </w:r>
          </w:p>
        </w:tc>
      </w:tr>
      <w:tr w:rsidR="00253274" w:rsidTr="00E57C71">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b/>
                <w:sz w:val="18"/>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iCs/>
                <w:sz w:val="16"/>
                <w:szCs w:val="18"/>
              </w:rPr>
            </w:pPr>
          </w:p>
        </w:tc>
        <w:tc>
          <w:tcPr>
            <w:tcW w:w="3402" w:type="dxa"/>
            <w:tcBorders>
              <w:top w:val="single"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Deliver at least six national programs per annum</w:t>
            </w:r>
          </w:p>
        </w:tc>
      </w:tr>
      <w:tr w:rsidR="00253274" w:rsidTr="00E57C71">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b/>
                <w:sz w:val="18"/>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iCs/>
                <w:sz w:val="16"/>
                <w:szCs w:val="18"/>
              </w:rPr>
            </w:pPr>
          </w:p>
        </w:tc>
        <w:tc>
          <w:tcPr>
            <w:tcW w:w="3402" w:type="dxa"/>
            <w:tcBorders>
              <w:top w:val="single"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Deliver teacher professional development days in all states and territories</w:t>
            </w:r>
          </w:p>
        </w:tc>
      </w:tr>
      <w:tr w:rsidR="00253274" w:rsidTr="00E57C71">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b/>
                <w:sz w:val="18"/>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iCs/>
                <w:sz w:val="16"/>
                <w:szCs w:val="18"/>
              </w:rPr>
            </w:pPr>
          </w:p>
        </w:tc>
        <w:tc>
          <w:tcPr>
            <w:tcW w:w="3402" w:type="dxa"/>
            <w:tcBorders>
              <w:top w:val="single"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 At least 15,000 visitors per annum</w:t>
            </w:r>
          </w:p>
        </w:tc>
      </w:tr>
      <w:tr w:rsidR="00253274" w:rsidTr="00E57C71">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b/>
                <w:sz w:val="18"/>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iCs/>
                <w:sz w:val="16"/>
                <w:szCs w:val="18"/>
              </w:rPr>
            </w:pPr>
          </w:p>
        </w:tc>
        <w:tc>
          <w:tcPr>
            <w:tcW w:w="3402" w:type="dxa"/>
            <w:tcBorders>
              <w:top w:val="single"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Leadership team representation</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Pr>
                <w:rFonts w:ascii="Arial" w:eastAsia="Calibri" w:hAnsi="Arial" w:cs="Arial"/>
                <w:iCs/>
                <w:sz w:val="16"/>
                <w:szCs w:val="16"/>
                <w:lang w:val="en-US" w:eastAsia="en-US"/>
              </w:rPr>
              <w:t>Female: 40%</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Male: 40</w:t>
            </w:r>
            <w:r w:rsidR="00D411C6">
              <w:rPr>
                <w:rFonts w:ascii="Arial" w:eastAsia="Calibri" w:hAnsi="Arial" w:cs="Arial"/>
                <w:iCs/>
                <w:sz w:val="16"/>
                <w:szCs w:val="16"/>
                <w:lang w:val="en-US" w:eastAsia="en-US"/>
              </w:rPr>
              <w:t>%</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Discretionary: 20</w:t>
            </w:r>
            <w:r w:rsidR="00D411C6">
              <w:rPr>
                <w:rFonts w:ascii="Arial" w:eastAsia="Calibri" w:hAnsi="Arial" w:cs="Arial"/>
                <w:iCs/>
                <w:sz w:val="16"/>
                <w:szCs w:val="16"/>
                <w:lang w:val="en-US" w:eastAsia="en-US"/>
              </w:rPr>
              <w:t>%</w:t>
            </w:r>
          </w:p>
        </w:tc>
      </w:tr>
      <w:tr w:rsidR="00253274" w:rsidTr="00E57C71">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b/>
                <w:sz w:val="18"/>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iCs/>
                <w:sz w:val="16"/>
                <w:szCs w:val="18"/>
              </w:rPr>
            </w:pPr>
          </w:p>
        </w:tc>
        <w:tc>
          <w:tcPr>
            <w:tcW w:w="3402" w:type="dxa"/>
            <w:tcBorders>
              <w:top w:val="single" w:sz="4" w:space="0" w:color="auto"/>
              <w:left w:val="single" w:sz="4" w:space="0" w:color="auto"/>
              <w:bottom w:val="single" w:sz="4" w:space="0" w:color="auto"/>
              <w:right w:val="single" w:sz="4" w:space="0" w:color="auto"/>
            </w:tcBorders>
            <w:hideMark/>
          </w:tcPr>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ANSTO wide representation</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Target:</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Female: 40</w:t>
            </w:r>
            <w:r w:rsidR="00D411C6">
              <w:rPr>
                <w:rFonts w:ascii="Arial" w:eastAsia="Calibri" w:hAnsi="Arial" w:cs="Arial"/>
                <w:iCs/>
                <w:sz w:val="16"/>
                <w:szCs w:val="16"/>
                <w:lang w:val="en-US" w:eastAsia="en-US"/>
              </w:rPr>
              <w:t>%</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Male: 40</w:t>
            </w:r>
            <w:r w:rsidR="00D411C6">
              <w:rPr>
                <w:rFonts w:ascii="Arial" w:eastAsia="Calibri" w:hAnsi="Arial" w:cs="Arial"/>
                <w:iCs/>
                <w:sz w:val="16"/>
                <w:szCs w:val="16"/>
                <w:lang w:val="en-US" w:eastAsia="en-US"/>
              </w:rPr>
              <w:t>%</w:t>
            </w:r>
          </w:p>
          <w:p w:rsidR="00F26644" w:rsidRPr="00F26644" w:rsidRDefault="00BA7A7F" w:rsidP="00DD5740">
            <w:pPr>
              <w:keepLines w:val="0"/>
              <w:spacing w:before="60" w:after="60" w:line="240" w:lineRule="auto"/>
              <w:jc w:val="left"/>
              <w:rPr>
                <w:rFonts w:ascii="Arial" w:eastAsia="Calibri" w:hAnsi="Arial" w:cs="Arial"/>
                <w:iCs/>
                <w:sz w:val="16"/>
                <w:szCs w:val="16"/>
                <w:lang w:val="en-US" w:eastAsia="en-US"/>
              </w:rPr>
            </w:pPr>
            <w:r w:rsidRPr="00F26644">
              <w:rPr>
                <w:rFonts w:ascii="Arial" w:eastAsia="Calibri" w:hAnsi="Arial" w:cs="Arial"/>
                <w:iCs/>
                <w:sz w:val="16"/>
                <w:szCs w:val="16"/>
                <w:lang w:val="en-US" w:eastAsia="en-US"/>
              </w:rPr>
              <w:t>Discretionary: 20</w:t>
            </w:r>
            <w:r w:rsidR="00D411C6">
              <w:rPr>
                <w:rFonts w:ascii="Arial" w:eastAsia="Calibri" w:hAnsi="Arial" w:cs="Arial"/>
                <w:iCs/>
                <w:sz w:val="16"/>
                <w:szCs w:val="16"/>
                <w:lang w:val="en-US" w:eastAsia="en-US"/>
              </w:rPr>
              <w:t>%</w:t>
            </w:r>
          </w:p>
        </w:tc>
      </w:tr>
      <w:tr w:rsidR="00253274" w:rsidTr="00E57C71">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b/>
                <w:sz w:val="18"/>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F26644" w:rsidRPr="00F26644" w:rsidRDefault="00F26644" w:rsidP="00F26644">
            <w:pPr>
              <w:keepLines w:val="0"/>
              <w:spacing w:after="0" w:line="240" w:lineRule="auto"/>
              <w:jc w:val="left"/>
              <w:rPr>
                <w:rFonts w:ascii="Arial" w:hAnsi="Arial" w:cs="Arial"/>
                <w:iCs/>
                <w:sz w:val="16"/>
                <w:szCs w:val="18"/>
              </w:rPr>
            </w:pPr>
          </w:p>
        </w:tc>
        <w:tc>
          <w:tcPr>
            <w:tcW w:w="3402" w:type="dxa"/>
            <w:tcBorders>
              <w:top w:val="single" w:sz="4" w:space="0" w:color="auto"/>
              <w:left w:val="single" w:sz="4" w:space="0" w:color="auto"/>
              <w:bottom w:val="dotted" w:sz="4" w:space="0" w:color="auto"/>
              <w:right w:val="single" w:sz="4" w:space="0" w:color="auto"/>
            </w:tcBorders>
            <w:hideMark/>
          </w:tcPr>
          <w:p w:rsidR="00F26644" w:rsidRPr="00F26644" w:rsidRDefault="00BA7A7F" w:rsidP="00DD5740">
            <w:pPr>
              <w:keepLines w:val="0"/>
              <w:spacing w:before="60" w:after="60" w:line="240" w:lineRule="auto"/>
              <w:jc w:val="left"/>
              <w:rPr>
                <w:rFonts w:ascii="Arial" w:hAnsi="Arial" w:cs="Arial"/>
                <w:iCs/>
                <w:sz w:val="16"/>
                <w:szCs w:val="16"/>
              </w:rPr>
            </w:pPr>
            <w:r w:rsidRPr="00F26644">
              <w:rPr>
                <w:rFonts w:ascii="Arial" w:hAnsi="Arial" w:cs="Arial"/>
                <w:iCs/>
                <w:sz w:val="16"/>
                <w:szCs w:val="16"/>
              </w:rPr>
              <w:t>Postgraduates supervised</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2023-24 Target: 140</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2024-25 Target: 150</w:t>
            </w:r>
          </w:p>
          <w:p w:rsidR="00F26644" w:rsidRPr="00F26644" w:rsidRDefault="00BA7A7F" w:rsidP="00DD5740">
            <w:pPr>
              <w:keepLines w:val="0"/>
              <w:spacing w:before="60" w:after="60" w:line="240" w:lineRule="auto"/>
              <w:jc w:val="left"/>
              <w:rPr>
                <w:rFonts w:ascii="Arial" w:hAnsi="Arial" w:cs="Arial"/>
                <w:sz w:val="16"/>
                <w:szCs w:val="16"/>
              </w:rPr>
            </w:pPr>
            <w:r w:rsidRPr="00F26644">
              <w:rPr>
                <w:rFonts w:ascii="Arial" w:hAnsi="Arial" w:cs="Arial"/>
                <w:sz w:val="16"/>
                <w:szCs w:val="16"/>
              </w:rPr>
              <w:t>2025-26 Target: 160</w:t>
            </w:r>
          </w:p>
        </w:tc>
      </w:tr>
      <w:tr w:rsidR="00253274" w:rsidTr="00FE1490">
        <w:trPr>
          <w:cantSplit/>
          <w:trHeight w:val="291"/>
        </w:trPr>
        <w:tc>
          <w:tcPr>
            <w:tcW w:w="7905" w:type="dxa"/>
            <w:gridSpan w:val="3"/>
            <w:tcBorders>
              <w:top w:val="single" w:sz="4" w:space="0" w:color="auto"/>
              <w:left w:val="single" w:sz="4" w:space="0" w:color="auto"/>
              <w:bottom w:val="single" w:sz="4" w:space="0" w:color="auto"/>
              <w:right w:val="single" w:sz="4" w:space="0" w:color="auto"/>
            </w:tcBorders>
            <w:hideMark/>
          </w:tcPr>
          <w:p w:rsidR="00F26644" w:rsidRPr="00F26644" w:rsidRDefault="00BA7A7F" w:rsidP="007B2343">
            <w:pPr>
              <w:keepLines w:val="0"/>
              <w:spacing w:before="60" w:after="60" w:line="240" w:lineRule="auto"/>
              <w:jc w:val="left"/>
              <w:rPr>
                <w:rFonts w:ascii="Arial" w:eastAsia="Cambria" w:hAnsi="Arial" w:cs="Arial"/>
                <w:bCs/>
                <w:iCs/>
                <w:spacing w:val="-6"/>
                <w:sz w:val="16"/>
                <w:szCs w:val="16"/>
                <w:lang w:val="en-US" w:eastAsia="en-US"/>
              </w:rPr>
            </w:pPr>
            <w:r w:rsidRPr="00F26644">
              <w:rPr>
                <w:rFonts w:ascii="Arial" w:eastAsia="Calibri" w:hAnsi="Arial" w:cs="Arial"/>
                <w:sz w:val="16"/>
                <w:szCs w:val="16"/>
                <w:lang w:val="en-US" w:eastAsia="en-US"/>
              </w:rPr>
              <w:t xml:space="preserve">Material changes to Program 1 resulting from 2022-23 Budget </w:t>
            </w:r>
            <w:r w:rsidRPr="007B2343">
              <w:rPr>
                <w:rFonts w:ascii="Arial" w:eastAsia="Calibri" w:hAnsi="Arial" w:cs="Arial"/>
                <w:sz w:val="16"/>
                <w:szCs w:val="16"/>
                <w:lang w:val="en-US" w:eastAsia="en-US"/>
              </w:rPr>
              <w:t>Measures:</w:t>
            </w:r>
            <w:r w:rsidRPr="007B2343">
              <w:rPr>
                <w:rFonts w:ascii="Arial" w:eastAsia="Cambria" w:hAnsi="Arial" w:cs="Arial"/>
                <w:bCs/>
                <w:iCs/>
                <w:spacing w:val="-6"/>
                <w:sz w:val="16"/>
                <w:szCs w:val="16"/>
                <w:lang w:val="x-none" w:eastAsia="en-US"/>
              </w:rPr>
              <w:t xml:space="preserve"> N</w:t>
            </w:r>
            <w:r>
              <w:rPr>
                <w:rFonts w:ascii="Arial" w:eastAsia="Cambria" w:hAnsi="Arial" w:cs="Arial"/>
                <w:bCs/>
                <w:iCs/>
                <w:spacing w:val="-6"/>
                <w:sz w:val="16"/>
                <w:szCs w:val="16"/>
                <w:lang w:eastAsia="en-US"/>
              </w:rPr>
              <w:t>il</w:t>
            </w:r>
          </w:p>
        </w:tc>
      </w:tr>
    </w:tbl>
    <w:p w:rsidR="00F26644" w:rsidRPr="0076682C" w:rsidRDefault="00BA7A7F" w:rsidP="0076682C">
      <w:pPr>
        <w:keepLines w:val="0"/>
        <w:numPr>
          <w:ilvl w:val="0"/>
          <w:numId w:val="55"/>
        </w:numPr>
        <w:tabs>
          <w:tab w:val="num" w:pos="284"/>
        </w:tabs>
        <w:spacing w:after="0" w:line="240" w:lineRule="auto"/>
        <w:ind w:left="284" w:hanging="284"/>
        <w:rPr>
          <w:rFonts w:ascii="Arial" w:hAnsi="Arial" w:cs="Arial"/>
          <w:sz w:val="16"/>
          <w:szCs w:val="16"/>
        </w:rPr>
      </w:pPr>
      <w:r w:rsidRPr="0076682C">
        <w:rPr>
          <w:rFonts w:ascii="Arial" w:hAnsi="Arial" w:cs="Arial"/>
          <w:sz w:val="16"/>
          <w:szCs w:val="16"/>
        </w:rPr>
        <w:t>Further details and a full list of ANSTO’s key activities and performance criteria can be found in ANSTO’s 2021-2022 Corporate Plan.</w:t>
      </w:r>
    </w:p>
    <w:p w:rsidR="00F26644" w:rsidRPr="0076682C" w:rsidRDefault="00BA7A7F" w:rsidP="0076682C">
      <w:pPr>
        <w:keepLines w:val="0"/>
        <w:numPr>
          <w:ilvl w:val="0"/>
          <w:numId w:val="55"/>
        </w:numPr>
        <w:tabs>
          <w:tab w:val="num" w:pos="284"/>
        </w:tabs>
        <w:spacing w:after="0" w:line="240" w:lineRule="auto"/>
        <w:ind w:left="284" w:hanging="284"/>
        <w:rPr>
          <w:rFonts w:ascii="Arial" w:hAnsi="Arial" w:cs="Arial"/>
          <w:sz w:val="16"/>
          <w:szCs w:val="16"/>
        </w:rPr>
      </w:pPr>
      <w:r w:rsidRPr="0076682C">
        <w:rPr>
          <w:rFonts w:ascii="Arial" w:hAnsi="Arial" w:cs="Arial"/>
          <w:sz w:val="16"/>
          <w:szCs w:val="16"/>
        </w:rPr>
        <w:t>The target for ANSTO’s nuclear beam instruments will not be achieved due to the impact of COVID-19, including restrictions to user access and travel, and unplanned outages due to aging equipment.</w:t>
      </w:r>
    </w:p>
    <w:p w:rsidR="00F26644" w:rsidRPr="0076682C" w:rsidRDefault="00BA7A7F" w:rsidP="0076682C">
      <w:pPr>
        <w:keepLines w:val="0"/>
        <w:numPr>
          <w:ilvl w:val="0"/>
          <w:numId w:val="55"/>
        </w:numPr>
        <w:tabs>
          <w:tab w:val="num" w:pos="284"/>
        </w:tabs>
        <w:spacing w:after="0" w:line="240" w:lineRule="auto"/>
        <w:ind w:left="284" w:hanging="284"/>
        <w:rPr>
          <w:rFonts w:ascii="Arial" w:hAnsi="Arial" w:cs="Arial"/>
          <w:sz w:val="16"/>
          <w:szCs w:val="16"/>
        </w:rPr>
      </w:pPr>
      <w:r w:rsidRPr="0076682C">
        <w:rPr>
          <w:rFonts w:ascii="Arial" w:hAnsi="Arial" w:cs="Arial"/>
          <w:sz w:val="16"/>
          <w:szCs w:val="16"/>
        </w:rPr>
        <w:t>The target for ANSTO’s accelerators will not be achieved due to the impact of COVID-19, including restriction of use to only critical and essential projects.</w:t>
      </w:r>
    </w:p>
    <w:p w:rsidR="00F26644" w:rsidRPr="0076682C" w:rsidRDefault="00BA7A7F" w:rsidP="0076682C">
      <w:pPr>
        <w:keepLines w:val="0"/>
        <w:numPr>
          <w:ilvl w:val="0"/>
          <w:numId w:val="55"/>
        </w:numPr>
        <w:tabs>
          <w:tab w:val="num" w:pos="284"/>
        </w:tabs>
        <w:spacing w:after="0" w:line="240" w:lineRule="auto"/>
        <w:ind w:left="284" w:hanging="284"/>
        <w:rPr>
          <w:rFonts w:ascii="Arial" w:hAnsi="Arial" w:cs="Arial"/>
          <w:sz w:val="16"/>
          <w:szCs w:val="16"/>
        </w:rPr>
      </w:pPr>
      <w:r w:rsidRPr="0076682C">
        <w:rPr>
          <w:rFonts w:ascii="Arial" w:hAnsi="Arial" w:cs="Arial"/>
          <w:sz w:val="16"/>
          <w:szCs w:val="16"/>
        </w:rPr>
        <w:t>ANSTO has revised its performance criteria for nuclear medicine manufacturing away from theoretical patient doses to delivery in full and on time (DIFOT), an industry standard and customer-centric performance indicator of the overall supply performance of ANSTO Nuclear Medicine.</w:t>
      </w:r>
    </w:p>
    <w:p w:rsidR="00F26644" w:rsidRPr="0076682C" w:rsidRDefault="00BA7A7F" w:rsidP="0076682C">
      <w:pPr>
        <w:keepLines w:val="0"/>
        <w:numPr>
          <w:ilvl w:val="0"/>
          <w:numId w:val="55"/>
        </w:numPr>
        <w:tabs>
          <w:tab w:val="num" w:pos="284"/>
        </w:tabs>
        <w:spacing w:after="0" w:line="240" w:lineRule="auto"/>
        <w:ind w:left="284" w:hanging="284"/>
        <w:rPr>
          <w:rFonts w:ascii="Arial" w:hAnsi="Arial" w:cs="Arial"/>
          <w:sz w:val="16"/>
          <w:szCs w:val="16"/>
        </w:rPr>
      </w:pPr>
      <w:r w:rsidRPr="0076682C">
        <w:rPr>
          <w:rFonts w:ascii="Arial" w:hAnsi="Arial" w:cs="Arial"/>
          <w:sz w:val="16"/>
          <w:szCs w:val="16"/>
        </w:rPr>
        <w:t>The ANSTO Nuclear Medicine Production Facility target will not be achieved due to COVID</w:t>
      </w:r>
      <w:r>
        <w:rPr>
          <w:rFonts w:ascii="Arial" w:hAnsi="Arial" w:cs="Arial"/>
          <w:sz w:val="16"/>
          <w:szCs w:val="16"/>
        </w:rPr>
        <w:t>-19</w:t>
      </w:r>
      <w:r w:rsidRPr="0076682C">
        <w:rPr>
          <w:rFonts w:ascii="Arial" w:hAnsi="Arial" w:cs="Arial"/>
          <w:sz w:val="16"/>
          <w:szCs w:val="16"/>
        </w:rPr>
        <w:t xml:space="preserve"> restrictions adversely affecting staffing and supply chain capacity.</w:t>
      </w:r>
    </w:p>
    <w:p w:rsidR="00F26644" w:rsidRPr="0076682C" w:rsidRDefault="00BA7A7F" w:rsidP="0076682C">
      <w:pPr>
        <w:keepLines w:val="0"/>
        <w:numPr>
          <w:ilvl w:val="0"/>
          <w:numId w:val="55"/>
        </w:numPr>
        <w:tabs>
          <w:tab w:val="num" w:pos="284"/>
        </w:tabs>
        <w:spacing w:after="0" w:line="240" w:lineRule="auto"/>
        <w:ind w:left="284" w:hanging="284"/>
        <w:rPr>
          <w:rFonts w:ascii="Arial" w:hAnsi="Arial" w:cs="Arial"/>
          <w:sz w:val="16"/>
          <w:szCs w:val="16"/>
        </w:rPr>
      </w:pPr>
      <w:r w:rsidRPr="0076682C">
        <w:rPr>
          <w:rFonts w:ascii="Arial" w:hAnsi="Arial" w:cs="Arial"/>
          <w:sz w:val="16"/>
          <w:szCs w:val="16"/>
        </w:rPr>
        <w:t xml:space="preserve">Due to COVID-19 training sessions were run on-line. </w:t>
      </w:r>
    </w:p>
    <w:p w:rsidR="00F26644" w:rsidRPr="0076682C" w:rsidRDefault="00BA7A7F" w:rsidP="0076682C">
      <w:pPr>
        <w:keepLines w:val="0"/>
        <w:numPr>
          <w:ilvl w:val="0"/>
          <w:numId w:val="55"/>
        </w:numPr>
        <w:tabs>
          <w:tab w:val="num" w:pos="284"/>
        </w:tabs>
        <w:spacing w:after="0" w:line="240" w:lineRule="auto"/>
        <w:ind w:left="284" w:hanging="284"/>
        <w:rPr>
          <w:rFonts w:ascii="Arial" w:hAnsi="Arial" w:cs="Arial"/>
          <w:sz w:val="16"/>
          <w:szCs w:val="16"/>
        </w:rPr>
      </w:pPr>
      <w:r w:rsidRPr="0076682C">
        <w:rPr>
          <w:rFonts w:ascii="Arial" w:hAnsi="Arial" w:cs="Arial"/>
          <w:sz w:val="16"/>
          <w:szCs w:val="16"/>
        </w:rPr>
        <w:t>Tours did not operate for five months due to COVID-19.</w:t>
      </w:r>
    </w:p>
    <w:p w:rsidR="00547F56" w:rsidRPr="0076682C" w:rsidRDefault="00BA7A7F" w:rsidP="0076682C">
      <w:pPr>
        <w:keepLines w:val="0"/>
        <w:numPr>
          <w:ilvl w:val="0"/>
          <w:numId w:val="55"/>
        </w:numPr>
        <w:tabs>
          <w:tab w:val="num" w:pos="284"/>
        </w:tabs>
        <w:spacing w:after="0" w:line="240" w:lineRule="auto"/>
        <w:ind w:left="284" w:hanging="284"/>
        <w:rPr>
          <w:rFonts w:ascii="Arial" w:hAnsi="Arial" w:cs="Arial"/>
          <w:sz w:val="16"/>
          <w:szCs w:val="16"/>
        </w:rPr>
      </w:pPr>
      <w:r w:rsidRPr="0076682C">
        <w:rPr>
          <w:rFonts w:ascii="Arial" w:hAnsi="Arial" w:cs="Arial"/>
          <w:sz w:val="16"/>
          <w:szCs w:val="16"/>
        </w:rPr>
        <w:t>The decreased days at power in 2023-24 is due to an extended maintenance shutdown of the OPAL Reactor to replace the cold neutron source.</w:t>
      </w:r>
    </w:p>
    <w:p w:rsidR="00547F56" w:rsidRPr="00F26644" w:rsidRDefault="00547F56" w:rsidP="00547F56">
      <w:pPr>
        <w:pStyle w:val="ChartandTableFootnotenumbered"/>
        <w:numPr>
          <w:ilvl w:val="0"/>
          <w:numId w:val="0"/>
        </w:numPr>
      </w:pPr>
    </w:p>
    <w:p w:rsidR="00DA467D" w:rsidRDefault="00DA467D"/>
    <w:p w:rsidR="005B2053" w:rsidRPr="00F4053C" w:rsidRDefault="00BA7A7F" w:rsidP="00F4053C">
      <w:pPr>
        <w:pStyle w:val="Heading2"/>
        <w:pageBreakBefore/>
        <w:spacing w:after="120"/>
        <w:rPr>
          <w:b/>
          <w:sz w:val="26"/>
          <w:szCs w:val="26"/>
        </w:rPr>
      </w:pPr>
      <w:bookmarkStart w:id="483" w:name="RG_MARKER_11756"/>
      <w:bookmarkStart w:id="484" w:name="RG_MARKER_11743"/>
      <w:bookmarkStart w:id="485" w:name="RG_MARKER_12180"/>
      <w:r w:rsidRPr="00F4053C">
        <w:rPr>
          <w:b/>
          <w:sz w:val="26"/>
          <w:szCs w:val="26"/>
        </w:rPr>
        <w:t>Section 3</w:t>
      </w:r>
      <w:bookmarkStart w:id="486" w:name="_Toc449255782_1"/>
      <w:bookmarkStart w:id="487" w:name="_Toc446237038_1"/>
      <w:bookmarkStart w:id="488" w:name="_Toc436625460_1"/>
      <w:bookmarkStart w:id="489" w:name="_Toc436624159_1"/>
      <w:bookmarkEnd w:id="483"/>
      <w:bookmarkEnd w:id="484"/>
      <w:bookmarkEnd w:id="485"/>
      <w:r w:rsidRPr="00F4053C">
        <w:rPr>
          <w:b/>
          <w:sz w:val="26"/>
          <w:szCs w:val="26"/>
        </w:rPr>
        <w:t>: Budgeted financial statements</w:t>
      </w:r>
      <w:bookmarkEnd w:id="486"/>
      <w:bookmarkEnd w:id="487"/>
      <w:bookmarkEnd w:id="488"/>
      <w:bookmarkEnd w:id="489"/>
    </w:p>
    <w:p w:rsidR="00445F72" w:rsidRDefault="00BA7A7F" w:rsidP="00445F72">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rsidR="005B2053" w:rsidRPr="00F4053C" w:rsidRDefault="00BA7A7F" w:rsidP="005B2053">
      <w:pPr>
        <w:pStyle w:val="Heading3"/>
        <w:rPr>
          <w:smallCaps w:val="0"/>
          <w:sz w:val="22"/>
          <w:szCs w:val="22"/>
        </w:rPr>
      </w:pPr>
      <w:bookmarkStart w:id="490" w:name="_Toc210703218_1"/>
      <w:bookmarkStart w:id="491" w:name="_Toc190682533_1"/>
      <w:bookmarkStart w:id="492" w:name="_Toc190682316_1"/>
      <w:r w:rsidRPr="00F4053C">
        <w:rPr>
          <w:smallCaps w:val="0"/>
          <w:sz w:val="22"/>
          <w:szCs w:val="22"/>
        </w:rPr>
        <w:t>3.1</w:t>
      </w:r>
      <w:r w:rsidRPr="00F4053C">
        <w:rPr>
          <w:smallCaps w:val="0"/>
          <w:sz w:val="22"/>
          <w:szCs w:val="22"/>
        </w:rPr>
        <w:tab/>
        <w:t>Budgeted financial statements</w:t>
      </w:r>
      <w:bookmarkEnd w:id="490"/>
      <w:bookmarkEnd w:id="491"/>
      <w:bookmarkEnd w:id="492"/>
    </w:p>
    <w:p w:rsidR="0000614C" w:rsidRPr="00F4053C" w:rsidRDefault="00BA7A7F" w:rsidP="0000614C">
      <w:pPr>
        <w:pStyle w:val="Heading4"/>
        <w:rPr>
          <w:sz w:val="20"/>
        </w:rPr>
      </w:pPr>
      <w:r w:rsidRPr="00F4053C">
        <w:rPr>
          <w:sz w:val="20"/>
        </w:rPr>
        <w:t>3.1.1</w:t>
      </w:r>
      <w:r w:rsidRPr="00F4053C">
        <w:rPr>
          <w:sz w:val="20"/>
        </w:rPr>
        <w:tab/>
        <w:t>Explanatory notes and analysis of budgeted financial statements</w:t>
      </w:r>
    </w:p>
    <w:p w:rsidR="00030C56" w:rsidRPr="00EA5735" w:rsidRDefault="00BA7A7F" w:rsidP="00030C56">
      <w:pPr>
        <w:rPr>
          <w:rFonts w:eastAsia="Calibri"/>
          <w:lang w:eastAsia="en-US"/>
        </w:rPr>
      </w:pPr>
      <w:r w:rsidRPr="00EA5735">
        <w:rPr>
          <w:rFonts w:eastAsia="Calibri"/>
          <w:lang w:eastAsia="en-US"/>
        </w:rPr>
        <w:t>ANSTO’s budgeted financial statements are presented on a consolidated basis in accordance with AASB 10 (Consolidated Financial Statements). The consolidated financial statements incorporate the assets and liabilities and the results of all entities controlled by ANSTO as defined in AASB 10.</w:t>
      </w:r>
    </w:p>
    <w:p w:rsidR="00030C56" w:rsidRPr="00EA5735" w:rsidRDefault="00BA7A7F" w:rsidP="00030C56">
      <w:pPr>
        <w:rPr>
          <w:rFonts w:eastAsia="Calibri"/>
          <w:lang w:eastAsia="en-US"/>
        </w:rPr>
      </w:pPr>
      <w:r w:rsidRPr="00EA5735">
        <w:rPr>
          <w:rFonts w:eastAsia="Calibri"/>
          <w:lang w:eastAsia="en-US"/>
        </w:rPr>
        <w:t>In accordance with whole-of-government reporting for public non-financial corporation (PNFC) entities, these financial statements do not include financials for ANSTO Nuclear Medicine Pty Ltd (ANM).</w:t>
      </w:r>
    </w:p>
    <w:p w:rsidR="00030C56" w:rsidRPr="00DD4B2B" w:rsidRDefault="00BA7A7F" w:rsidP="00DF1832">
      <w:pPr>
        <w:rPr>
          <w:rFonts w:eastAsia="Calibri" w:cs="Arial"/>
          <w:b/>
          <w:lang w:eastAsia="en-US"/>
        </w:rPr>
      </w:pPr>
      <w:r w:rsidRPr="00DD4B2B">
        <w:rPr>
          <w:rFonts w:eastAsia="Calibri" w:cs="Arial"/>
          <w:b/>
          <w:lang w:eastAsia="en-US"/>
        </w:rPr>
        <w:t>Budgeted Departmental Income Statement</w:t>
      </w:r>
    </w:p>
    <w:p w:rsidR="00F31B5B" w:rsidRPr="00F31B5B" w:rsidRDefault="00BA7A7F" w:rsidP="00F31B5B">
      <w:pPr>
        <w:keepLines w:val="0"/>
        <w:rPr>
          <w:rFonts w:eastAsia="Calibri"/>
          <w:bdr w:val="none" w:sz="0" w:space="0" w:color="auto" w:frame="1"/>
        </w:rPr>
      </w:pPr>
      <w:r w:rsidRPr="00F31B5B">
        <w:rPr>
          <w:rFonts w:eastAsia="Calibri"/>
          <w:bdr w:val="none" w:sz="0" w:space="0" w:color="auto" w:frame="1"/>
        </w:rPr>
        <w:t>The statement shows the estimated net cost of services for the organisation. Total expenses in 2022-23 are estimated at $41</w:t>
      </w:r>
      <w:r>
        <w:rPr>
          <w:rFonts w:eastAsia="Calibri"/>
          <w:bdr w:val="none" w:sz="0" w:space="0" w:color="auto" w:frame="1"/>
        </w:rPr>
        <w:t>4.1</w:t>
      </w:r>
      <w:r w:rsidRPr="00F31B5B">
        <w:rPr>
          <w:rFonts w:eastAsia="Calibri"/>
          <w:bdr w:val="none" w:sz="0" w:space="0" w:color="auto" w:frame="1"/>
        </w:rPr>
        <w:t xml:space="preserve"> million compared to the estimate for 2021</w:t>
      </w:r>
      <w:r w:rsidRPr="00F31B5B">
        <w:rPr>
          <w:rFonts w:eastAsia="Calibri"/>
          <w:bdr w:val="none" w:sz="0" w:space="0" w:color="auto" w:frame="1"/>
        </w:rPr>
        <w:noBreakHyphen/>
        <w:t>22 of $399.8 million. Total revenue in</w:t>
      </w:r>
      <w:r>
        <w:rPr>
          <w:rFonts w:eastAsia="Calibri"/>
          <w:bdr w:val="none" w:sz="0" w:space="0" w:color="auto" w:frame="1"/>
        </w:rPr>
        <w:t xml:space="preserve"> 2022-23 is estimated to be $411</w:t>
      </w:r>
      <w:r w:rsidRPr="00F31B5B">
        <w:rPr>
          <w:rFonts w:eastAsia="Calibri"/>
          <w:bdr w:val="none" w:sz="0" w:space="0" w:color="auto" w:frame="1"/>
        </w:rPr>
        <w:t>.5 million (including appropriation) compared to the estimate of $430.1 millio</w:t>
      </w:r>
      <w:r>
        <w:rPr>
          <w:rFonts w:eastAsia="Calibri"/>
          <w:bdr w:val="none" w:sz="0" w:space="0" w:color="auto" w:frame="1"/>
        </w:rPr>
        <w:t>n for 2021-22, a decrease of $18</w:t>
      </w:r>
      <w:r w:rsidRPr="00F31B5B">
        <w:rPr>
          <w:rFonts w:eastAsia="Calibri"/>
          <w:bdr w:val="none" w:sz="0" w:space="0" w:color="auto" w:frame="1"/>
        </w:rPr>
        <w:t>.6 million.</w:t>
      </w:r>
    </w:p>
    <w:p w:rsidR="00F31B5B" w:rsidRPr="00DD4B2B" w:rsidRDefault="00BA7A7F" w:rsidP="00F31B5B">
      <w:pPr>
        <w:keepNext/>
        <w:keepLines w:val="0"/>
        <w:spacing w:after="120" w:line="240" w:lineRule="auto"/>
        <w:jc w:val="left"/>
        <w:outlineLvl w:val="4"/>
        <w:rPr>
          <w:rFonts w:eastAsia="Calibri" w:cs="Arial"/>
          <w:b/>
          <w:iCs/>
          <w:szCs w:val="26"/>
          <w:bdr w:val="none" w:sz="0" w:space="0" w:color="auto" w:frame="1"/>
          <w:lang w:eastAsia="en-US"/>
        </w:rPr>
      </w:pPr>
      <w:r w:rsidRPr="00DD4B2B">
        <w:rPr>
          <w:rFonts w:eastAsia="Calibri" w:cs="Arial"/>
          <w:b/>
          <w:iCs/>
          <w:szCs w:val="26"/>
          <w:bdr w:val="none" w:sz="0" w:space="0" w:color="auto" w:frame="1"/>
          <w:lang w:eastAsia="en-US"/>
        </w:rPr>
        <w:t>Budgeted Departmental Balance Sheet</w:t>
      </w:r>
    </w:p>
    <w:p w:rsidR="00F31B5B" w:rsidRPr="00F31B5B" w:rsidRDefault="00BA7A7F" w:rsidP="00F31B5B">
      <w:pPr>
        <w:keepLines w:val="0"/>
        <w:rPr>
          <w:rFonts w:eastAsia="Calibri"/>
          <w:bdr w:val="none" w:sz="0" w:space="0" w:color="auto" w:frame="1"/>
        </w:rPr>
      </w:pPr>
      <w:r w:rsidRPr="00F31B5B">
        <w:rPr>
          <w:rFonts w:eastAsia="Calibri"/>
          <w:bdr w:val="none" w:sz="0" w:space="0" w:color="auto" w:frame="1"/>
        </w:rPr>
        <w:t>This statement shows the estimated end of year financial position of ANSTO.</w:t>
      </w:r>
    </w:p>
    <w:p w:rsidR="00F31B5B" w:rsidRPr="00F31B5B" w:rsidRDefault="00BA7A7F" w:rsidP="00F31B5B">
      <w:pPr>
        <w:keepLines w:val="0"/>
        <w:rPr>
          <w:rFonts w:eastAsia="Calibri"/>
          <w:bdr w:val="none" w:sz="0" w:space="0" w:color="auto" w:frame="1"/>
        </w:rPr>
      </w:pPr>
      <w:r w:rsidRPr="00F31B5B">
        <w:rPr>
          <w:rFonts w:eastAsia="Calibri"/>
          <w:bdr w:val="none" w:sz="0" w:space="0" w:color="auto" w:frame="1"/>
        </w:rPr>
        <w:t>Financial assets decreased from $273.5 million in 2</w:t>
      </w:r>
      <w:r>
        <w:rPr>
          <w:rFonts w:eastAsia="Calibri"/>
          <w:bdr w:val="none" w:sz="0" w:space="0" w:color="auto" w:frame="1"/>
        </w:rPr>
        <w:t>021-22 to $243.9 million in 2022-23</w:t>
      </w:r>
      <w:r w:rsidRPr="00F31B5B">
        <w:rPr>
          <w:rFonts w:eastAsia="Calibri"/>
          <w:bdr w:val="none" w:sz="0" w:space="0" w:color="auto" w:frame="1"/>
        </w:rPr>
        <w:t>. The ANSTO Nuclear Medicine project is reflected in other investments.</w:t>
      </w:r>
    </w:p>
    <w:p w:rsidR="00F31B5B" w:rsidRPr="00DD4B2B" w:rsidRDefault="00BA7A7F" w:rsidP="00F31B5B">
      <w:pPr>
        <w:keepNext/>
        <w:keepLines w:val="0"/>
        <w:spacing w:after="120" w:line="240" w:lineRule="auto"/>
        <w:jc w:val="left"/>
        <w:outlineLvl w:val="4"/>
        <w:rPr>
          <w:rFonts w:eastAsia="Calibri" w:cs="Arial"/>
          <w:b/>
          <w:iCs/>
          <w:szCs w:val="26"/>
          <w:bdr w:val="none" w:sz="0" w:space="0" w:color="auto" w:frame="1"/>
          <w:lang w:eastAsia="en-US"/>
        </w:rPr>
      </w:pPr>
      <w:r w:rsidRPr="00DD4B2B">
        <w:rPr>
          <w:rFonts w:eastAsia="Calibri" w:cs="Arial"/>
          <w:b/>
          <w:iCs/>
          <w:szCs w:val="26"/>
          <w:bdr w:val="none" w:sz="0" w:space="0" w:color="auto" w:frame="1"/>
          <w:lang w:eastAsia="en-US"/>
        </w:rPr>
        <w:t>Budgeted Departmental Statement of Cash Flows</w:t>
      </w:r>
    </w:p>
    <w:p w:rsidR="00F31B5B" w:rsidRPr="00F31B5B" w:rsidRDefault="00BA7A7F" w:rsidP="00F31B5B">
      <w:pPr>
        <w:keepLines w:val="0"/>
        <w:rPr>
          <w:rFonts w:eastAsia="Calibri"/>
          <w:bdr w:val="none" w:sz="0" w:space="0" w:color="auto" w:frame="1"/>
        </w:rPr>
      </w:pPr>
      <w:r w:rsidRPr="00F31B5B">
        <w:rPr>
          <w:rFonts w:eastAsia="Calibri"/>
          <w:bdr w:val="none" w:sz="0" w:space="0" w:color="auto" w:frame="1"/>
        </w:rPr>
        <w:t>Budgeted cash flows, as reflected in the statement of cash flows, provides information on the extent and nature of cash flows by categorising them into expected cash flows from operating, investing and financing activities.</w:t>
      </w:r>
    </w:p>
    <w:p w:rsidR="00F31B5B" w:rsidRDefault="00BA7A7F" w:rsidP="00F31B5B">
      <w:pPr>
        <w:keepLines w:val="0"/>
        <w:rPr>
          <w:rFonts w:eastAsia="Calibri"/>
          <w:bdr w:val="none" w:sz="0" w:space="0" w:color="auto" w:frame="1"/>
        </w:rPr>
      </w:pPr>
      <w:r w:rsidRPr="00F31B5B">
        <w:rPr>
          <w:rFonts w:eastAsia="Calibri"/>
          <w:bdr w:val="none" w:sz="0" w:space="0" w:color="auto" w:frame="1"/>
        </w:rPr>
        <w:t>The movements in cash flow are consistent with movements in the Income Statement and the Balance Sheet.</w:t>
      </w:r>
    </w:p>
    <w:p w:rsidR="00F31B5B" w:rsidRDefault="00F31B5B" w:rsidP="00F31B5B">
      <w:pPr>
        <w:keepLines w:val="0"/>
        <w:rPr>
          <w:vanish/>
          <w:bdr w:val="none" w:sz="0" w:space="0" w:color="auto" w:frame="1"/>
        </w:rPr>
      </w:pPr>
    </w:p>
    <w:p w:rsidR="006B6EF0" w:rsidRPr="008505DD" w:rsidRDefault="00BA7A7F" w:rsidP="008F3943">
      <w:pPr>
        <w:pStyle w:val="Heading3"/>
        <w:pageBreakBefore/>
        <w:spacing w:before="360" w:after="120"/>
        <w:rPr>
          <w:rFonts w:ascii="Arial Bold" w:hAnsi="Arial Bold"/>
          <w:smallCaps w:val="0"/>
          <w:sz w:val="22"/>
          <w:szCs w:val="22"/>
        </w:rPr>
      </w:pPr>
      <w:bookmarkStart w:id="493" w:name="RG_MARKER_11745"/>
      <w:bookmarkStart w:id="494" w:name="RG_MARKER_12209"/>
      <w:r w:rsidRPr="008505DD">
        <w:rPr>
          <w:rFonts w:ascii="Arial Bold" w:hAnsi="Arial Bold"/>
          <w:smallCaps w:val="0"/>
          <w:sz w:val="22"/>
          <w:szCs w:val="22"/>
        </w:rPr>
        <w:t>3.2</w:t>
      </w:r>
      <w:bookmarkEnd w:id="493"/>
      <w:bookmarkEnd w:id="494"/>
      <w:r w:rsidRPr="008505DD">
        <w:rPr>
          <w:rFonts w:ascii="Arial Bold" w:hAnsi="Arial Bold"/>
          <w:smallCaps w:val="0"/>
          <w:sz w:val="22"/>
          <w:szCs w:val="22"/>
        </w:rPr>
        <w:tab/>
        <w:t>Budgeted financial statements tables</w:t>
      </w:r>
    </w:p>
    <w:p w:rsidR="005E7F55" w:rsidRDefault="00BA7A7F" w:rsidP="005E7F55">
      <w:pPr>
        <w:pStyle w:val="TableHeading"/>
        <w:keepLines/>
        <w:spacing w:before="0" w:after="0"/>
      </w:pPr>
      <w:r>
        <w:t>Table 3.1: Comprehensive income statement (showing net cost of services) for the period ended 30 June</w:t>
      </w:r>
    </w:p>
    <w:tbl>
      <w:tblPr>
        <w:tblStyle w:val="CDMRange1"/>
        <w:tblW w:w="7650" w:type="dxa"/>
        <w:tblLayout w:type="fixed"/>
        <w:tblLook w:val="0600" w:firstRow="0" w:lastRow="0" w:firstColumn="0" w:lastColumn="0" w:noHBand="1" w:noVBand="1"/>
      </w:tblPr>
      <w:tblGrid>
        <w:gridCol w:w="3525"/>
        <w:gridCol w:w="825"/>
        <w:gridCol w:w="825"/>
        <w:gridCol w:w="825"/>
        <w:gridCol w:w="825"/>
        <w:gridCol w:w="825"/>
      </w:tblGrid>
      <w:tr w:rsidR="00253274">
        <w:trPr>
          <w:trHeight w:val="855"/>
        </w:trPr>
        <w:tc>
          <w:tcPr>
            <w:tcW w:w="3525"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165,199</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170,821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168,998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169,315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169,315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136,419</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140,288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136,934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137,273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130,357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Grants </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3,158</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3,267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3,267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3,267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3,267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86,472</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91,131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95,326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102,135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115,597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8,525</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8,611</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8,714</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8,714</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8,714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399,773</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414,118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413,239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420,704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427,250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52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87,346</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88,459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54,671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92,602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92,592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1,144</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930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1,303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1,303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1,303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7,195</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7,195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7,195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7,195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7,195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3,847</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4,069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4,069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4,069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51,096</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21,043</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13,978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13,978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13,978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150,628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121,696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81,216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119,147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119,137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150,628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121,696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81,216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119,147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119,137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2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(249,145)</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(292,422)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(332,023)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(301,557)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(308,113)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279,506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289,790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293,329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275,213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282,445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2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30,361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(2,632)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(38,694)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(26,344)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(25,668)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30,361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(2,632)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(38,694)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(26,344)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(25,668)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25" w:type="dxa"/>
            <w:tcBorders>
              <w:top w:val="nil"/>
              <w:left w:val="nil"/>
              <w:bottom w:val="dotted" w:sz="2"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30,361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(2,632)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(38,694)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(26,344)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(25,668)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352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350" w:type="dxa"/>
            <w:gridSpan w:val="2"/>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525" w:type="dxa"/>
            <w:tcBorders>
              <w:top w:val="dotted" w:sz="2" w:space="0" w:color="000000"/>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30,361</w:t>
            </w:r>
          </w:p>
        </w:tc>
        <w:tc>
          <w:tcPr>
            <w:tcW w:w="82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(2,632)</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(38,694)</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(26,344)</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(25,668)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52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(a)</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147</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149</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151</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124</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126</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525"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 (Deficit)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30,382</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(2,611)</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(38,673)</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(26,314)</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(25,761)</w:t>
            </w:r>
          </w:p>
        </w:tc>
      </w:tr>
    </w:tbl>
    <w:p w:rsidR="00BD3BF6" w:rsidRPr="008135F4" w:rsidRDefault="00BA7A7F" w:rsidP="00BD3BF6">
      <w:pPr>
        <w:pStyle w:val="ListParagraph"/>
        <w:keepLines/>
        <w:numPr>
          <w:ilvl w:val="0"/>
          <w:numId w:val="56"/>
        </w:numPr>
        <w:spacing w:after="0" w:line="240" w:lineRule="auto"/>
        <w:ind w:left="357" w:hanging="357"/>
        <w:rPr>
          <w:rFonts w:eastAsia="Calibri" w:cs="Arial"/>
          <w:sz w:val="16"/>
          <w:szCs w:val="16"/>
          <w:bdr w:val="none" w:sz="0" w:space="0" w:color="auto" w:frame="1"/>
          <w:lang w:val="en-AU"/>
        </w:rPr>
      </w:pPr>
      <w:r w:rsidRPr="008135F4">
        <w:rPr>
          <w:rFonts w:ascii="Arial" w:eastAsia="Calibri" w:hAnsi="Arial" w:cs="Arial"/>
          <w:sz w:val="16"/>
          <w:szCs w:val="16"/>
          <w:bdr w:val="none" w:sz="0" w:space="0" w:color="auto" w:frame="1"/>
          <w:lang w:val="en-AU"/>
        </w:rPr>
        <w:t>Applies leases under AASB 16 Leases.</w:t>
      </w:r>
    </w:p>
    <w:p w:rsidR="008135F4" w:rsidRPr="008135F4" w:rsidRDefault="00BA7A7F" w:rsidP="008135F4">
      <w:pPr>
        <w:spacing w:after="0" w:line="240" w:lineRule="auto"/>
        <w:rPr>
          <w:rFonts w:ascii="Arial" w:eastAsia="Calibri" w:hAnsi="Arial" w:cs="Arial"/>
          <w:sz w:val="16"/>
          <w:szCs w:val="16"/>
          <w:bdr w:val="none" w:sz="0" w:space="0" w:color="auto" w:frame="1"/>
        </w:rPr>
      </w:pPr>
      <w:r w:rsidRPr="008135F4">
        <w:rPr>
          <w:rFonts w:ascii="Arial" w:eastAsia="Calibri" w:hAnsi="Arial" w:cs="Arial"/>
          <w:sz w:val="16"/>
          <w:szCs w:val="16"/>
          <w:bdr w:val="none" w:sz="0" w:space="0" w:color="auto" w:frame="1"/>
        </w:rPr>
        <w:t>Prepared on Australian Accounting Standards basis.</w:t>
      </w:r>
    </w:p>
    <w:p w:rsidR="00665AE9" w:rsidRPr="00665AE9" w:rsidRDefault="00665AE9" w:rsidP="00665AE9">
      <w:pPr>
        <w:spacing w:after="0" w:line="240" w:lineRule="auto"/>
        <w:rPr>
          <w:rFonts w:ascii="Arial" w:eastAsia="Calibri" w:hAnsi="Arial" w:cs="Arial"/>
          <w:sz w:val="16"/>
          <w:szCs w:val="16"/>
          <w:bdr w:val="none" w:sz="0" w:space="0" w:color="auto" w:frame="1"/>
        </w:rPr>
      </w:pPr>
    </w:p>
    <w:p w:rsidR="005E7F55" w:rsidRDefault="00BA7A7F" w:rsidP="005E7F55">
      <w:pPr>
        <w:pStyle w:val="TableHeading"/>
        <w:keepLines/>
        <w:pageBreakBefore/>
        <w:spacing w:before="0" w:after="0"/>
        <w:rPr>
          <w:rStyle w:val="BookTitle"/>
          <w:i w:val="0"/>
          <w:iCs/>
          <w:spacing w:val="0"/>
          <w:bdr w:val="none" w:sz="0" w:space="0" w:color="auto" w:frame="1"/>
        </w:rPr>
      </w:pPr>
      <w:r>
        <w:rPr>
          <w:bdr w:val="none" w:sz="0" w:space="0" w:color="auto" w:frame="1"/>
        </w:rPr>
        <w:t xml:space="preserve">Table 3.2: Budgeted departmental balance sheet (as at </w:t>
      </w:r>
      <w:r>
        <w:t>30 June)</w:t>
      </w:r>
    </w:p>
    <w:tbl>
      <w:tblPr>
        <w:tblStyle w:val="CDMRange2"/>
        <w:tblW w:w="7695" w:type="dxa"/>
        <w:tblLayout w:type="fixed"/>
        <w:tblLook w:val="0600" w:firstRow="0" w:lastRow="0" w:firstColumn="0" w:lastColumn="0" w:noHBand="1" w:noVBand="1"/>
      </w:tblPr>
      <w:tblGrid>
        <w:gridCol w:w="2820"/>
        <w:gridCol w:w="975"/>
        <w:gridCol w:w="975"/>
        <w:gridCol w:w="975"/>
        <w:gridCol w:w="975"/>
        <w:gridCol w:w="975"/>
      </w:tblGrid>
      <w:tr w:rsidR="00253274">
        <w:trPr>
          <w:trHeight w:val="900"/>
        </w:trPr>
        <w:tc>
          <w:tcPr>
            <w:tcW w:w="282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33,154</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33,286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37,976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37,976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37,976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42,293</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42,185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55,695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55,695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55,695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197,333</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167,757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131,628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72,243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76,110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273,484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243,932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226,003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166,618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170,485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368,836</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419,057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466,309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487,073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488,151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891,087</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929,004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941,627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910,795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892,049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66,335</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61,853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62,074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64,696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67,467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48,985</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48,985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48,985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48,985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48,985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Tax assets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802</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9,050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9,050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9,050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9,050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1,385,095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1,468,751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1,528,847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1,521,401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1,506,504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1,658,579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1,712,683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1,754,850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1,688,019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1,676,989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25,511</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25,490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25,469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25,439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25,532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27,046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27,046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27,046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27,046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27,046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52,557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52,536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52,515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52,485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52,578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3,657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3,668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3,679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3,558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3,437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3,657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3,668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3,679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3,558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3,437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54,337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54,337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54,337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54,337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54,337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785,634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799,211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831,281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770,556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770,556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839,971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853,548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885,618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824,893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824,893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896,185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909,752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941,812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880,936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880,908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762,394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802,931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813,038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807,083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796,081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971,521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1,014,690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1,063,491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1,083,880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1,098,546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513,405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513,405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513,405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513,405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513,405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2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(722,532)</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(725,164)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(763,858)</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(790,202)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(815,870)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762,394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802,931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813,038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807,083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796,081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762,394</w:t>
            </w:r>
          </w:p>
        </w:tc>
        <w:tc>
          <w:tcPr>
            <w:tcW w:w="97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802,931</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813,038</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807,083</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796,081</w:t>
            </w:r>
          </w:p>
        </w:tc>
      </w:tr>
    </w:tbl>
    <w:p w:rsidR="000858D4" w:rsidRDefault="00BA7A7F"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0858D4" w:rsidRPr="00073AFE" w:rsidRDefault="00BA7A7F" w:rsidP="00073AFE">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Pr="00073AFE">
        <w:rPr>
          <w:rFonts w:ascii="Arial" w:eastAsia="Calibri" w:hAnsi="Arial" w:cs="Arial"/>
          <w:sz w:val="16"/>
          <w:szCs w:val="16"/>
          <w:bdr w:val="none" w:sz="0" w:space="0" w:color="auto" w:frame="1"/>
        </w:rPr>
        <w:t>Equity is the residual interest in assets after deduction of liabilities.</w:t>
      </w:r>
    </w:p>
    <w:p w:rsidR="005E7F55" w:rsidRDefault="00BA7A7F">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BA7A7F" w:rsidP="005E7F55">
      <w:pPr>
        <w:pStyle w:val="TableHeading"/>
        <w:keepLines/>
        <w:spacing w:before="0" w:after="0"/>
        <w:rPr>
          <w:rStyle w:val="BookTitle"/>
          <w:i w:val="0"/>
          <w:iCs/>
        </w:rPr>
      </w:pPr>
      <w:r>
        <w:t>Table 3.3: Departmental statement of changes in equity – summary of movement (Budget year 2022­23)</w:t>
      </w:r>
    </w:p>
    <w:tbl>
      <w:tblPr>
        <w:tblStyle w:val="CDMRange1"/>
        <w:tblW w:w="7755" w:type="dxa"/>
        <w:tblLayout w:type="fixed"/>
        <w:tblLook w:val="0600" w:firstRow="0" w:lastRow="0" w:firstColumn="0" w:lastColumn="0" w:noHBand="1" w:noVBand="1"/>
      </w:tblPr>
      <w:tblGrid>
        <w:gridCol w:w="3450"/>
        <w:gridCol w:w="810"/>
        <w:gridCol w:w="915"/>
        <w:gridCol w:w="810"/>
        <w:gridCol w:w="960"/>
        <w:gridCol w:w="810"/>
      </w:tblGrid>
      <w:tr w:rsidR="00253274">
        <w:trPr>
          <w:trHeight w:val="900"/>
        </w:trPr>
        <w:tc>
          <w:tcPr>
            <w:tcW w:w="34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Asset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reserves</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equity/</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(722,532)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503,406</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9,999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971,521</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762,394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(722,532)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503,406</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9,999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971,521</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762,394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(2,632)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(2,632)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(2,632)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(2,632)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(2,632)</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(2,632)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43,169</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43,169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43,169</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43,169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2023</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(725,164)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503,406</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9,999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1,014,690</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802,931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(725,164)</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503,406</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9,999</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1,014,690</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802,931</w:t>
            </w:r>
          </w:p>
        </w:tc>
      </w:tr>
    </w:tbl>
    <w:p w:rsidR="000858D4" w:rsidRDefault="00BA7A7F"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BA7A7F">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BA7A7F" w:rsidP="005E7F55">
      <w:pPr>
        <w:pStyle w:val="TableHeading"/>
        <w:keepLines/>
        <w:spacing w:before="0" w:after="0"/>
        <w:rPr>
          <w:rStyle w:val="BookTitle"/>
          <w:i w:val="0"/>
          <w:iCs/>
        </w:rPr>
      </w:pPr>
      <w:r>
        <w:t>Table 3.4: Budgeted departmental statement of cash flows (for the period ended 30 June)</w:t>
      </w:r>
    </w:p>
    <w:tbl>
      <w:tblPr>
        <w:tblStyle w:val="CDMRange2"/>
        <w:tblW w:w="7575" w:type="dxa"/>
        <w:tblLayout w:type="fixed"/>
        <w:tblLook w:val="0600" w:firstRow="0" w:lastRow="0" w:firstColumn="0" w:lastColumn="0" w:noHBand="1" w:noVBand="1"/>
      </w:tblPr>
      <w:tblGrid>
        <w:gridCol w:w="3150"/>
        <w:gridCol w:w="885"/>
        <w:gridCol w:w="885"/>
        <w:gridCol w:w="885"/>
        <w:gridCol w:w="885"/>
        <w:gridCol w:w="885"/>
      </w:tblGrid>
      <w:tr w:rsidR="00253274">
        <w:trPr>
          <w:trHeight w:val="900"/>
        </w:trPr>
        <w:tc>
          <w:tcPr>
            <w:tcW w:w="315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279,506</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289,790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293,329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275,213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282,445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86,491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96,099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61,866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99,797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99,787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1,144</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930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1,303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1,303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1,303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35,962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24,667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18,047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18,047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18,047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403,103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411,486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374,545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394,360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401,582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165,199</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170,821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168,998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169,315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169,315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136,440</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140,309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136,955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137,303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130,264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7,006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7,335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7,336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7,336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3,267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308,658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318,478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313,302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313,967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302,859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94,445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93,008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61,243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80,393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98,723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 financial</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instruments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436,343</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436,343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423,453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430,000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436,343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436,343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423,453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450,000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128,781</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165,603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127,845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160,046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109,401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Purchase of financial instruments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442,316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406,767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387,324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370,615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453,867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571,097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572,370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515,169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530,661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563,268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(134,754)</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(136,027)</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(91,716)</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(100,661)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(113,268)</w:t>
            </w:r>
          </w:p>
        </w:tc>
      </w:tr>
    </w:tbl>
    <w:p w:rsidR="005E7F55" w:rsidRDefault="005E7F55" w:rsidP="0009692A">
      <w:pPr>
        <w:spacing w:before="20" w:after="60" w:line="240" w:lineRule="auto"/>
        <w:rPr>
          <w:rFonts w:ascii="Arial" w:eastAsia="Calibri" w:hAnsi="Arial" w:cs="Arial"/>
          <w:sz w:val="16"/>
          <w:szCs w:val="16"/>
          <w:bdr w:val="none" w:sz="0" w:space="0" w:color="auto" w:frame="1"/>
        </w:rPr>
      </w:pPr>
    </w:p>
    <w:p w:rsidR="00EF6807" w:rsidRDefault="00BA7A7F">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EF6807" w:rsidRDefault="00BA7A7F" w:rsidP="00EF6807">
      <w:pPr>
        <w:pStyle w:val="TableHeading"/>
        <w:keepLines/>
        <w:spacing w:before="0" w:after="0"/>
        <w:rPr>
          <w:rStyle w:val="BookTitle"/>
          <w:i w:val="0"/>
          <w:iCs/>
        </w:rPr>
      </w:pPr>
      <w:r>
        <w:t>Table 3.4: Budgeted departmental statement of cash flows (for the period ended 30 June) (continued)</w:t>
      </w:r>
    </w:p>
    <w:tbl>
      <w:tblPr>
        <w:tblStyle w:val="CDMRange1"/>
        <w:tblW w:w="7575" w:type="dxa"/>
        <w:tblLayout w:type="fixed"/>
        <w:tblLook w:val="0600" w:firstRow="0" w:lastRow="0" w:firstColumn="0" w:lastColumn="0" w:noHBand="1" w:noVBand="1"/>
      </w:tblPr>
      <w:tblGrid>
        <w:gridCol w:w="3150"/>
        <w:gridCol w:w="885"/>
        <w:gridCol w:w="885"/>
        <w:gridCol w:w="885"/>
        <w:gridCol w:w="885"/>
        <w:gridCol w:w="885"/>
      </w:tblGrid>
      <w:tr w:rsidR="00253274">
        <w:trPr>
          <w:trHeight w:val="900"/>
        </w:trPr>
        <w:tc>
          <w:tcPr>
            <w:tcW w:w="315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50,187</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43,169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48,801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20,389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14,666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50,187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43,169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48,801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20,389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14,666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50,063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43,043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48,673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20,268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14,545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9,754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18,200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33,153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33,154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33,286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37,976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37,976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33,154</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33,286</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37,976</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37,976</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37,976</w:t>
            </w:r>
          </w:p>
        </w:tc>
      </w:tr>
    </w:tbl>
    <w:p w:rsidR="00EF6807" w:rsidRDefault="00BA7A7F"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BA7A7F">
      <w:pPr>
        <w:keepLines w:val="0"/>
        <w:spacing w:after="200" w:line="276" w:lineRule="auto"/>
        <w:jc w:val="left"/>
      </w:pPr>
      <w:r>
        <w:br w:type="page"/>
      </w:r>
    </w:p>
    <w:p w:rsidR="005E7F55" w:rsidRDefault="00BA7A7F" w:rsidP="005E7F55">
      <w:pPr>
        <w:pStyle w:val="TableHeading"/>
        <w:keepLines/>
        <w:spacing w:before="0" w:after="0"/>
        <w:rPr>
          <w:rStyle w:val="BookTitle"/>
          <w:i w:val="0"/>
          <w:iCs/>
        </w:rPr>
      </w:pPr>
      <w:r>
        <w:t>Table 3.5: Departmental capital budget statement (for the period ended 30 June)</w:t>
      </w:r>
    </w:p>
    <w:tbl>
      <w:tblPr>
        <w:tblStyle w:val="CDMRange2"/>
        <w:tblW w:w="7350" w:type="dxa"/>
        <w:tblLayout w:type="fixed"/>
        <w:tblLook w:val="0600" w:firstRow="0" w:lastRow="0" w:firstColumn="0" w:lastColumn="0" w:noHBand="1" w:noVBand="1"/>
      </w:tblPr>
      <w:tblGrid>
        <w:gridCol w:w="3075"/>
        <w:gridCol w:w="855"/>
        <w:gridCol w:w="855"/>
        <w:gridCol w:w="855"/>
        <w:gridCol w:w="855"/>
        <w:gridCol w:w="855"/>
      </w:tblGrid>
      <w:tr w:rsidR="00253274">
        <w:trPr>
          <w:trHeight w:val="900"/>
        </w:trPr>
        <w:tc>
          <w:tcPr>
            <w:tcW w:w="3075"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50,187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43,169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47,269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20,389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14,666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50,187</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43,169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47,269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20,389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14,666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(50,187)</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(43,169)</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(47,269)</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(20,389)</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(14,666)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(50,187)</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(43,169)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(47,269)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(20,389)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(14,666)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(50,187)</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(43,169)</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(47,269)</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(20,389)</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(14,666)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(b)</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(86,399)</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(134,056)</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(108,014)</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(74,300)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(86,034)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(136,586)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(177,225)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(155,283)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(94,689)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(100,700)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07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(136,586)</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(177,225)</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(155,283)</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(94,689)</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(100,700)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75"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(136,586)</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(177,225)</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(155,283)</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(94,689)</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(100,700)</w:t>
            </w:r>
          </w:p>
        </w:tc>
      </w:tr>
    </w:tbl>
    <w:p w:rsidR="005E7F55" w:rsidRDefault="00BA7A7F"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0858D4" w:rsidRDefault="00BA7A7F" w:rsidP="0011508E">
      <w:pPr>
        <w:pStyle w:val="ChartandTableFootnoteAlpha"/>
        <w:keepNext w:val="0"/>
        <w:keepLines w:val="0"/>
        <w:numPr>
          <w:ilvl w:val="0"/>
          <w:numId w:val="57"/>
        </w:numPr>
        <w:spacing w:line="240" w:lineRule="auto"/>
        <w:ind w:left="357" w:hanging="357"/>
        <w:contextualSpacing/>
        <w:rPr>
          <w:rFonts w:cs="Arial"/>
          <w:szCs w:val="16"/>
        </w:rPr>
      </w:pPr>
      <w:r>
        <w:rPr>
          <w:rFonts w:cs="Arial"/>
          <w:szCs w:val="16"/>
        </w:rPr>
        <w:t>Includes both current Bill 2 and prior Act 2/4/6 appropriations.</w:t>
      </w:r>
    </w:p>
    <w:p w:rsidR="005B55F5" w:rsidRDefault="00BA7A7F" w:rsidP="0011508E">
      <w:pPr>
        <w:pStyle w:val="ChartandTableFootnoteAlpha"/>
        <w:keepNext w:val="0"/>
        <w:keepLines w:val="0"/>
        <w:numPr>
          <w:ilvl w:val="0"/>
          <w:numId w:val="57"/>
        </w:numPr>
        <w:spacing w:line="240" w:lineRule="auto"/>
        <w:ind w:left="357" w:hanging="357"/>
        <w:contextualSpacing/>
        <w:rPr>
          <w:rFonts w:cs="Arial"/>
          <w:szCs w:val="16"/>
        </w:rPr>
      </w:pPr>
      <w:r>
        <w:rPr>
          <w:rFonts w:cs="Arial"/>
          <w:szCs w:val="16"/>
        </w:rPr>
        <w:t>Includes the following s74 external receipts:</w:t>
      </w:r>
    </w:p>
    <w:p w:rsidR="005B55F5" w:rsidRDefault="00BA7A7F" w:rsidP="009403FE">
      <w:pPr>
        <w:pStyle w:val="ChartandTableFootnoteAlpha-Bullet"/>
      </w:pPr>
      <w:r w:rsidRPr="009403FE">
        <w:t>sponsorship, subsidy, gifts or similar contribution;</w:t>
      </w:r>
    </w:p>
    <w:p w:rsidR="005B55F5" w:rsidRDefault="00BA7A7F" w:rsidP="00073AFE">
      <w:pPr>
        <w:pStyle w:val="ChartandTableFootnoteAlpha-Bullet"/>
        <w:contextualSpacing/>
      </w:pPr>
      <w:r>
        <w:t>internally developed assets;</w:t>
      </w:r>
    </w:p>
    <w:p w:rsidR="005B55F5" w:rsidRDefault="00BA7A7F" w:rsidP="00073AFE">
      <w:pPr>
        <w:pStyle w:val="ChartandTableFootnoteAlpha-Bullet"/>
        <w:contextualSpacing/>
      </w:pPr>
      <w:r>
        <w:t>own-source revenue; and</w:t>
      </w:r>
    </w:p>
    <w:p w:rsidR="005B55F5" w:rsidRDefault="00BA7A7F" w:rsidP="00073AFE">
      <w:pPr>
        <w:pStyle w:val="ChartandTableFootnoteAlpha-Bullet"/>
        <w:contextualSpacing/>
      </w:pPr>
      <w:r>
        <w:t>proceeds from the sale of assets.</w:t>
      </w:r>
    </w:p>
    <w:p w:rsidR="005E7F55" w:rsidRDefault="00BA7A7F" w:rsidP="005B55F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 </w:t>
      </w:r>
      <w:r>
        <w:rPr>
          <w:rFonts w:ascii="Arial" w:eastAsia="Calibri" w:hAnsi="Arial" w:cs="Arial"/>
          <w:sz w:val="16"/>
          <w:szCs w:val="16"/>
          <w:bdr w:val="none" w:sz="0" w:space="0" w:color="auto" w:frame="1"/>
        </w:rPr>
        <w:br w:type="page"/>
      </w:r>
    </w:p>
    <w:p w:rsidR="00F539FC" w:rsidRDefault="00BA7A7F" w:rsidP="00F539FC">
      <w:pPr>
        <w:pStyle w:val="TableHeading"/>
        <w:keepLines/>
        <w:spacing w:before="0" w:after="0"/>
        <w:rPr>
          <w:rStyle w:val="BookTitle"/>
          <w:i w:val="0"/>
          <w:iCs/>
        </w:rPr>
      </w:pPr>
      <w:r>
        <w:t>Table 3.6: Statement of departmental asset movements (Budget year 2022­23)</w:t>
      </w:r>
    </w:p>
    <w:tbl>
      <w:tblPr>
        <w:tblStyle w:val="CDMRange1"/>
        <w:tblW w:w="7650" w:type="dxa"/>
        <w:tblLayout w:type="fixed"/>
        <w:tblLook w:val="0600" w:firstRow="0" w:lastRow="0" w:firstColumn="0" w:lastColumn="0" w:noHBand="1" w:noVBand="1"/>
      </w:tblPr>
      <w:tblGrid>
        <w:gridCol w:w="3150"/>
        <w:gridCol w:w="900"/>
        <w:gridCol w:w="900"/>
        <w:gridCol w:w="900"/>
        <w:gridCol w:w="900"/>
        <w:gridCol w:w="900"/>
      </w:tblGrid>
      <w:tr w:rsidR="00253274">
        <w:trPr>
          <w:trHeight w:val="1125"/>
        </w:trPr>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Land</w:t>
            </w: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201,500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193,477</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993,629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135,603</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1,524,209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4,019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(29,721)</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(102,542)</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(69,268)</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(201,531)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(439)</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201,500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167,336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891,087</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66,335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1,326,258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59,169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113,481</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174,650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 </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137</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59,306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113,481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2,000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174,787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(8,938)</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(75,564)</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(6,482)</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(90,984)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(147)</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0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(9,085)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(75,564)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(6,482)</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(91,131)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201,500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252,646</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1,107,110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137,603</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1,698,859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4,156</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4,156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(38,659)</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(178,106)</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(75,750)</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(292,515)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201,500</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217,557</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929,004</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61,853</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1,409,914</w:t>
            </w:r>
          </w:p>
        </w:tc>
      </w:tr>
    </w:tbl>
    <w:p w:rsidR="0069171E" w:rsidRPr="007A23F3" w:rsidRDefault="00BA7A7F" w:rsidP="00665AE9">
      <w:pPr>
        <w:spacing w:after="0" w:line="240" w:lineRule="auto"/>
        <w:rPr>
          <w:rFonts w:ascii="Arial" w:eastAsia="Calibri" w:hAnsi="Arial" w:cs="Arial"/>
          <w:sz w:val="16"/>
          <w:szCs w:val="16"/>
          <w:bdr w:val="none" w:sz="0" w:space="0" w:color="auto" w:frame="1"/>
        </w:rPr>
      </w:pPr>
      <w:r w:rsidRPr="007A23F3">
        <w:rPr>
          <w:rFonts w:ascii="Arial" w:eastAsia="Calibri" w:hAnsi="Arial" w:cs="Arial"/>
          <w:sz w:val="16"/>
          <w:szCs w:val="16"/>
          <w:bdr w:val="none" w:sz="0" w:space="0" w:color="auto" w:frame="1"/>
        </w:rPr>
        <w:t>Prepared on Australian Accounting Standards basis.</w:t>
      </w:r>
    </w:p>
    <w:p w:rsidR="00665AE9" w:rsidRPr="007A23F3" w:rsidRDefault="00BA7A7F" w:rsidP="007A23F3">
      <w:pPr>
        <w:pStyle w:val="ListParagraph"/>
        <w:keepLines/>
        <w:numPr>
          <w:ilvl w:val="0"/>
          <w:numId w:val="59"/>
        </w:numPr>
        <w:spacing w:after="0" w:line="240" w:lineRule="auto"/>
        <w:jc w:val="left"/>
        <w:rPr>
          <w:rFonts w:eastAsia="Calibri" w:cs="Arial"/>
          <w:sz w:val="16"/>
          <w:szCs w:val="16"/>
          <w:bdr w:val="none" w:sz="0" w:space="0" w:color="auto" w:frame="1"/>
          <w:lang w:val="en-AU"/>
        </w:rPr>
      </w:pPr>
      <w:r w:rsidRPr="007A23F3">
        <w:rPr>
          <w:rFonts w:ascii="Arial" w:eastAsia="Calibri" w:hAnsi="Arial" w:cs="Arial"/>
          <w:sz w:val="16"/>
          <w:szCs w:val="16"/>
          <w:bdr w:val="none" w:sz="0" w:space="0" w:color="auto" w:frame="1"/>
          <w:lang w:val="en-AU"/>
        </w:rPr>
        <w:t>'Appropriation equity' refers to equity injections appropriations provided through Appropriation Bill (No. 2) 2022­23.</w:t>
      </w:r>
    </w:p>
    <w:p w:rsidR="0069171E" w:rsidRPr="00665AE9" w:rsidRDefault="0069171E" w:rsidP="00665AE9">
      <w:pPr>
        <w:spacing w:after="0" w:line="240" w:lineRule="auto"/>
        <w:rPr>
          <w:rFonts w:eastAsia="Calibri" w:cs="Arial"/>
          <w:sz w:val="16"/>
          <w:szCs w:val="16"/>
          <w:bdr w:val="none" w:sz="0" w:space="0" w:color="auto" w:frame="1"/>
        </w:rPr>
      </w:pPr>
    </w:p>
    <w:p w:rsidR="000858D4" w:rsidRDefault="00BA7A7F">
      <w:pPr>
        <w:keepLines w:val="0"/>
        <w:spacing w:after="200" w:line="276" w:lineRule="auto"/>
        <w:jc w:val="left"/>
        <w:rPr>
          <w:rFonts w:eastAsia="Calibri" w:cs="Arial"/>
          <w:sz w:val="16"/>
          <w:szCs w:val="16"/>
          <w:bdr w:val="none" w:sz="0" w:space="0" w:color="auto" w:frame="1"/>
        </w:rPr>
      </w:pPr>
      <w:r>
        <w:rPr>
          <w:rFonts w:eastAsia="Calibri" w:cs="Arial"/>
          <w:sz w:val="16"/>
          <w:szCs w:val="16"/>
          <w:bdr w:val="none" w:sz="0" w:space="0" w:color="auto" w:frame="1"/>
        </w:rPr>
        <w:br w:type="page"/>
      </w:r>
    </w:p>
    <w:p w:rsidR="000858D4" w:rsidRDefault="00BA7A7F" w:rsidP="000858D4">
      <w:pPr>
        <w:pStyle w:val="TableHeading"/>
        <w:keepLines/>
        <w:spacing w:before="240"/>
        <w:rPr>
          <w:rFonts w:cs="Arial"/>
        </w:rPr>
      </w:pPr>
      <w:r>
        <w:rPr>
          <w:rFonts w:cs="Arial"/>
        </w:rPr>
        <w:t>Table 3.7: Schedule of budgeted income and expenses administered on behalf of Government (for the period ended 30 June)</w:t>
      </w:r>
    </w:p>
    <w:p w:rsidR="000858D4" w:rsidRDefault="00BA7A7F" w:rsidP="000858D4">
      <w:r>
        <w:t>ANSTO has no budgeted income and expenses administered on behalf of Government; therefore Table 3.7 is not presented.</w:t>
      </w:r>
    </w:p>
    <w:p w:rsidR="000858D4" w:rsidRDefault="00BA7A7F" w:rsidP="000858D4">
      <w:pPr>
        <w:pStyle w:val="TableHeading"/>
        <w:keepLines/>
        <w:spacing w:before="240"/>
        <w:rPr>
          <w:rFonts w:cs="Arial"/>
        </w:rPr>
      </w:pPr>
      <w:r>
        <w:rPr>
          <w:rFonts w:cs="Arial"/>
        </w:rPr>
        <w:t>Table 3.8: Schedule of budgeted assets and liabilities administered on behalf of Government (as at 30 June)</w:t>
      </w:r>
    </w:p>
    <w:p w:rsidR="000858D4" w:rsidRDefault="00BA7A7F" w:rsidP="000858D4">
      <w:r>
        <w:t>ANSTO has no budgeted assets and liabilities administered on behalf of Government; therefore Table 3.8 is not presented.</w:t>
      </w:r>
      <w:r>
        <w:rPr>
          <w:rFonts w:ascii="Arial" w:hAnsi="Arial" w:cs="Arial"/>
          <w:sz w:val="16"/>
          <w:szCs w:val="16"/>
        </w:rPr>
        <w:t xml:space="preserve"> </w:t>
      </w:r>
    </w:p>
    <w:p w:rsidR="000858D4" w:rsidRDefault="00BA7A7F" w:rsidP="000858D4">
      <w:pPr>
        <w:pStyle w:val="TableHeading"/>
        <w:keepLines/>
        <w:spacing w:before="240"/>
        <w:rPr>
          <w:rFonts w:cs="Arial"/>
        </w:rPr>
      </w:pPr>
      <w:r>
        <w:rPr>
          <w:rFonts w:cs="Arial"/>
        </w:rPr>
        <w:t>Table 3.9: Schedule of budgeted administered cash flows (for the period ended 30 June)</w:t>
      </w:r>
    </w:p>
    <w:p w:rsidR="000858D4" w:rsidRDefault="00BA7A7F" w:rsidP="000858D4">
      <w:pPr>
        <w:autoSpaceDE w:val="0"/>
        <w:autoSpaceDN w:val="0"/>
        <w:adjustRightInd w:val="0"/>
        <w:spacing w:after="0" w:line="240" w:lineRule="auto"/>
        <w:jc w:val="left"/>
      </w:pPr>
      <w:r>
        <w:t>ANSTO has no budgeted administered cash flows; therefore Table 3.9 is not presented.</w:t>
      </w:r>
    </w:p>
    <w:p w:rsidR="000858D4" w:rsidRDefault="000858D4" w:rsidP="000858D4">
      <w:pPr>
        <w:pStyle w:val="NoSpacing"/>
        <w:rPr>
          <w:rFonts w:ascii="Arial" w:hAnsi="Arial" w:cs="Arial"/>
          <w:sz w:val="16"/>
          <w:szCs w:val="16"/>
        </w:rPr>
      </w:pPr>
    </w:p>
    <w:p w:rsidR="000858D4" w:rsidRDefault="00BA7A7F" w:rsidP="000858D4">
      <w:pPr>
        <w:pStyle w:val="TableHeadingcontinued"/>
      </w:pPr>
      <w:r>
        <w:t>Table 3.10: Administered capital budget statement (for the period ended 30 June)</w:t>
      </w:r>
    </w:p>
    <w:p w:rsidR="000858D4" w:rsidRDefault="00BA7A7F" w:rsidP="000858D4">
      <w:r>
        <w:t>ANSTO has no administered capital budget; therefore Table 3.10 is not presented.</w:t>
      </w:r>
    </w:p>
    <w:p w:rsidR="000858D4" w:rsidRDefault="00BA7A7F" w:rsidP="000858D4">
      <w:pPr>
        <w:pStyle w:val="TableHeading"/>
        <w:keepLines/>
        <w:spacing w:before="240" w:after="0"/>
        <w:rPr>
          <w:rFonts w:cs="Arial"/>
        </w:rPr>
      </w:pPr>
      <w:r>
        <w:rPr>
          <w:rFonts w:cs="Arial"/>
        </w:rPr>
        <w:t>Table 3.11: Statement of administered asset movements (Budget year 2022­23)</w:t>
      </w:r>
    </w:p>
    <w:p w:rsidR="000858D4" w:rsidRDefault="00BA7A7F" w:rsidP="000858D4">
      <w:pPr>
        <w:pStyle w:val="NoSpacing"/>
      </w:pPr>
      <w:r>
        <w:t>ANSTO has no administered asset movements; therefore Table 3.11 is not presented.</w:t>
      </w:r>
    </w:p>
    <w:p w:rsidR="000858D4" w:rsidRPr="000858D4" w:rsidRDefault="000858D4" w:rsidP="000858D4">
      <w:pPr>
        <w:spacing w:before="20" w:after="60" w:line="240" w:lineRule="auto"/>
        <w:rPr>
          <w:rFonts w:eastAsia="Calibri" w:cs="Arial"/>
          <w:vanish/>
          <w:sz w:val="16"/>
          <w:szCs w:val="16"/>
          <w:bdr w:val="none" w:sz="0" w:space="0" w:color="auto" w:frame="1"/>
        </w:rPr>
        <w:sectPr w:rsidR="000858D4" w:rsidRPr="000858D4" w:rsidSect="00F07738">
          <w:headerReference w:type="even" r:id="rId193"/>
          <w:headerReference w:type="default" r:id="rId194"/>
          <w:footerReference w:type="even" r:id="rId195"/>
          <w:footerReference w:type="default" r:id="rId196"/>
          <w:headerReference w:type="first" r:id="rId197"/>
          <w:footerReference w:type="first" r:id="rId198"/>
          <w:type w:val="continuous"/>
          <w:pgSz w:w="11906" w:h="16838"/>
          <w:pgMar w:top="2466" w:right="2098" w:bottom="2466" w:left="2098" w:header="1899" w:footer="1899" w:gutter="0"/>
          <w:pgBorders>
            <w:top w:val="nil"/>
            <w:left w:val="nil"/>
            <w:bottom w:val="nil"/>
            <w:right w:val="nil"/>
          </w:pgBorders>
          <w:cols w:space="720"/>
          <w:docGrid w:linePitch="360"/>
        </w:sectPr>
      </w:pPr>
    </w:p>
    <w:p w:rsidR="00D86095" w:rsidRDefault="00D86095">
      <w:pPr>
        <w:pageBreakBefore/>
      </w:pPr>
      <w:bookmarkStart w:id="495" w:name="RG_MARKER_12288"/>
      <w:bookmarkStart w:id="496" w:name="RG_MARKER_12287"/>
      <w:bookmarkStart w:id="497" w:name="RG_MARKER_12284"/>
      <w:bookmarkStart w:id="498" w:name="RG_MARKER_12283"/>
      <w:bookmarkEnd w:id="495"/>
      <w:bookmarkEnd w:id="496"/>
      <w:bookmarkEnd w:id="497"/>
      <w:bookmarkEnd w:id="498"/>
    </w:p>
    <w:p w:rsidR="00FA15D4" w:rsidRDefault="00BA7A7F" w:rsidP="00FE00F7">
      <w:pPr>
        <w:pStyle w:val="Department"/>
        <w:pageBreakBefore/>
        <w:jc w:val="left"/>
        <w:rPr>
          <w:smallCaps/>
          <w:color w:val="FFFFFF"/>
          <w:sz w:val="24"/>
          <w:szCs w:val="24"/>
        </w:rPr>
      </w:pPr>
      <w:bookmarkStart w:id="499" w:name="RG_MARKER_12289"/>
      <w:r w:rsidRPr="00FE00F7">
        <w:rPr>
          <w:smallCaps/>
          <w:color w:val="FFFFFF"/>
          <w:sz w:val="24"/>
          <w:szCs w:val="24"/>
        </w:rPr>
        <w:t>Department o</w:t>
      </w:r>
      <w:bookmarkEnd w:id="499"/>
    </w:p>
    <w:p w:rsidR="00FA15D4" w:rsidRDefault="00FA15D4" w:rsidP="002E6B3D">
      <w:pPr>
        <w:pStyle w:val="Department"/>
        <w:spacing w:before="1320"/>
        <w:rPr>
          <w:smallCaps/>
        </w:rPr>
      </w:pPr>
    </w:p>
    <w:p w:rsidR="00FA15D4" w:rsidRPr="00B64077" w:rsidRDefault="00FA15D4" w:rsidP="00FA15D4">
      <w:pPr>
        <w:pStyle w:val="PartHeading"/>
        <w:keepLines/>
        <w:spacing w:before="240" w:after="240"/>
        <w:rPr>
          <w:kern w:val="0"/>
          <w:szCs w:val="20"/>
        </w:rPr>
      </w:pPr>
    </w:p>
    <w:p w:rsidR="00FA15D4" w:rsidRPr="00B64077" w:rsidRDefault="00BA7A7F" w:rsidP="00FA15D4">
      <w:pPr>
        <w:pStyle w:val="PartHeading"/>
        <w:keepLines/>
        <w:spacing w:before="240" w:after="240"/>
        <w:rPr>
          <w:bCs w:val="0"/>
          <w:kern w:val="0"/>
          <w:szCs w:val="20"/>
        </w:rPr>
      </w:pPr>
      <w:r w:rsidRPr="00B64077">
        <w:rPr>
          <w:rFonts w:ascii="Arial" w:hAnsi="Arial"/>
          <w:bCs w:val="0"/>
          <w:kern w:val="0"/>
          <w:szCs w:val="20"/>
        </w:rPr>
        <w:t>Australian Renewable Energy Agency</w:t>
      </w:r>
    </w:p>
    <w:p w:rsidR="00FA15D4" w:rsidRPr="00B64077" w:rsidRDefault="00FA15D4" w:rsidP="00FA15D4">
      <w:pPr>
        <w:pStyle w:val="PartHeading"/>
        <w:keepLines/>
        <w:spacing w:before="240" w:after="240"/>
        <w:rPr>
          <w:bCs w:val="0"/>
          <w:kern w:val="0"/>
          <w:sz w:val="48"/>
          <w:szCs w:val="48"/>
        </w:rPr>
      </w:pPr>
    </w:p>
    <w:p w:rsidR="00FA15D4" w:rsidRPr="00B64077" w:rsidRDefault="00FA15D4" w:rsidP="00FA15D4">
      <w:pPr>
        <w:pStyle w:val="PartHeading"/>
        <w:keepLines/>
        <w:spacing w:before="240" w:after="240"/>
        <w:rPr>
          <w:kern w:val="0"/>
          <w:sz w:val="48"/>
          <w:szCs w:val="48"/>
        </w:rPr>
      </w:pPr>
    </w:p>
    <w:p w:rsidR="00FA15D4" w:rsidRPr="00B64077" w:rsidRDefault="00BA7A7F" w:rsidP="00FA15D4">
      <w:pPr>
        <w:pStyle w:val="PartHeading-TOC"/>
        <w:rPr>
          <w:smallCaps w:val="0"/>
        </w:rPr>
      </w:pPr>
      <w:bookmarkStart w:id="500" w:name="_Toc508032982_2"/>
      <w:r w:rsidRPr="00B64077">
        <w:rPr>
          <w:bCs w:val="0"/>
          <w:smallCaps w:val="0"/>
        </w:rPr>
        <w:t>Entity resources and planned performance</w:t>
      </w:r>
      <w:bookmarkEnd w:id="500"/>
    </w:p>
    <w:p w:rsidR="00253274" w:rsidRDefault="00253274">
      <w:pPr>
        <w:keepLines w:val="0"/>
        <w:spacing w:after="160" w:line="259" w:lineRule="auto"/>
        <w:jc w:val="left"/>
        <w:rPr>
          <w:rFonts w:ascii="Calibri" w:eastAsia="Calibri" w:hAnsi="Calibri"/>
          <w:sz w:val="22"/>
          <w:szCs w:val="22"/>
          <w:lang w:val="en-US" w:eastAsia="en-US"/>
        </w:rPr>
      </w:pPr>
    </w:p>
    <w:p w:rsidR="007E6680" w:rsidRDefault="007E6680">
      <w:pPr>
        <w:keepLines w:val="0"/>
        <w:spacing w:after="160" w:line="259" w:lineRule="auto"/>
        <w:jc w:val="left"/>
        <w:rPr>
          <w:rFonts w:ascii="Calibri" w:eastAsia="Calibri" w:hAnsi="Calibri"/>
          <w:sz w:val="22"/>
          <w:szCs w:val="22"/>
          <w:lang w:val="en-US" w:eastAsia="en-US"/>
        </w:rPr>
      </w:pPr>
      <w:bookmarkStart w:id="501" w:name="RG_MARKER_12356"/>
      <w:bookmarkEnd w:id="501"/>
    </w:p>
    <w:p w:rsidR="00D86095" w:rsidRDefault="00BA7A7F">
      <w:pPr>
        <w:pageBreakBefore/>
      </w:pPr>
      <w:bookmarkStart w:id="502" w:name="RG_MARKER_12291"/>
      <w:r>
        <w:t xml:space="preserve">      </w:t>
      </w:r>
      <w:bookmarkEnd w:id="502"/>
    </w:p>
    <w:p w:rsidR="004D0F5B" w:rsidRPr="00926A5B" w:rsidRDefault="00BA7A7F" w:rsidP="009420CE">
      <w:pPr>
        <w:pStyle w:val="ContentsHeading"/>
        <w:pageBreakBefore/>
        <w:spacing w:after="600"/>
        <w:rPr>
          <w:smallCaps w:val="0"/>
        </w:rPr>
      </w:pPr>
      <w:bookmarkStart w:id="503" w:name="RG_MARKER_12292"/>
      <w:bookmarkStart w:id="504" w:name="RG_MARKER_12294"/>
      <w:r w:rsidRPr="00926A5B">
        <w:rPr>
          <w:smallCaps w:val="0"/>
        </w:rPr>
        <w:t>Australian Renewable Energy Agency</w:t>
      </w:r>
      <w:bookmarkEnd w:id="503"/>
      <w:bookmarkEnd w:id="504"/>
    </w:p>
    <w:p w:rsidR="004D0F5B" w:rsidRPr="00846FBC" w:rsidRDefault="00BA7A7F" w:rsidP="00846FBC">
      <w:pPr>
        <w:pStyle w:val="TOC1"/>
      </w:pPr>
      <w:r w:rsidRPr="00846FBC">
        <w:t>Section 1: Entity overview and resources</w:t>
      </w:r>
      <w:r w:rsidRPr="00846FBC">
        <w:tab/>
        <w:t>141</w:t>
      </w:r>
    </w:p>
    <w:p w:rsidR="004D0F5B" w:rsidRDefault="00BA7A7F" w:rsidP="004D0F5B">
      <w:pPr>
        <w:pStyle w:val="TOC2"/>
      </w:pPr>
      <w:r>
        <w:t>1.1 Strategic direction statement</w:t>
      </w:r>
      <w:r>
        <w:tab/>
      </w:r>
      <w:r w:rsidRPr="00B75654">
        <w:t>141</w:t>
      </w:r>
    </w:p>
    <w:p w:rsidR="004D0F5B" w:rsidRDefault="00BA7A7F" w:rsidP="004D0F5B">
      <w:pPr>
        <w:pStyle w:val="TOC2"/>
      </w:pPr>
      <w:r>
        <w:t>1.2 Entity resource statement</w:t>
      </w:r>
      <w:r>
        <w:tab/>
      </w:r>
      <w:r w:rsidRPr="00B75654">
        <w:t>143</w:t>
      </w:r>
    </w:p>
    <w:p w:rsidR="00371743" w:rsidRDefault="00BA7A7F" w:rsidP="00371743">
      <w:pPr>
        <w:pStyle w:val="TOC2"/>
      </w:pPr>
      <w:r>
        <w:t>1.3 Budget measures</w:t>
      </w:r>
      <w:r>
        <w:tab/>
      </w:r>
      <w:r w:rsidRPr="00290279">
        <w:t>144</w:t>
      </w:r>
    </w:p>
    <w:p w:rsidR="004D0F5B" w:rsidRDefault="00BA7A7F" w:rsidP="00846FBC">
      <w:pPr>
        <w:pStyle w:val="TOC1"/>
      </w:pPr>
      <w:r>
        <w:t>S</w:t>
      </w:r>
      <w:r w:rsidRPr="002645FE">
        <w:t xml:space="preserve">ection 2: </w:t>
      </w:r>
      <w:r>
        <w:t>O</w:t>
      </w:r>
      <w:r w:rsidRPr="002645FE">
        <w:t xml:space="preserve">utcomes and </w:t>
      </w:r>
      <w:r>
        <w:t>p</w:t>
      </w:r>
      <w:r w:rsidRPr="002645FE">
        <w:t xml:space="preserve">lanned </w:t>
      </w:r>
      <w:r>
        <w:t>p</w:t>
      </w:r>
      <w:r w:rsidRPr="002645FE">
        <w:t>erformance</w:t>
      </w:r>
      <w:r>
        <w:tab/>
        <w:t>145</w:t>
      </w:r>
    </w:p>
    <w:p w:rsidR="004D0F5B" w:rsidRDefault="00BA7A7F" w:rsidP="004D0F5B">
      <w:pPr>
        <w:pStyle w:val="TOC2"/>
      </w:pPr>
      <w:r>
        <w:t>2.1 Budgeted expenses and performance for Outcome 1</w:t>
      </w:r>
      <w:r>
        <w:tab/>
        <w:t>146</w:t>
      </w:r>
    </w:p>
    <w:p w:rsidR="004D0F5B" w:rsidRDefault="00BA7A7F" w:rsidP="00846FBC">
      <w:pPr>
        <w:pStyle w:val="TOC1"/>
      </w:pPr>
      <w:r>
        <w:t>S</w:t>
      </w:r>
      <w:r w:rsidRPr="002645FE">
        <w:t xml:space="preserve">ection 3: </w:t>
      </w:r>
      <w:r>
        <w:t>B</w:t>
      </w:r>
      <w:r w:rsidRPr="002645FE">
        <w:t xml:space="preserve">udgeted </w:t>
      </w:r>
      <w:r>
        <w:t>f</w:t>
      </w:r>
      <w:r w:rsidRPr="002645FE">
        <w:t xml:space="preserve">inancial </w:t>
      </w:r>
      <w:r>
        <w:t>s</w:t>
      </w:r>
      <w:r w:rsidRPr="002645FE">
        <w:t>tatements</w:t>
      </w:r>
      <w:r>
        <w:tab/>
      </w:r>
      <w:r w:rsidRPr="004F6A3E">
        <w:t>150</w:t>
      </w:r>
    </w:p>
    <w:p w:rsidR="00D86095" w:rsidRDefault="00BA7A7F" w:rsidP="005F2963">
      <w:pPr>
        <w:pStyle w:val="TOC2"/>
      </w:pPr>
      <w:r>
        <w:t>3.1 Budgeted financial statements</w:t>
      </w:r>
      <w:r>
        <w:tab/>
      </w:r>
      <w:r w:rsidRPr="004F6A3E">
        <w:t>150</w:t>
      </w:r>
    </w:p>
    <w:p w:rsidR="00D86095" w:rsidRDefault="00BA7A7F">
      <w:pPr>
        <w:pageBreakBefore/>
        <w:sectPr w:rsidR="00D86095" w:rsidSect="00D86095">
          <w:headerReference w:type="even" r:id="rId199"/>
          <w:headerReference w:type="default" r:id="rId200"/>
          <w:footerReference w:type="even" r:id="rId201"/>
          <w:footerReference w:type="default" r:id="rId202"/>
          <w:headerReference w:type="first" r:id="rId203"/>
          <w:footerReference w:type="first" r:id="rId204"/>
          <w:type w:val="continuous"/>
          <w:pgSz w:w="11906" w:h="16838"/>
          <w:pgMar w:top="2466" w:right="2098" w:bottom="2466" w:left="2098" w:header="1899" w:footer="1899" w:gutter="0"/>
          <w:pgBorders>
            <w:top w:val="nil"/>
            <w:left w:val="nil"/>
            <w:bottom w:val="nil"/>
            <w:right w:val="nil"/>
          </w:pgBorders>
          <w:cols w:space="720"/>
          <w:docGrid w:linePitch="360"/>
        </w:sectPr>
      </w:pPr>
      <w:bookmarkStart w:id="505" w:name="RG_MARKER_12295"/>
      <w:bookmarkStart w:id="506" w:name="RG_MARKER_12296"/>
      <w:r>
        <w:t xml:space="preserve">     </w:t>
      </w:r>
      <w:bookmarkEnd w:id="505"/>
      <w:bookmarkEnd w:id="506"/>
    </w:p>
    <w:p w:rsidR="00A85152" w:rsidRPr="00C1267C" w:rsidRDefault="00BA7A7F" w:rsidP="00A85152">
      <w:pPr>
        <w:pStyle w:val="Heading1"/>
        <w:pageBreakBefore/>
        <w:rPr>
          <w:smallCaps w:val="0"/>
        </w:rPr>
      </w:pPr>
      <w:bookmarkStart w:id="507" w:name="RG_MARKER_12298"/>
      <w:bookmarkStart w:id="508" w:name="RG_MARKER_12299"/>
      <w:bookmarkStart w:id="509" w:name="RG_MARKER_12301"/>
      <w:r w:rsidRPr="00C1267C">
        <w:rPr>
          <w:smallCaps w:val="0"/>
        </w:rPr>
        <w:t>Australian Renewable Energy Agency</w:t>
      </w:r>
      <w:bookmarkEnd w:id="507"/>
      <w:bookmarkEnd w:id="508"/>
      <w:bookmarkEnd w:id="509"/>
    </w:p>
    <w:p w:rsidR="00A85152" w:rsidRPr="00C1267C" w:rsidRDefault="00BA7A7F" w:rsidP="00A85152">
      <w:pPr>
        <w:pStyle w:val="Heading2"/>
        <w:rPr>
          <w:b/>
          <w:sz w:val="26"/>
          <w:szCs w:val="26"/>
        </w:rPr>
      </w:pPr>
      <w:r w:rsidRPr="00C1267C">
        <w:rPr>
          <w:b/>
          <w:sz w:val="26"/>
          <w:szCs w:val="26"/>
        </w:rPr>
        <w:t>Section 1</w:t>
      </w:r>
      <w:bookmarkStart w:id="510" w:name="_Toc449255758_2"/>
      <w:bookmarkStart w:id="511" w:name="_Toc446237031_2"/>
      <w:r w:rsidRPr="00C1267C">
        <w:rPr>
          <w:b/>
          <w:sz w:val="26"/>
          <w:szCs w:val="26"/>
        </w:rPr>
        <w:t>: Entity overview and resources</w:t>
      </w:r>
      <w:bookmarkEnd w:id="510"/>
      <w:bookmarkEnd w:id="511"/>
    </w:p>
    <w:p w:rsidR="00A85152" w:rsidRPr="00C1267C" w:rsidRDefault="00BA7A7F" w:rsidP="004E29FD">
      <w:pPr>
        <w:pStyle w:val="Heading3"/>
        <w:numPr>
          <w:ilvl w:val="1"/>
          <w:numId w:val="60"/>
        </w:numPr>
        <w:spacing w:before="0" w:line="260" w:lineRule="exact"/>
        <w:rPr>
          <w:smallCaps w:val="0"/>
          <w:sz w:val="22"/>
          <w:szCs w:val="22"/>
        </w:rPr>
      </w:pPr>
      <w:bookmarkStart w:id="512" w:name="_Toc210698428_2"/>
      <w:bookmarkStart w:id="513" w:name="_Toc210646449_2"/>
      <w:bookmarkStart w:id="514" w:name="_Toc210703209_2"/>
      <w:r w:rsidRPr="00C1267C">
        <w:rPr>
          <w:smallCaps w:val="0"/>
          <w:sz w:val="22"/>
          <w:szCs w:val="22"/>
        </w:rPr>
        <w:t>Strategic direction</w:t>
      </w:r>
      <w:bookmarkEnd w:id="512"/>
      <w:bookmarkEnd w:id="513"/>
      <w:bookmarkEnd w:id="514"/>
      <w:r w:rsidRPr="00C1267C">
        <w:rPr>
          <w:smallCaps w:val="0"/>
          <w:sz w:val="22"/>
          <w:szCs w:val="22"/>
        </w:rPr>
        <w:t xml:space="preserve"> statement</w:t>
      </w:r>
    </w:p>
    <w:p w:rsidR="005170DE" w:rsidRDefault="00BA7A7F" w:rsidP="0086080F">
      <w:r>
        <w:t xml:space="preserve">The Australian Renewable Energy Agency (ARENA) is a corporate Commonwealth entity. ARENA’s purpose is to support improvements in the competitiveness and supply of renewable energy and other low emissions technologies by providing financial assistance and sharing knowledge, to accelerate innovation that benefits all Australians.  </w:t>
      </w:r>
    </w:p>
    <w:p w:rsidR="004D00D5" w:rsidRDefault="00BA7A7F" w:rsidP="0086080F">
      <w:r>
        <w:t xml:space="preserve">Since the 2021-22 Budget, the Government has expanded the mandate of ARENA through the Australian Renewable Energy Agency (Implementing the Technology Investment Roadmap) Regulations 2021 (the Regulations). The Regulations prescribe a function of providing financial assistance in relation to priority low emissions technologies, with a focus on the five priority low emissions technologies and the corresponding stretch goals identified in the Government’s first Low Emissions Technology Statement (LETS). The Regulations also prescribe a function of providing financial assistance in relation to five targeted programs announced in the 2020-21 Budget: Freight Efficiency Assistance Grants, the Freight Energy Productivity Trial Program, the Future Fuels Fund, the Industrial Energy Transformation Studies Program and the Regional Australia Microgrid Pilots Program. </w:t>
      </w:r>
    </w:p>
    <w:p w:rsidR="004D00D5" w:rsidRDefault="00BA7A7F" w:rsidP="0086080F">
      <w:r>
        <w:t xml:space="preserve">Consistent with the functions set out in the </w:t>
      </w:r>
      <w:r w:rsidRPr="006D5B4C">
        <w:rPr>
          <w:i/>
        </w:rPr>
        <w:t>Australian Renewable Energy Agency Act 2011</w:t>
      </w:r>
      <w:r>
        <w:t xml:space="preserve"> (ARENA Act) and the priorities set out in the General Funding Strategy, ARENA provides financial assistance for:</w:t>
      </w:r>
    </w:p>
    <w:p w:rsidR="004D00D5" w:rsidRDefault="00BA7A7F" w:rsidP="00FE47F7">
      <w:pPr>
        <w:pStyle w:val="ListParagraph"/>
        <w:keepLines/>
        <w:numPr>
          <w:ilvl w:val="0"/>
          <w:numId w:val="61"/>
        </w:numPr>
        <w:spacing w:after="0"/>
        <w:ind w:left="284" w:hanging="284"/>
        <w:contextualSpacing w:val="0"/>
        <w:rPr>
          <w:rFonts w:eastAsia="Times New Roman" w:cs="Times New Roman"/>
          <w:sz w:val="20"/>
          <w:szCs w:val="20"/>
          <w:lang w:val="en-AU"/>
        </w:rPr>
      </w:pPr>
      <w:r>
        <w:rPr>
          <w:rFonts w:eastAsia="Times New Roman" w:cs="Times New Roman"/>
          <w:sz w:val="20"/>
          <w:szCs w:val="20"/>
          <w:lang w:val="en-AU"/>
        </w:rPr>
        <w:t>T</w:t>
      </w:r>
      <w:r w:rsidRPr="005F5293">
        <w:rPr>
          <w:rFonts w:eastAsia="Times New Roman" w:cs="Times New Roman"/>
          <w:sz w:val="20"/>
          <w:szCs w:val="20"/>
          <w:lang w:val="en-AU"/>
        </w:rPr>
        <w:t>he research, development, demonstration, deployment and commercialisation of renewable energy and related technologies</w:t>
      </w:r>
      <w:r>
        <w:rPr>
          <w:rFonts w:eastAsia="Times New Roman" w:cs="Times New Roman"/>
          <w:sz w:val="20"/>
          <w:szCs w:val="20"/>
          <w:lang w:val="en-AU"/>
        </w:rPr>
        <w:t>.</w:t>
      </w:r>
    </w:p>
    <w:p w:rsidR="004D00D5" w:rsidRDefault="00BA7A7F" w:rsidP="00FE47F7">
      <w:pPr>
        <w:pStyle w:val="ListParagraph"/>
        <w:keepLines/>
        <w:numPr>
          <w:ilvl w:val="0"/>
          <w:numId w:val="61"/>
        </w:numPr>
        <w:spacing w:after="0"/>
        <w:ind w:left="284" w:hanging="284"/>
        <w:contextualSpacing w:val="0"/>
        <w:rPr>
          <w:rFonts w:eastAsia="Times New Roman" w:cs="Times New Roman"/>
          <w:sz w:val="20"/>
          <w:szCs w:val="20"/>
          <w:lang w:val="en-AU"/>
        </w:rPr>
      </w:pPr>
      <w:r>
        <w:rPr>
          <w:rFonts w:eastAsia="Times New Roman" w:cs="Times New Roman"/>
          <w:sz w:val="20"/>
          <w:szCs w:val="20"/>
          <w:lang w:val="en-AU"/>
        </w:rPr>
        <w:t>S</w:t>
      </w:r>
      <w:r w:rsidRPr="005F5293">
        <w:rPr>
          <w:rFonts w:eastAsia="Times New Roman" w:cs="Times New Roman"/>
          <w:sz w:val="20"/>
          <w:szCs w:val="20"/>
          <w:lang w:val="en-AU"/>
        </w:rPr>
        <w:t>upport</w:t>
      </w:r>
      <w:r>
        <w:rPr>
          <w:rFonts w:eastAsia="Times New Roman" w:cs="Times New Roman"/>
          <w:sz w:val="20"/>
          <w:szCs w:val="20"/>
          <w:lang w:val="en-AU"/>
        </w:rPr>
        <w:t>ing</w:t>
      </w:r>
      <w:r w:rsidRPr="005F5293">
        <w:rPr>
          <w:rFonts w:eastAsia="Times New Roman" w:cs="Times New Roman"/>
          <w:sz w:val="20"/>
          <w:szCs w:val="20"/>
          <w:lang w:val="en-AU"/>
        </w:rPr>
        <w:t xml:space="preserve"> low emissions technologies, as outlined in the </w:t>
      </w:r>
      <w:r>
        <w:rPr>
          <w:rFonts w:eastAsia="Times New Roman" w:cs="Times New Roman"/>
          <w:sz w:val="20"/>
          <w:szCs w:val="20"/>
          <w:lang w:val="en-AU"/>
        </w:rPr>
        <w:t xml:space="preserve">Government’s </w:t>
      </w:r>
      <w:r w:rsidRPr="005F5293">
        <w:rPr>
          <w:rFonts w:eastAsia="Times New Roman" w:cs="Times New Roman"/>
          <w:sz w:val="20"/>
          <w:szCs w:val="20"/>
          <w:lang w:val="en-AU"/>
        </w:rPr>
        <w:t>first Low Emissions Technology Statement</w:t>
      </w:r>
      <w:r>
        <w:rPr>
          <w:rFonts w:eastAsia="Times New Roman" w:cs="Times New Roman"/>
          <w:sz w:val="20"/>
          <w:szCs w:val="20"/>
          <w:lang w:val="en-AU"/>
        </w:rPr>
        <w:t>.</w:t>
      </w:r>
      <w:r w:rsidRPr="005F5293">
        <w:rPr>
          <w:rFonts w:eastAsia="Times New Roman" w:cs="Times New Roman"/>
          <w:sz w:val="20"/>
          <w:szCs w:val="20"/>
          <w:lang w:val="en-AU"/>
        </w:rPr>
        <w:t xml:space="preserve"> </w:t>
      </w:r>
    </w:p>
    <w:p w:rsidR="004D00D5" w:rsidRDefault="00BA7A7F" w:rsidP="00AF1704">
      <w:pPr>
        <w:pStyle w:val="ListParagraph"/>
        <w:keepLines/>
        <w:numPr>
          <w:ilvl w:val="0"/>
          <w:numId w:val="61"/>
        </w:numPr>
        <w:ind w:left="284" w:hanging="284"/>
        <w:contextualSpacing w:val="0"/>
        <w:rPr>
          <w:rFonts w:eastAsia="Times New Roman" w:cs="Times New Roman"/>
          <w:sz w:val="20"/>
          <w:szCs w:val="20"/>
          <w:lang w:val="en-AU"/>
        </w:rPr>
      </w:pPr>
      <w:r>
        <w:rPr>
          <w:rFonts w:eastAsia="Times New Roman" w:cs="Times New Roman"/>
          <w:sz w:val="20"/>
          <w:szCs w:val="20"/>
          <w:lang w:val="en-AU"/>
        </w:rPr>
        <w:t>T</w:t>
      </w:r>
      <w:r w:rsidRPr="005F5293">
        <w:rPr>
          <w:rFonts w:eastAsia="Times New Roman" w:cs="Times New Roman"/>
          <w:sz w:val="20"/>
          <w:szCs w:val="20"/>
          <w:lang w:val="en-AU"/>
        </w:rPr>
        <w:t xml:space="preserve">he storage and sharing of knowledge and information about renewable energy </w:t>
      </w:r>
      <w:r>
        <w:rPr>
          <w:rFonts w:eastAsia="Times New Roman" w:cs="Times New Roman"/>
          <w:sz w:val="20"/>
          <w:szCs w:val="20"/>
          <w:lang w:val="en-AU"/>
        </w:rPr>
        <w:t xml:space="preserve">and other low emissions </w:t>
      </w:r>
      <w:r w:rsidRPr="005F5293">
        <w:rPr>
          <w:rFonts w:eastAsia="Times New Roman" w:cs="Times New Roman"/>
          <w:sz w:val="20"/>
          <w:szCs w:val="20"/>
          <w:lang w:val="en-AU"/>
        </w:rPr>
        <w:t xml:space="preserve">technologies. </w:t>
      </w:r>
    </w:p>
    <w:p w:rsidR="004D00D5" w:rsidRDefault="00BA7A7F" w:rsidP="0086080F">
      <w:pPr>
        <w:spacing w:before="240"/>
      </w:pPr>
      <w:r>
        <w:t>ARENA also collects, analyses, interprets and disseminates information and knowledge about renewable energy and other low emission technologies; and provides advice to the Minister for Industry, Energy and Emissions Reduction about these technologies and the renewable energy industry.</w:t>
      </w:r>
    </w:p>
    <w:p w:rsidR="00151318" w:rsidRDefault="00BA7A7F" w:rsidP="005F5293">
      <w:r>
        <w:t xml:space="preserve">ARENA, with the Clean Energy Finance Corporation, jointly manages the Clean Energy Innovation Fund. </w:t>
      </w:r>
    </w:p>
    <w:p w:rsidR="00231C7C" w:rsidRDefault="00231C7C" w:rsidP="005F5293">
      <w:pPr>
        <w:rPr>
          <w:vanish/>
        </w:rPr>
        <w:sectPr w:rsidR="00231C7C" w:rsidSect="00E007A4">
          <w:headerReference w:type="even" r:id="rId205"/>
          <w:headerReference w:type="default" r:id="rId206"/>
          <w:footerReference w:type="even" r:id="rId207"/>
          <w:footerReference w:type="default" r:id="rId208"/>
          <w:headerReference w:type="first" r:id="rId209"/>
          <w:footerReference w:type="first" r:id="rId210"/>
          <w:type w:val="continuous"/>
          <w:pgSz w:w="11906" w:h="16838"/>
          <w:pgMar w:top="2466" w:right="2098" w:bottom="2466" w:left="2098" w:header="1899" w:footer="1899" w:gutter="0"/>
          <w:pgBorders>
            <w:top w:val="nil"/>
            <w:left w:val="nil"/>
            <w:bottom w:val="nil"/>
            <w:right w:val="nil"/>
          </w:pgBorders>
          <w:cols w:space="720"/>
          <w:docGrid w:linePitch="360"/>
        </w:sectPr>
      </w:pPr>
    </w:p>
    <w:p w:rsidR="00A85152" w:rsidRPr="00832125" w:rsidRDefault="00BA7A7F" w:rsidP="00832125">
      <w:pPr>
        <w:pageBreakBefore/>
      </w:pPr>
      <w:bookmarkStart w:id="515" w:name="RG_MARKER_12304"/>
      <w:r w:rsidRPr="00A542D6">
        <w:t>ARENA is working with other government agencies and industry bodies</w:t>
      </w:r>
      <w:bookmarkEnd w:id="515"/>
      <w:r>
        <w:t>,</w:t>
      </w:r>
      <w:r w:rsidRPr="00A542D6">
        <w:t xml:space="preserve"> with a focus on the next generation of energy technologies</w:t>
      </w:r>
      <w:r>
        <w:t>,</w:t>
      </w:r>
      <w:r w:rsidRPr="00A542D6">
        <w:t xml:space="preserve"> to accelerate the transition to a lower emissions economy.</w:t>
      </w:r>
      <w:r>
        <w:t xml:space="preserve"> </w:t>
      </w:r>
      <w:r w:rsidRPr="00A542D6">
        <w:t>ARENA’s investments are expected to make a significant contribution to achieving the goals in the Government’s Low Emissions Technology Investment Roadmap.</w:t>
      </w:r>
    </w:p>
    <w:p w:rsidR="004C2526" w:rsidRPr="003967D8" w:rsidRDefault="00BA7A7F" w:rsidP="003967D8">
      <w:pPr>
        <w:pStyle w:val="Heading3"/>
        <w:pageBreakBefore/>
        <w:spacing w:before="360" w:after="120"/>
        <w:rPr>
          <w:smallCaps w:val="0"/>
          <w:sz w:val="22"/>
          <w:szCs w:val="22"/>
        </w:rPr>
      </w:pPr>
      <w:bookmarkStart w:id="516" w:name="RG_MARKER_12305"/>
      <w:bookmarkStart w:id="517" w:name="RG_MARKER_12306"/>
      <w:r w:rsidRPr="003967D8">
        <w:rPr>
          <w:smallCaps w:val="0"/>
          <w:sz w:val="22"/>
          <w:szCs w:val="22"/>
        </w:rPr>
        <w:t>1.2</w:t>
      </w:r>
      <w:bookmarkEnd w:id="516"/>
      <w:bookmarkEnd w:id="517"/>
      <w:r w:rsidRPr="003967D8">
        <w:rPr>
          <w:smallCaps w:val="0"/>
          <w:sz w:val="22"/>
          <w:szCs w:val="22"/>
        </w:rPr>
        <w:tab/>
        <w:t>Entity resource statement</w:t>
      </w:r>
    </w:p>
    <w:p w:rsidR="00F22CD6" w:rsidRPr="00F22CD6" w:rsidRDefault="00BA7A7F" w:rsidP="00F22CD6">
      <w:bookmarkStart w:id="518" w:name="OLE_LINK12_1"/>
      <w:bookmarkStart w:id="519" w:name="OLE_LINK11_1"/>
      <w:r w:rsidRPr="00F22CD6">
        <w:t>Table 1.1 shows the total funding from all sources available to the entity for its operations and to deliver programs and services on behalf of the Government.</w:t>
      </w:r>
    </w:p>
    <w:p w:rsidR="00F22CD6" w:rsidRPr="00F22CD6" w:rsidRDefault="00BA7A7F" w:rsidP="00F22CD6">
      <w:r w:rsidRPr="00F22CD6">
        <w:t>The table summarises how resources will be applied by outcome (government strategic policy objectives) and by administered (on behalf of the Government or the public) and departmental (for the entity’s operations) classification.</w:t>
      </w:r>
    </w:p>
    <w:p w:rsidR="00F22CD6" w:rsidRPr="00F22CD6" w:rsidRDefault="00BA7A7F" w:rsidP="00F22CD6">
      <w:r w:rsidRPr="00F22CD6">
        <w:t xml:space="preserve">For more detailed information on special accounts and special appropriations, please refer to </w:t>
      </w:r>
      <w:r w:rsidRPr="00F22CD6">
        <w:rPr>
          <w:i/>
        </w:rPr>
        <w:t>Budget Paper No. 4 – Agency Resourcing</w:t>
      </w:r>
      <w:r w:rsidRPr="00F22CD6">
        <w:t>.</w:t>
      </w:r>
    </w:p>
    <w:p w:rsidR="00F22CD6" w:rsidRPr="00F22CD6" w:rsidRDefault="00BA7A7F" w:rsidP="00F22CD6">
      <w:r w:rsidRPr="00F22CD6">
        <w:t>Information in this table is presented on a resourcing (that is, appropriations/cash available) basis, whilst the ‘Budgeted expenses by Outcome</w:t>
      </w:r>
      <w:r>
        <w:t xml:space="preserve"> 1</w:t>
      </w:r>
      <w:r w:rsidRPr="00F22CD6">
        <w:t>’ tables in Section 2 and the financial statements in Section 3 are presented on an accrual basis.</w:t>
      </w:r>
    </w:p>
    <w:bookmarkEnd w:id="518"/>
    <w:bookmarkEnd w:id="519"/>
    <w:p w:rsidR="004C2526" w:rsidRDefault="00BA7A7F" w:rsidP="00177229">
      <w:pPr>
        <w:pStyle w:val="TableHeading"/>
        <w:keepLines/>
        <w:spacing w:before="240" w:after="0"/>
      </w:pPr>
      <w:r w:rsidRPr="004C2526">
        <w:t xml:space="preserve">Table 1.1: </w:t>
      </w:r>
      <w:r>
        <w:rPr>
          <w:snapToGrid w:val="0"/>
        </w:rPr>
        <w:t>ARENA</w:t>
      </w:r>
      <w:r w:rsidRPr="004C2526">
        <w:t xml:space="preserve"> </w:t>
      </w:r>
      <w:r>
        <w:t>resource statement – B</w:t>
      </w:r>
      <w:r w:rsidRPr="00612A36">
        <w:t xml:space="preserve">udget estimates </w:t>
      </w:r>
      <w:r w:rsidRPr="004C2526">
        <w:t xml:space="preserve">for </w:t>
      </w:r>
      <w:r>
        <w:t>2022­23</w:t>
      </w:r>
      <w:r w:rsidRPr="004C2526">
        <w:t xml:space="preserve"> </w:t>
      </w:r>
      <w:r w:rsidRPr="00612A36">
        <w:t>as at Budget March</w:t>
      </w:r>
      <w:r w:rsidRPr="004C2526">
        <w:t xml:space="preserve"> </w:t>
      </w:r>
      <w:r>
        <w:t>2022</w:t>
      </w:r>
    </w:p>
    <w:tbl>
      <w:tblPr>
        <w:tblStyle w:val="CDMRange1"/>
        <w:tblW w:w="7725" w:type="dxa"/>
        <w:tblLayout w:type="fixed"/>
        <w:tblLook w:val="0600" w:firstRow="0" w:lastRow="0" w:firstColumn="0" w:lastColumn="0" w:noHBand="1" w:noVBand="1"/>
      </w:tblPr>
      <w:tblGrid>
        <w:gridCol w:w="5475"/>
        <w:gridCol w:w="1125"/>
        <w:gridCol w:w="1125"/>
      </w:tblGrid>
      <w:tr w:rsidR="00253274">
        <w:trPr>
          <w:trHeight w:val="900"/>
        </w:trPr>
        <w:tc>
          <w:tcPr>
            <w:tcW w:w="54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  Estimated actual</w:t>
            </w:r>
          </w:p>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 Estimate</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balance/cash reserves at 1 July </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139,033</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261,820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25" w:type="dxa"/>
            <w:tcBorders>
              <w:top w:val="dotted" w:sz="2" w:space="0" w:color="000000"/>
              <w:left w:val="nil"/>
              <w:bottom w:val="nil"/>
              <w:right w:val="nil"/>
              <w:tl2br w:val="nil"/>
              <w:tr2bl w:val="nil"/>
            </w:tcBorders>
            <w:shd w:val="clear" w:color="FFFFFF" w:fill="FFFFFF"/>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 (b)</w:t>
            </w:r>
          </w:p>
        </w:tc>
        <w:tc>
          <w:tcPr>
            <w:tcW w:w="1125" w:type="dxa"/>
            <w:tcBorders>
              <w:top w:val="nil"/>
              <w:left w:val="nil"/>
              <w:bottom w:val="nil"/>
              <w:right w:val="nil"/>
              <w:tl2br w:val="nil"/>
              <w:tr2bl w:val="nil"/>
            </w:tcBorders>
            <w:shd w:val="clear" w:color="FFFFFF" w:fill="FFFFFF"/>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117,173</w:t>
            </w:r>
          </w:p>
        </w:tc>
        <w:tc>
          <w:tcPr>
            <w:tcW w:w="112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289,450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117,173</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289,450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Amounts received from related entities</w:t>
            </w:r>
          </w:p>
        </w:tc>
        <w:tc>
          <w:tcPr>
            <w:tcW w:w="1125" w:type="dxa"/>
            <w:tcBorders>
              <w:top w:val="dotted" w:sz="2" w:space="0" w:color="000000"/>
              <w:left w:val="nil"/>
              <w:bottom w:val="nil"/>
              <w:right w:val="nil"/>
              <w:tl2br w:val="nil"/>
              <w:tr2bl w:val="nil"/>
            </w:tcBorders>
            <w:shd w:val="clear" w:color="FFFFFF" w:fill="FFFFFF"/>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Amounts from portfolio department (c)</w:t>
            </w:r>
          </w:p>
        </w:tc>
        <w:tc>
          <w:tcPr>
            <w:tcW w:w="112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304,836</w:t>
            </w:r>
          </w:p>
        </w:tc>
        <w:tc>
          <w:tcPr>
            <w:tcW w:w="112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amounts received from related entities</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304,836</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422,009</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289,450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25" w:type="dxa"/>
            <w:tcBorders>
              <w:top w:val="dotted" w:sz="2" w:space="0" w:color="000000"/>
              <w:left w:val="nil"/>
              <w:bottom w:val="nil"/>
              <w:right w:val="nil"/>
              <w:tl2br w:val="nil"/>
              <w:tr2bl w:val="nil"/>
            </w:tcBorders>
            <w:shd w:val="clear" w:color="FFFFFF" w:fill="FFFFFF"/>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25"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600</w:t>
            </w:r>
          </w:p>
        </w:tc>
        <w:tc>
          <w:tcPr>
            <w:tcW w:w="1125" w:type="dxa"/>
            <w:tcBorders>
              <w:top w:val="nil"/>
              <w:left w:val="nil"/>
              <w:bottom w:val="nil"/>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2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1,600</w:t>
            </w:r>
          </w:p>
        </w:tc>
        <w:tc>
          <w:tcPr>
            <w:tcW w:w="112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2,200</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ARENA</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563,242</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552,570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547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 (d)</w:t>
            </w:r>
          </w:p>
        </w:tc>
        <w:tc>
          <w:tcPr>
            <w:tcW w:w="11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w:t>
            </w:r>
          </w:p>
        </w:tc>
        <w:tc>
          <w:tcPr>
            <w:tcW w:w="112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w:t>
            </w:r>
          </w:p>
        </w:tc>
      </w:tr>
    </w:tbl>
    <w:p w:rsidR="00CC2A8E" w:rsidRPr="00611DAB" w:rsidRDefault="00BA7A7F" w:rsidP="00FA1C9D">
      <w:pPr>
        <w:spacing w:before="40" w:after="0" w:line="240" w:lineRule="auto"/>
        <w:contextualSpacing/>
        <w:rPr>
          <w:rFonts w:ascii="Arial" w:eastAsia="Calibri" w:hAnsi="Arial" w:cs="Arial"/>
          <w:sz w:val="16"/>
          <w:bdr w:val="none" w:sz="0" w:space="0" w:color="auto" w:frame="1"/>
        </w:rPr>
      </w:pPr>
      <w:r w:rsidRPr="00611DAB">
        <w:rPr>
          <w:rFonts w:ascii="Arial" w:eastAsia="Calibri" w:hAnsi="Arial" w:cs="Arial"/>
          <w:sz w:val="16"/>
          <w:bdr w:val="none" w:sz="0" w:space="0" w:color="auto" w:frame="1"/>
        </w:rPr>
        <w:t xml:space="preserve">All figures shown above are GST exclusive – these may not match figures in the cash flow statement. </w:t>
      </w:r>
    </w:p>
    <w:p w:rsidR="005A5780" w:rsidRPr="00611DAB" w:rsidRDefault="00BA7A7F" w:rsidP="00FA1C9D">
      <w:pPr>
        <w:spacing w:before="40" w:after="0" w:line="240" w:lineRule="auto"/>
        <w:contextualSpacing/>
        <w:rPr>
          <w:rFonts w:ascii="Arial" w:eastAsia="Calibri" w:hAnsi="Arial" w:cs="Arial"/>
          <w:sz w:val="16"/>
          <w:bdr w:val="none" w:sz="0" w:space="0" w:color="auto" w:frame="1"/>
        </w:rPr>
      </w:pPr>
      <w:r w:rsidRPr="00611DAB">
        <w:rPr>
          <w:rFonts w:ascii="Arial" w:eastAsia="Calibri" w:hAnsi="Arial" w:cs="Arial"/>
          <w:sz w:val="16"/>
          <w:bdr w:val="none" w:sz="0" w:space="0" w:color="auto" w:frame="1"/>
        </w:rPr>
        <w:t>Prepared on a resourcing (i.e. appropriations available) basis.</w:t>
      </w:r>
    </w:p>
    <w:p w:rsidR="00CC2A8E" w:rsidRPr="00611DAB" w:rsidRDefault="00BA7A7F" w:rsidP="00FA1C9D">
      <w:pPr>
        <w:pStyle w:val="ListParagraph"/>
        <w:keepLines/>
        <w:numPr>
          <w:ilvl w:val="0"/>
          <w:numId w:val="62"/>
        </w:numPr>
        <w:spacing w:after="0" w:line="240" w:lineRule="auto"/>
        <w:rPr>
          <w:rFonts w:eastAsia="Times New Roman" w:cs="Arial"/>
          <w:sz w:val="16"/>
          <w:szCs w:val="16"/>
          <w:lang w:val="en-AU"/>
        </w:rPr>
      </w:pPr>
      <w:r w:rsidRPr="00611DAB">
        <w:rPr>
          <w:rFonts w:ascii="Arial" w:eastAsia="Times New Roman" w:hAnsi="Arial" w:cs="Arial"/>
          <w:color w:val="000000"/>
          <w:sz w:val="16"/>
          <w:lang w:val="en-AU" w:eastAsia="x-none"/>
        </w:rPr>
        <w:t>Appropriation Bill (No. 1) 2022-23.</w:t>
      </w:r>
    </w:p>
    <w:p w:rsidR="00CC2A8E" w:rsidRPr="00611DAB" w:rsidRDefault="00BA7A7F" w:rsidP="00FA1C9D">
      <w:pPr>
        <w:pStyle w:val="ListParagraph"/>
        <w:keepLines/>
        <w:numPr>
          <w:ilvl w:val="0"/>
          <w:numId w:val="62"/>
        </w:numPr>
        <w:spacing w:after="0" w:line="240" w:lineRule="auto"/>
        <w:rPr>
          <w:rFonts w:eastAsia="Times New Roman" w:cs="Arial"/>
          <w:sz w:val="16"/>
          <w:szCs w:val="16"/>
          <w:lang w:val="en-AU"/>
        </w:rPr>
      </w:pPr>
      <w:r w:rsidRPr="00611DAB">
        <w:rPr>
          <w:rFonts w:ascii="Arial" w:eastAsia="Times New Roman" w:hAnsi="Arial" w:cs="Arial"/>
          <w:sz w:val="16"/>
          <w:szCs w:val="16"/>
          <w:lang w:val="en-AU"/>
        </w:rPr>
        <w:t>ARENA is not directly appropriated as it is a corporate Commonwealth entity. Appropriations are made to the Department of Industry, Science, Energy and Resources and then paid to ARENA and are considered departmental for all purposes.</w:t>
      </w:r>
    </w:p>
    <w:p w:rsidR="00CC2A8E" w:rsidRPr="00611DAB" w:rsidRDefault="00BA7A7F" w:rsidP="00FA1C9D">
      <w:pPr>
        <w:pStyle w:val="ListParagraph"/>
        <w:keepLines/>
        <w:numPr>
          <w:ilvl w:val="0"/>
          <w:numId w:val="62"/>
        </w:numPr>
        <w:spacing w:after="0" w:line="240" w:lineRule="auto"/>
        <w:rPr>
          <w:rFonts w:eastAsia="Times New Roman" w:cs="Arial"/>
          <w:sz w:val="16"/>
          <w:szCs w:val="16"/>
          <w:lang w:val="en-AU"/>
        </w:rPr>
      </w:pPr>
      <w:r w:rsidRPr="00611DAB">
        <w:rPr>
          <w:rFonts w:ascii="Arial" w:eastAsia="Times New Roman" w:hAnsi="Arial" w:cs="Arial"/>
          <w:sz w:val="16"/>
          <w:szCs w:val="16"/>
          <w:lang w:val="en-AU"/>
        </w:rPr>
        <w:t>ARENA receives funding through a special appropriation which is administered through the Department of Industry, Science, Energy and Resources.</w:t>
      </w:r>
    </w:p>
    <w:p w:rsidR="00B31D3F" w:rsidRPr="00611DAB" w:rsidRDefault="00BA7A7F" w:rsidP="00FA1C9D">
      <w:pPr>
        <w:pStyle w:val="ListParagraph"/>
        <w:keepLines/>
        <w:numPr>
          <w:ilvl w:val="0"/>
          <w:numId w:val="62"/>
        </w:numPr>
        <w:spacing w:after="0" w:line="240" w:lineRule="auto"/>
        <w:rPr>
          <w:rFonts w:eastAsia="Times New Roman" w:cs="Arial"/>
          <w:sz w:val="16"/>
          <w:szCs w:val="16"/>
          <w:lang w:val="en-AU"/>
        </w:rPr>
      </w:pPr>
      <w:r w:rsidRPr="00611DAB">
        <w:rPr>
          <w:rFonts w:ascii="Arial" w:eastAsia="Times New Roman" w:hAnsi="Arial" w:cs="Arial"/>
          <w:sz w:val="16"/>
          <w:szCs w:val="16"/>
          <w:lang w:val="en-AU"/>
        </w:rPr>
        <w:t xml:space="preserve">The agency has only two employees, the Chief Executive Officer and Chief Financial Officer. Under section 62 of the ARENA Act all other staff necessary to assist the Agency must be persons employed under the </w:t>
      </w:r>
      <w:r w:rsidRPr="00611DAB">
        <w:rPr>
          <w:rFonts w:ascii="Arial" w:eastAsia="Times New Roman" w:hAnsi="Arial" w:cs="Arial"/>
          <w:i/>
          <w:sz w:val="16"/>
          <w:szCs w:val="16"/>
          <w:lang w:val="en-AU"/>
        </w:rPr>
        <w:t>Public Services Act 1999</w:t>
      </w:r>
      <w:r w:rsidRPr="00611DAB">
        <w:rPr>
          <w:rFonts w:ascii="Arial" w:eastAsia="Times New Roman" w:hAnsi="Arial" w:cs="Arial"/>
          <w:sz w:val="16"/>
          <w:szCs w:val="16"/>
          <w:lang w:val="en-AU"/>
        </w:rPr>
        <w:t xml:space="preserve"> who are employed by the Department of Industry, Science, Energy and Resources and made available to the Agency by the Secretary of the Department.</w:t>
      </w:r>
    </w:p>
    <w:p w:rsidR="003E027B" w:rsidRPr="00F65DA5" w:rsidRDefault="00BA7A7F" w:rsidP="00F65DA5">
      <w:pPr>
        <w:pStyle w:val="Heading3"/>
        <w:pageBreakBefore/>
        <w:spacing w:before="0" w:after="120"/>
        <w:rPr>
          <w:smallCaps w:val="0"/>
          <w:sz w:val="22"/>
          <w:szCs w:val="22"/>
        </w:rPr>
      </w:pPr>
      <w:bookmarkStart w:id="520" w:name="RG_MARKER_12307"/>
      <w:bookmarkStart w:id="521" w:name="RG_MARKER_12308"/>
      <w:bookmarkStart w:id="522" w:name="RG_MARKER_12309"/>
      <w:r w:rsidRPr="00F65DA5">
        <w:rPr>
          <w:smallCaps w:val="0"/>
          <w:sz w:val="22"/>
          <w:szCs w:val="22"/>
        </w:rPr>
        <w:t>1.3</w:t>
      </w:r>
      <w:bookmarkEnd w:id="520"/>
      <w:bookmarkEnd w:id="521"/>
      <w:bookmarkEnd w:id="522"/>
      <w:r w:rsidRPr="00F65DA5">
        <w:rPr>
          <w:smallCaps w:val="0"/>
          <w:sz w:val="22"/>
          <w:szCs w:val="22"/>
        </w:rPr>
        <w:tab/>
        <w:t>Budget measures</w:t>
      </w:r>
    </w:p>
    <w:p w:rsidR="009D175B" w:rsidRDefault="00BA7A7F" w:rsidP="00C10853">
      <w:pPr>
        <w:rPr>
          <w:b/>
        </w:rPr>
      </w:pPr>
      <w:r w:rsidRPr="009D175B">
        <w:t xml:space="preserve">Budget measures </w:t>
      </w:r>
      <w:r>
        <w:t>in Part 1 relating to ARENA</w:t>
      </w:r>
      <w:r w:rsidRPr="009D175B">
        <w:t xml:space="preserve"> are detailed in Budget Paper No. 2 and are summarised below.</w:t>
      </w:r>
    </w:p>
    <w:p w:rsidR="009D175B" w:rsidRDefault="00BA7A7F" w:rsidP="00C10853">
      <w:pPr>
        <w:pStyle w:val="TableHeading"/>
        <w:keepLines/>
        <w:spacing w:before="240" w:after="0"/>
      </w:pPr>
      <w:r w:rsidRPr="003E027B">
        <w:t xml:space="preserve">Table 1.2: </w:t>
      </w:r>
      <w:r>
        <w:rPr>
          <w:snapToGrid w:val="0"/>
        </w:rPr>
        <w:t>ARENA</w:t>
      </w:r>
      <w:r w:rsidRPr="003E027B">
        <w:t xml:space="preserve"> </w:t>
      </w:r>
      <w:r>
        <w:t>2022­23 budget measures</w:t>
      </w:r>
      <w:r>
        <w:br/>
        <w:t>Part 1: Measures announced after the 2021­22 Mid-Year Economic and Fiscal Outlook (MYEFO)</w:t>
      </w:r>
    </w:p>
    <w:tbl>
      <w:tblPr>
        <w:tblStyle w:val="CDMRange1"/>
        <w:tblW w:w="7845" w:type="dxa"/>
        <w:tblLayout w:type="fixed"/>
        <w:tblLook w:val="0600" w:firstRow="0" w:lastRow="0" w:firstColumn="0" w:lastColumn="0" w:noHBand="1" w:noVBand="1"/>
      </w:tblPr>
      <w:tblGrid>
        <w:gridCol w:w="2985"/>
        <w:gridCol w:w="810"/>
        <w:gridCol w:w="810"/>
        <w:gridCol w:w="810"/>
        <w:gridCol w:w="810"/>
        <w:gridCol w:w="810"/>
        <w:gridCol w:w="810"/>
      </w:tblGrid>
      <w:tr w:rsidR="00253274">
        <w:trPr>
          <w:trHeight w:val="450"/>
        </w:trPr>
        <w:tc>
          <w:tcPr>
            <w:tcW w:w="29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98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8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Energy and Emissions Reduction</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165</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19,657</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30,887</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33,250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8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165</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19,657</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30,887</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33,250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8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8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165</w:t>
            </w:r>
          </w:p>
        </w:tc>
        <w:tc>
          <w:tcPr>
            <w:tcW w:w="8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19,657</w:t>
            </w:r>
          </w:p>
        </w:tc>
        <w:tc>
          <w:tcPr>
            <w:tcW w:w="81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30,887</w:t>
            </w:r>
          </w:p>
        </w:tc>
        <w:tc>
          <w:tcPr>
            <w:tcW w:w="8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33,250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dotted" w:sz="2" w:space="0" w:color="000000"/>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1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165</w:t>
            </w:r>
          </w:p>
        </w:tc>
        <w:tc>
          <w:tcPr>
            <w:tcW w:w="81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19,657</w:t>
            </w:r>
          </w:p>
        </w:tc>
        <w:tc>
          <w:tcPr>
            <w:tcW w:w="810"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30,887</w:t>
            </w:r>
          </w:p>
        </w:tc>
        <w:tc>
          <w:tcPr>
            <w:tcW w:w="81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33,250</w:t>
            </w:r>
          </w:p>
        </w:tc>
      </w:tr>
    </w:tbl>
    <w:p w:rsidR="00A249A3" w:rsidRPr="00A249A3" w:rsidRDefault="00BA7A7F" w:rsidP="00A249A3">
      <w:pPr>
        <w:keepLines w:val="0"/>
        <w:spacing w:before="40" w:after="0" w:line="240" w:lineRule="auto"/>
        <w:rPr>
          <w:rFonts w:ascii="Arial" w:hAnsi="Arial" w:cs="Arial"/>
          <w:sz w:val="16"/>
          <w:szCs w:val="16"/>
        </w:rPr>
      </w:pPr>
      <w:r w:rsidRPr="00A249A3">
        <w:rPr>
          <w:rFonts w:ascii="Arial" w:hAnsi="Arial" w:cs="Arial"/>
          <w:sz w:val="16"/>
          <w:szCs w:val="16"/>
        </w:rPr>
        <w:t>Prepared on a Government Finance Statistics (Underlying Cash) basis. Figures displayed as a negative (-) represent a decrease in funds and a positive (+) represent an increase in funds.</w:t>
      </w:r>
    </w:p>
    <w:p w:rsidR="0002312A" w:rsidRPr="009F3E67" w:rsidRDefault="0002312A" w:rsidP="009E275A">
      <w:pPr>
        <w:pStyle w:val="Source"/>
        <w:jc w:val="left"/>
        <w:rPr>
          <w:vanish/>
        </w:rPr>
      </w:pPr>
    </w:p>
    <w:p w:rsidR="00FD26B4" w:rsidRPr="00032280" w:rsidRDefault="00BA7A7F" w:rsidP="00032280">
      <w:pPr>
        <w:pStyle w:val="Heading2"/>
        <w:pageBreakBefore/>
        <w:spacing w:after="120"/>
        <w:rPr>
          <w:b/>
          <w:sz w:val="26"/>
          <w:szCs w:val="26"/>
        </w:rPr>
      </w:pPr>
      <w:bookmarkStart w:id="523" w:name="RG_MARKER_12312"/>
      <w:bookmarkStart w:id="524" w:name="RG_MARKER_12314"/>
      <w:bookmarkStart w:id="525" w:name="_Toc436624143_2"/>
      <w:bookmarkStart w:id="526" w:name="_Toc436625444_2"/>
      <w:bookmarkStart w:id="527" w:name="_Toc446237032_2"/>
      <w:bookmarkStart w:id="528" w:name="_Toc449255764_2"/>
      <w:bookmarkStart w:id="529" w:name="_Toc490972409_2"/>
      <w:bookmarkStart w:id="530" w:name="_Toc491014629_2"/>
      <w:bookmarkStart w:id="531" w:name="_Toc491014771_2"/>
      <w:bookmarkStart w:id="532" w:name="_Toc491014951_2"/>
      <w:bookmarkStart w:id="533" w:name="_Toc491015098_2"/>
      <w:bookmarkStart w:id="534" w:name="_Toc491029242_2"/>
      <w:bookmarkStart w:id="535" w:name="_Toc491030331_2"/>
      <w:bookmarkStart w:id="536" w:name="_Toc491030790_2"/>
      <w:bookmarkStart w:id="537" w:name="_Toc491031353_2"/>
      <w:bookmarkStart w:id="538" w:name="_Toc491031940_2"/>
      <w:bookmarkStart w:id="539" w:name="_Toc491032113_2"/>
      <w:bookmarkStart w:id="540" w:name="_Toc491032221_2"/>
      <w:bookmarkStart w:id="541" w:name="_Toc491032328_2"/>
      <w:bookmarkStart w:id="542" w:name="_Toc491771720_2"/>
      <w:bookmarkStart w:id="543" w:name="_Toc491773295_2"/>
      <w:bookmarkStart w:id="544" w:name="_Toc23559353_2"/>
      <w:bookmarkStart w:id="545" w:name="_Toc23559387_2"/>
      <w:bookmarkStart w:id="546" w:name="_Toc23559674_2"/>
      <w:bookmarkStart w:id="547" w:name="_Toc23560142_2"/>
      <w:bookmarkStart w:id="548" w:name="_Toc23563436_2"/>
      <w:bookmarkStart w:id="549" w:name="_Toc77998688_2"/>
      <w:bookmarkStart w:id="550" w:name="_Toc79399717_2"/>
      <w:bookmarkStart w:id="551" w:name="_Toc112211966_2"/>
      <w:bookmarkStart w:id="552" w:name="_Toc112212060_2"/>
      <w:bookmarkStart w:id="553" w:name="_Toc112137878_2"/>
      <w:bookmarkStart w:id="554" w:name="_Toc112137900_2"/>
      <w:bookmarkStart w:id="555" w:name="_Toc210646453_2"/>
      <w:bookmarkStart w:id="556" w:name="_Toc210698432_2"/>
      <w:bookmarkStart w:id="557" w:name="_Toc210703214_2"/>
      <w:r w:rsidRPr="00032280">
        <w:rPr>
          <w:b/>
          <w:sz w:val="26"/>
          <w:szCs w:val="26"/>
        </w:rPr>
        <w:t>Section 2</w:t>
      </w:r>
      <w:bookmarkEnd w:id="523"/>
      <w:bookmarkEnd w:id="524"/>
      <w:bookmarkEnd w:id="525"/>
      <w:bookmarkEnd w:id="526"/>
      <w:bookmarkEnd w:id="527"/>
      <w:bookmarkEnd w:id="528"/>
      <w:r w:rsidRPr="00032280">
        <w:rPr>
          <w:b/>
          <w:sz w:val="26"/>
          <w:szCs w:val="26"/>
        </w:rPr>
        <w:t xml:space="preserve">: </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032280">
        <w:rPr>
          <w:b/>
          <w:sz w:val="26"/>
          <w:szCs w:val="26"/>
        </w:rPr>
        <w:t>Outcomes and planned performanc</w:t>
      </w:r>
      <w:bookmarkEnd w:id="556"/>
      <w:bookmarkEnd w:id="557"/>
      <w:r w:rsidRPr="00032280">
        <w:rPr>
          <w:b/>
          <w:sz w:val="26"/>
          <w:szCs w:val="26"/>
        </w:rPr>
        <w:t>e</w:t>
      </w:r>
      <w:bookmarkStart w:id="558" w:name="_Toc436624145_4"/>
      <w:bookmarkStart w:id="559" w:name="_Toc436625446_4"/>
      <w:bookmarkStart w:id="560" w:name="_Toc449255766_4"/>
      <w:bookmarkStart w:id="561" w:name="_Toc490972410_4"/>
      <w:bookmarkStart w:id="562" w:name="_Toc491014630_4"/>
      <w:bookmarkStart w:id="563" w:name="_Toc491014772_4"/>
      <w:bookmarkStart w:id="564" w:name="_Toc491014952_4"/>
      <w:bookmarkStart w:id="565" w:name="_Toc491015099_4"/>
      <w:bookmarkStart w:id="566" w:name="_Toc491029243_4"/>
      <w:bookmarkStart w:id="567" w:name="_Toc491030332_4"/>
      <w:bookmarkStart w:id="568" w:name="_Toc491030791_4"/>
      <w:bookmarkStart w:id="569" w:name="_Toc491031354_4"/>
      <w:bookmarkStart w:id="570" w:name="_Toc491031941_4"/>
      <w:bookmarkStart w:id="571" w:name="_Toc491032114_4"/>
      <w:bookmarkStart w:id="572" w:name="_Toc491032222_4"/>
      <w:bookmarkStart w:id="573" w:name="_Toc491032329_4"/>
      <w:bookmarkStart w:id="574" w:name="_Toc491771721_4"/>
      <w:bookmarkStart w:id="575" w:name="_Toc491773296_4"/>
      <w:bookmarkStart w:id="576" w:name="_Toc23559354_4"/>
      <w:bookmarkStart w:id="577" w:name="_Toc23559388_4"/>
      <w:bookmarkStart w:id="578" w:name="_Toc23559675_4"/>
      <w:bookmarkStart w:id="579" w:name="_Toc23560143_4"/>
      <w:bookmarkStart w:id="580" w:name="_Toc23563437_4"/>
      <w:bookmarkStart w:id="581" w:name="_Toc77998689_4"/>
      <w:bookmarkStart w:id="582" w:name="_Toc79406118_4"/>
      <w:bookmarkStart w:id="583" w:name="_Toc79467820_4"/>
      <w:bookmarkStart w:id="584" w:name="_Toc112211967_4"/>
      <w:bookmarkStart w:id="585" w:name="_Toc112212061_4"/>
      <w:bookmarkStart w:id="586" w:name="_Toc112137879_4"/>
      <w:bookmarkStart w:id="587" w:name="_Toc112137901_4"/>
      <w:bookmarkStart w:id="588" w:name="_Toc210646454_4"/>
      <w:bookmarkStart w:id="589" w:name="_Toc210698433_4"/>
      <w:bookmarkStart w:id="590" w:name="_Toc210703215_4"/>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rsidR="00FD26B4" w:rsidRDefault="00BA7A7F" w:rsidP="00FD26B4">
      <w:r>
        <w:t xml:space="preserve">Government outcomes are the intended results, impacts or consequences of actions by the Government on the Australian community. Commonwealth </w:t>
      </w:r>
      <w:r>
        <w:rPr>
          <w:color w:val="000000"/>
        </w:rPr>
        <w:t xml:space="preserve">programs </w:t>
      </w:r>
      <w:r>
        <w:t xml:space="preserve">are the primary vehicle by which government entities achieve the intended results of their outcome statements. Entities are required to identify the </w:t>
      </w:r>
      <w:r>
        <w:rPr>
          <w:color w:val="000000"/>
        </w:rPr>
        <w:t>programs</w:t>
      </w:r>
      <w:r>
        <w:t xml:space="preserve"> which contribute to government outcomes over the Budget and forward years.</w:t>
      </w:r>
    </w:p>
    <w:p w:rsidR="00FD26B4" w:rsidRDefault="00BA7A7F" w:rsidP="00FD26B4">
      <w:r>
        <w:t xml:space="preserve">Each outcome is described below together with its related </w:t>
      </w:r>
      <w:r>
        <w:rPr>
          <w:color w:val="000000"/>
        </w:rPr>
        <w:t>programs</w:t>
      </w:r>
      <w:r>
        <w:t>. The following provides detailed information on expenses for each outcome and program, further broken down by funding source.</w:t>
      </w:r>
    </w:p>
    <w:p w:rsidR="00FD26B4" w:rsidRDefault="00BA7A7F" w:rsidP="00032280">
      <w:pPr>
        <w:pBdr>
          <w:top w:val="single" w:sz="4" w:space="1" w:color="auto"/>
          <w:left w:val="single" w:sz="4" w:space="4" w:color="auto"/>
          <w:bottom w:val="single" w:sz="4" w:space="1" w:color="auto"/>
          <w:right w:val="single" w:sz="4" w:space="4" w:color="auto"/>
        </w:pBdr>
        <w:spacing w:before="120" w:after="120" w:line="240" w:lineRule="auto"/>
        <w:rPr>
          <w:b/>
        </w:rPr>
      </w:pPr>
      <w:r>
        <w:rPr>
          <w:b/>
        </w:rPr>
        <w:t>Note:</w:t>
      </w:r>
    </w:p>
    <w:p w:rsidR="00EB2E44" w:rsidRDefault="00BA7A7F" w:rsidP="00B152E4">
      <w:pPr>
        <w:pBdr>
          <w:top w:val="single" w:sz="4" w:space="1" w:color="auto"/>
          <w:left w:val="single" w:sz="4" w:space="4" w:color="auto"/>
          <w:bottom w:val="single" w:sz="4" w:space="1" w:color="auto"/>
          <w:right w:val="single" w:sz="4" w:space="4" w:color="auto"/>
        </w:pBdr>
      </w:pPr>
      <w:r w:rsidRPr="009361D6">
        <w:t xml:space="preserve">Performance reporting requirements in the Portfolio Budget Statements are part of the Commonwealth performance framework established by the </w:t>
      </w:r>
      <w:r w:rsidRPr="009361D6">
        <w:rPr>
          <w:i/>
        </w:rPr>
        <w:t>Public Governance, Performance and Accountability Act 2013</w:t>
      </w:r>
      <w:r w:rsidRPr="009361D6">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rsidR="00E01D08" w:rsidRDefault="00BA7A7F" w:rsidP="00D4452A">
      <w:pPr>
        <w:pBdr>
          <w:top w:val="single" w:sz="4" w:space="1" w:color="auto"/>
          <w:left w:val="single" w:sz="4" w:space="4" w:color="auto"/>
          <w:bottom w:val="single" w:sz="4" w:space="1" w:color="auto"/>
          <w:right w:val="single" w:sz="4" w:space="4" w:color="auto"/>
        </w:pBdr>
        <w:spacing w:after="0"/>
      </w:pPr>
      <w:r>
        <w:t xml:space="preserve">The most recent corporate plan and annual performance statement for ARENA can be found at: </w:t>
      </w:r>
      <w:r w:rsidRPr="00E01D08">
        <w:t>https://arena.gov.au/about/publications/</w:t>
      </w:r>
    </w:p>
    <w:p w:rsidR="007D76B1" w:rsidRPr="00DA32C5" w:rsidRDefault="00BA7A7F" w:rsidP="007D76B1">
      <w:pPr>
        <w:pStyle w:val="Heading3"/>
        <w:pageBreakBefore/>
        <w:rPr>
          <w:smallCaps w:val="0"/>
          <w:sz w:val="22"/>
          <w:szCs w:val="22"/>
        </w:rPr>
      </w:pPr>
      <w:bookmarkStart w:id="591" w:name="RG_MARKER_12313"/>
      <w:bookmarkStart w:id="592" w:name="RG_MARKER_12315"/>
      <w:bookmarkStart w:id="593" w:name="_Toc210703215_5"/>
      <w:bookmarkStart w:id="594" w:name="_Toc210698433_5"/>
      <w:bookmarkStart w:id="595" w:name="_Toc210646454_5"/>
      <w:bookmarkStart w:id="596" w:name="_Toc112137901_5"/>
      <w:bookmarkStart w:id="597" w:name="_Toc112137879_5"/>
      <w:bookmarkStart w:id="598" w:name="_Toc112212061_5"/>
      <w:bookmarkStart w:id="599" w:name="_Toc112211967_5"/>
      <w:bookmarkStart w:id="600" w:name="_Toc79467820_5"/>
      <w:bookmarkStart w:id="601" w:name="_Toc79406118_5"/>
      <w:bookmarkStart w:id="602" w:name="_Toc77998689_5"/>
      <w:bookmarkStart w:id="603" w:name="_Toc23563437_5"/>
      <w:bookmarkStart w:id="604" w:name="_Toc23560143_5"/>
      <w:bookmarkStart w:id="605" w:name="_Toc23559675_5"/>
      <w:bookmarkStart w:id="606" w:name="_Toc23559388_5"/>
      <w:bookmarkStart w:id="607" w:name="_Toc23559354_5"/>
      <w:bookmarkStart w:id="608" w:name="_Toc491773296_5"/>
      <w:bookmarkStart w:id="609" w:name="_Toc491771721_5"/>
      <w:bookmarkStart w:id="610" w:name="_Toc491032329_5"/>
      <w:bookmarkStart w:id="611" w:name="_Toc491032222_5"/>
      <w:bookmarkStart w:id="612" w:name="_Toc491032114_5"/>
      <w:bookmarkStart w:id="613" w:name="_Toc491031941_5"/>
      <w:bookmarkStart w:id="614" w:name="_Toc491031354_5"/>
      <w:bookmarkStart w:id="615" w:name="_Toc491030791_5"/>
      <w:bookmarkStart w:id="616" w:name="_Toc491030332_5"/>
      <w:bookmarkStart w:id="617" w:name="_Toc491029243_5"/>
      <w:bookmarkStart w:id="618" w:name="_Toc491015099_5"/>
      <w:bookmarkStart w:id="619" w:name="_Toc491014952_5"/>
      <w:bookmarkStart w:id="620" w:name="_Toc491014772_5"/>
      <w:bookmarkStart w:id="621" w:name="_Toc491014630_5"/>
      <w:bookmarkStart w:id="622" w:name="_Toc490972410_5"/>
      <w:bookmarkStart w:id="623" w:name="_Toc449255766_5"/>
      <w:bookmarkStart w:id="624" w:name="_Toc436625446_5"/>
      <w:bookmarkStart w:id="625" w:name="_Toc436624145_5"/>
      <w:r w:rsidRPr="00DA32C5">
        <w:rPr>
          <w:smallCaps w:val="0"/>
          <w:sz w:val="22"/>
          <w:szCs w:val="22"/>
        </w:rPr>
        <w:t>2.1</w:t>
      </w:r>
      <w:bookmarkEnd w:id="591"/>
      <w:bookmarkEnd w:id="592"/>
      <w:r w:rsidRPr="00DA32C5">
        <w:rPr>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253274" w:rsidTr="00F16F0A">
        <w:tc>
          <w:tcPr>
            <w:tcW w:w="7713" w:type="dxa"/>
            <w:tcBorders>
              <w:top w:val="single" w:sz="2" w:space="0" w:color="auto"/>
              <w:left w:val="single" w:sz="2" w:space="0" w:color="auto"/>
              <w:bottom w:val="single" w:sz="2" w:space="0" w:color="auto"/>
              <w:right w:val="single" w:sz="2" w:space="0" w:color="auto"/>
            </w:tcBorders>
            <w:shd w:val="clear" w:color="auto" w:fill="E6E6E6"/>
            <w:hideMark/>
          </w:tcP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rsidR="00F16F0A" w:rsidRPr="00AE571B" w:rsidRDefault="00BA7A7F" w:rsidP="001B4B60">
            <w:pPr>
              <w:pStyle w:val="TableColumnHeadingLeft"/>
              <w:keepLines/>
              <w:rPr>
                <w:rFonts w:cs="Arial"/>
              </w:rPr>
            </w:pPr>
            <w:r w:rsidRPr="00AE571B">
              <w:rPr>
                <w:bCs/>
                <w:iCs/>
                <w:color w:val="000000"/>
              </w:rPr>
              <w:t>Outcome 1</w:t>
            </w:r>
            <w:r w:rsidR="003C1566">
              <w:rPr>
                <w:bCs/>
                <w:iCs/>
                <w:color w:val="000000"/>
              </w:rPr>
              <w:t>:</w:t>
            </w:r>
            <w:r w:rsidRPr="00AE571B">
              <w:rPr>
                <w:bCs/>
                <w:iCs/>
                <w:color w:val="000000"/>
              </w:rPr>
              <w:t xml:space="preserve"> Support improvements in the competitiveness of renewable energy and related technologies and the supply of renewable energy by administering financial assistance, developing analysis and advice about, and sharing information and knowledge with regard to, renewable </w:t>
            </w:r>
            <w:r>
              <w:rPr>
                <w:bCs/>
                <w:iCs/>
                <w:color w:val="000000"/>
              </w:rPr>
              <w:t>energy and related technologies</w:t>
            </w:r>
          </w:p>
        </w:tc>
      </w:tr>
    </w:tbl>
    <w:p w:rsidR="00F16F0A" w:rsidRDefault="00BA7A7F" w:rsidP="00F16F0A">
      <w:pPr>
        <w:pStyle w:val="Heading4"/>
        <w:rPr>
          <w:rFonts w:cs="Arial"/>
          <w:sz w:val="20"/>
        </w:rPr>
      </w:pPr>
      <w:r w:rsidRPr="00DA32C5">
        <w:rPr>
          <w:rFonts w:cs="Arial"/>
          <w:sz w:val="20"/>
        </w:rPr>
        <w:t xml:space="preserve">Linked programs </w:t>
      </w:r>
    </w:p>
    <w:tbl>
      <w:tblPr>
        <w:tblW w:w="0" w:type="auto"/>
        <w:tblLook w:val="04A0" w:firstRow="1" w:lastRow="0" w:firstColumn="1" w:lastColumn="0" w:noHBand="0" w:noVBand="1"/>
      </w:tblPr>
      <w:tblGrid>
        <w:gridCol w:w="7755"/>
      </w:tblGrid>
      <w:tr w:rsidR="00253274" w:rsidTr="00F15F02">
        <w:trPr>
          <w:trHeight w:val="311"/>
        </w:trPr>
        <w:tc>
          <w:tcPr>
            <w:tcW w:w="7755" w:type="dxa"/>
            <w:tcBorders>
              <w:top w:val="single" w:sz="8" w:space="0" w:color="000000"/>
              <w:left w:val="single" w:sz="8" w:space="0" w:color="000000"/>
              <w:bottom w:val="dotted" w:sz="8" w:space="0" w:color="000000"/>
              <w:right w:val="single" w:sz="8" w:space="0" w:color="000000"/>
            </w:tcBorders>
            <w:tcMar>
              <w:top w:w="100" w:type="dxa"/>
              <w:left w:w="100" w:type="dxa"/>
              <w:bottom w:w="100" w:type="dxa"/>
              <w:right w:w="100" w:type="dxa"/>
            </w:tcMar>
            <w:hideMark/>
          </w:tcPr>
          <w:p w:rsidR="00542F17" w:rsidRPr="002E6CAD" w:rsidRDefault="00BA7A7F" w:rsidP="007133A1">
            <w:pPr>
              <w:pStyle w:val="Exampletext"/>
              <w:spacing w:before="60" w:after="60" w:line="240" w:lineRule="auto"/>
              <w:rPr>
                <w:i w:val="0"/>
                <w:color w:val="auto"/>
              </w:rPr>
            </w:pPr>
            <w:r w:rsidRPr="002E6CAD">
              <w:rPr>
                <w:b/>
                <w:bCs/>
                <w:i w:val="0"/>
                <w:color w:val="auto"/>
              </w:rPr>
              <w:t>Department of the Industry, Science, Energy and Resources</w:t>
            </w:r>
          </w:p>
        </w:tc>
      </w:tr>
      <w:tr w:rsidR="00253274" w:rsidTr="00F15F02">
        <w:trPr>
          <w:trHeight w:val="1281"/>
        </w:trPr>
        <w:tc>
          <w:tcPr>
            <w:tcW w:w="7755" w:type="dxa"/>
            <w:tcBorders>
              <w:top w:val="dott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2F17" w:rsidRPr="002E6CAD" w:rsidRDefault="00BA7A7F" w:rsidP="007133A1">
            <w:pPr>
              <w:pStyle w:val="Exampletext"/>
              <w:spacing w:before="60" w:after="60" w:line="240" w:lineRule="auto"/>
              <w:rPr>
                <w:i w:val="0"/>
                <w:color w:val="auto"/>
              </w:rPr>
            </w:pPr>
            <w:r w:rsidRPr="002E6CAD">
              <w:rPr>
                <w:b/>
                <w:bCs/>
                <w:i w:val="0"/>
                <w:color w:val="auto"/>
              </w:rPr>
              <w:t>Programs</w:t>
            </w:r>
          </w:p>
          <w:p w:rsidR="00542F17" w:rsidRPr="002E6CAD" w:rsidRDefault="00BA7A7F" w:rsidP="007133A1">
            <w:pPr>
              <w:pStyle w:val="Exampletext"/>
              <w:keepLines w:val="0"/>
              <w:numPr>
                <w:ilvl w:val="0"/>
                <w:numId w:val="63"/>
              </w:numPr>
              <w:spacing w:before="60" w:after="60" w:line="240" w:lineRule="auto"/>
              <w:ind w:left="697" w:hanging="357"/>
              <w:rPr>
                <w:i w:val="0"/>
                <w:color w:val="auto"/>
              </w:rPr>
            </w:pPr>
            <w:r w:rsidRPr="002E6CAD">
              <w:rPr>
                <w:i w:val="0"/>
                <w:color w:val="auto"/>
              </w:rPr>
              <w:t>Program 2.1 – Reducing Australia’s greenhouse gas emissions</w:t>
            </w:r>
          </w:p>
          <w:p w:rsidR="00542F17" w:rsidRPr="002E6CAD" w:rsidRDefault="00BA7A7F" w:rsidP="007133A1">
            <w:pPr>
              <w:pStyle w:val="Exampletext"/>
              <w:keepLines w:val="0"/>
              <w:numPr>
                <w:ilvl w:val="0"/>
                <w:numId w:val="64"/>
              </w:numPr>
              <w:spacing w:before="60" w:after="60" w:line="240" w:lineRule="auto"/>
              <w:ind w:left="697" w:hanging="357"/>
              <w:rPr>
                <w:i w:val="0"/>
                <w:color w:val="auto"/>
              </w:rPr>
            </w:pPr>
            <w:r w:rsidRPr="002E6CAD">
              <w:rPr>
                <w:i w:val="0"/>
                <w:color w:val="auto"/>
              </w:rPr>
              <w:t>Program 2.2 – Developing clean energy technology</w:t>
            </w:r>
          </w:p>
          <w:p w:rsidR="00542F17" w:rsidRPr="002E6CAD" w:rsidRDefault="00BA7A7F" w:rsidP="007133A1">
            <w:pPr>
              <w:pStyle w:val="Exampletext"/>
              <w:keepLines w:val="0"/>
              <w:numPr>
                <w:ilvl w:val="0"/>
                <w:numId w:val="65"/>
              </w:numPr>
              <w:spacing w:before="60" w:after="60" w:line="240" w:lineRule="auto"/>
              <w:ind w:left="697" w:hanging="357"/>
              <w:rPr>
                <w:i w:val="0"/>
                <w:color w:val="auto"/>
              </w:rPr>
            </w:pPr>
            <w:r w:rsidRPr="002E6CAD">
              <w:rPr>
                <w:i w:val="0"/>
                <w:color w:val="auto"/>
              </w:rPr>
              <w:t>Program 3.1 – Supporting reliable, secure and affordable energy</w:t>
            </w:r>
          </w:p>
        </w:tc>
      </w:tr>
      <w:tr w:rsidR="00253274" w:rsidTr="00F15F02">
        <w:trPr>
          <w:trHeight w:val="1151"/>
        </w:trPr>
        <w:tc>
          <w:tcPr>
            <w:tcW w:w="7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2F17" w:rsidRPr="002E6CAD" w:rsidRDefault="00BA7A7F" w:rsidP="007133A1">
            <w:pPr>
              <w:pStyle w:val="Exampletext"/>
              <w:spacing w:before="60" w:after="60" w:line="240" w:lineRule="auto"/>
              <w:rPr>
                <w:i w:val="0"/>
                <w:color w:val="auto"/>
              </w:rPr>
            </w:pPr>
            <w:r w:rsidRPr="002E6CAD">
              <w:rPr>
                <w:b/>
                <w:bCs/>
                <w:i w:val="0"/>
                <w:color w:val="auto"/>
              </w:rPr>
              <w:t>Contribution to O</w:t>
            </w:r>
            <w:r>
              <w:rPr>
                <w:b/>
                <w:bCs/>
                <w:i w:val="0"/>
                <w:color w:val="auto"/>
              </w:rPr>
              <w:t>utcome 1 made by linked programs</w:t>
            </w:r>
          </w:p>
          <w:p w:rsidR="00542F17" w:rsidRPr="002E6CAD" w:rsidRDefault="00BA7A7F" w:rsidP="007133A1">
            <w:pPr>
              <w:pStyle w:val="Exampletext"/>
              <w:spacing w:before="60" w:after="60" w:line="240" w:lineRule="auto"/>
              <w:rPr>
                <w:iCs/>
                <w:color w:val="auto"/>
              </w:rPr>
            </w:pPr>
            <w:r w:rsidRPr="002E6CAD">
              <w:rPr>
                <w:i w:val="0"/>
                <w:color w:val="auto"/>
              </w:rPr>
              <w:t>The Department of Industry, Science, Energy and Resources contributes to Outcome 1 by developing policies for the research, development, demonstration, deployment and commercialisation of renewable energy technologies. ARENA implements these policies.</w:t>
            </w:r>
          </w:p>
        </w:tc>
      </w:tr>
      <w:tr w:rsidR="00253274" w:rsidTr="00F15F02">
        <w:trPr>
          <w:trHeight w:val="377"/>
        </w:trPr>
        <w:tc>
          <w:tcPr>
            <w:tcW w:w="7755" w:type="dxa"/>
            <w:tcBorders>
              <w:top w:val="single" w:sz="8" w:space="0" w:color="000000"/>
              <w:left w:val="single" w:sz="8" w:space="0" w:color="000000"/>
              <w:bottom w:val="dotted" w:sz="8" w:space="0" w:color="000000"/>
              <w:right w:val="single" w:sz="8" w:space="0" w:color="000000"/>
            </w:tcBorders>
            <w:tcMar>
              <w:top w:w="100" w:type="dxa"/>
              <w:left w:w="100" w:type="dxa"/>
              <w:bottom w:w="100" w:type="dxa"/>
              <w:right w:w="100" w:type="dxa"/>
            </w:tcMar>
            <w:hideMark/>
          </w:tcPr>
          <w:p w:rsidR="00AE571B" w:rsidRPr="002E6CAD" w:rsidRDefault="00BA7A7F" w:rsidP="00064526">
            <w:pPr>
              <w:pStyle w:val="Exampletext"/>
              <w:spacing w:before="60" w:after="60" w:line="240" w:lineRule="auto"/>
              <w:rPr>
                <w:i w:val="0"/>
                <w:color w:val="auto"/>
              </w:rPr>
            </w:pPr>
            <w:r w:rsidRPr="002E6CAD">
              <w:rPr>
                <w:b/>
                <w:bCs/>
                <w:i w:val="0"/>
                <w:color w:val="auto"/>
              </w:rPr>
              <w:t>Clean Energy Finance Corporation</w:t>
            </w:r>
          </w:p>
        </w:tc>
      </w:tr>
      <w:tr w:rsidR="00253274" w:rsidTr="00F15F02">
        <w:trPr>
          <w:trHeight w:val="20"/>
        </w:trPr>
        <w:tc>
          <w:tcPr>
            <w:tcW w:w="7755" w:type="dxa"/>
            <w:tcBorders>
              <w:top w:val="dott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571B" w:rsidRPr="002E6CAD" w:rsidRDefault="00BA7A7F" w:rsidP="00064526">
            <w:pPr>
              <w:pStyle w:val="Exampletext"/>
              <w:spacing w:before="60" w:after="60" w:line="240" w:lineRule="auto"/>
              <w:rPr>
                <w:i w:val="0"/>
                <w:color w:val="auto"/>
              </w:rPr>
            </w:pPr>
            <w:r w:rsidRPr="002E6CAD">
              <w:rPr>
                <w:b/>
                <w:bCs/>
                <w:i w:val="0"/>
                <w:color w:val="auto"/>
              </w:rPr>
              <w:t>Program</w:t>
            </w:r>
          </w:p>
          <w:p w:rsidR="00AE571B" w:rsidRPr="002E6CAD" w:rsidRDefault="00BA7A7F" w:rsidP="00064526">
            <w:pPr>
              <w:pStyle w:val="Exampletext"/>
              <w:keepLines w:val="0"/>
              <w:numPr>
                <w:ilvl w:val="0"/>
                <w:numId w:val="66"/>
              </w:numPr>
              <w:spacing w:before="60" w:after="60" w:line="240" w:lineRule="auto"/>
              <w:ind w:left="604" w:hanging="425"/>
              <w:rPr>
                <w:i w:val="0"/>
                <w:color w:val="auto"/>
              </w:rPr>
            </w:pPr>
            <w:r w:rsidRPr="002E6CAD">
              <w:rPr>
                <w:i w:val="0"/>
                <w:color w:val="auto"/>
              </w:rPr>
              <w:t xml:space="preserve"> Program 1.1 – Clean Energy Finance Corporation</w:t>
            </w:r>
          </w:p>
        </w:tc>
      </w:tr>
      <w:tr w:rsidR="00253274" w:rsidTr="00F15F02">
        <w:trPr>
          <w:trHeight w:val="2118"/>
        </w:trPr>
        <w:tc>
          <w:tcPr>
            <w:tcW w:w="7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571B" w:rsidRPr="002E6CAD" w:rsidRDefault="00BA7A7F" w:rsidP="00064526">
            <w:pPr>
              <w:pStyle w:val="Exampletext"/>
              <w:spacing w:before="60" w:after="60" w:line="240" w:lineRule="auto"/>
              <w:rPr>
                <w:i w:val="0"/>
                <w:color w:val="auto"/>
              </w:rPr>
            </w:pPr>
            <w:r w:rsidRPr="002E6CAD">
              <w:rPr>
                <w:b/>
                <w:bCs/>
                <w:i w:val="0"/>
                <w:color w:val="auto"/>
              </w:rPr>
              <w:t>Contribution to O</w:t>
            </w:r>
            <w:r>
              <w:rPr>
                <w:b/>
                <w:bCs/>
                <w:i w:val="0"/>
                <w:color w:val="auto"/>
              </w:rPr>
              <w:t>utcome 1 made by linked program</w:t>
            </w:r>
          </w:p>
          <w:p w:rsidR="00AE571B" w:rsidRPr="002E6CAD" w:rsidRDefault="00BA7A7F" w:rsidP="00996B6D">
            <w:pPr>
              <w:pStyle w:val="Exampletext"/>
              <w:spacing w:before="60" w:after="60" w:line="240" w:lineRule="auto"/>
              <w:rPr>
                <w:i w:val="0"/>
                <w:color w:val="auto"/>
              </w:rPr>
            </w:pPr>
            <w:r w:rsidRPr="002E6CAD">
              <w:rPr>
                <w:i w:val="0"/>
                <w:color w:val="auto"/>
              </w:rPr>
              <w:t xml:space="preserve">The Clean Energy Innovation Fund is jointly managed by the Agency and the Clean Energy Finance Corporation, drawing on their complementary experience and expertise. The Clean Energy Innovation Fund has up to $200 million available for debt and equity investments in emerging clean energy projects and businesses, targeting projects at the later end of the innovation chain while delivering a financial return to taxpayers, in addition to the public good return of improving competitiveness of renewable energy and </w:t>
            </w:r>
            <w:r>
              <w:rPr>
                <w:i w:val="0"/>
                <w:color w:val="auto"/>
              </w:rPr>
              <w:t xml:space="preserve">other low emissions </w:t>
            </w:r>
            <w:r w:rsidRPr="002E6CAD">
              <w:rPr>
                <w:i w:val="0"/>
                <w:color w:val="auto"/>
              </w:rPr>
              <w:t>technologies.</w:t>
            </w:r>
          </w:p>
        </w:tc>
      </w:tr>
    </w:tbl>
    <w:p w:rsidR="00355202" w:rsidRDefault="00355202">
      <w:pPr>
        <w:keepLines w:val="0"/>
        <w:spacing w:after="200" w:line="276" w:lineRule="auto"/>
        <w:jc w:val="left"/>
        <w:rPr>
          <w:rFonts w:ascii="Arial" w:hAnsi="Arial" w:cs="Arial"/>
          <w:b/>
          <w:vanish/>
        </w:rPr>
      </w:pPr>
    </w:p>
    <w:p w:rsidR="0098163E" w:rsidRDefault="00BA7A7F" w:rsidP="0098163E">
      <w:pPr>
        <w:pStyle w:val="Heading5"/>
        <w:pageBreakBefore/>
        <w:spacing w:before="0" w:after="120" w:line="240" w:lineRule="auto"/>
        <w:rPr>
          <w:rFonts w:ascii="Arial" w:hAnsi="Arial" w:cs="Arial"/>
          <w:b/>
          <w:color w:val="000000"/>
        </w:rPr>
      </w:pPr>
      <w:bookmarkStart w:id="626" w:name="RG_MARKER_12328"/>
      <w:r>
        <w:rPr>
          <w:rFonts w:ascii="Arial" w:hAnsi="Arial" w:cs="Arial"/>
          <w:b/>
          <w:color w:val="000000"/>
        </w:rPr>
        <w:t>Budgeted expenses for Outcome 1</w:t>
      </w:r>
      <w:bookmarkEnd w:id="626"/>
    </w:p>
    <w:p w:rsidR="00FF070F" w:rsidRDefault="00BA7A7F" w:rsidP="00FF070F">
      <w:r>
        <w:t>This table shows how much ARENA intends to spend (on an accrual basis) on achieving the outcome, broken down by program, as well as by departmental funding sources.</w:t>
      </w:r>
    </w:p>
    <w:p w:rsidR="00FF070F" w:rsidRDefault="00BA7A7F" w:rsidP="00FF070F">
      <w:pPr>
        <w:spacing w:after="20" w:line="240" w:lineRule="auto"/>
        <w:rPr>
          <w:rFonts w:ascii="Arial" w:hAnsi="Arial" w:cs="Arial"/>
          <w:b/>
        </w:rPr>
      </w:pPr>
      <w:r>
        <w:rPr>
          <w:rFonts w:ascii="Arial" w:hAnsi="Arial" w:cs="Arial"/>
          <w:b/>
        </w:rPr>
        <w:t>Table 2.1.1: Budgeted expenses for Outcome 1</w:t>
      </w:r>
    </w:p>
    <w:tbl>
      <w:tblPr>
        <w:tblStyle w:val="CDMRange1"/>
        <w:tblW w:w="7650" w:type="dxa"/>
        <w:tblLayout w:type="fixed"/>
        <w:tblLook w:val="0600" w:firstRow="0" w:lastRow="0" w:firstColumn="0" w:lastColumn="0" w:noHBand="1" w:noVBand="1"/>
      </w:tblPr>
      <w:tblGrid>
        <w:gridCol w:w="3300"/>
        <w:gridCol w:w="870"/>
        <w:gridCol w:w="870"/>
        <w:gridCol w:w="870"/>
        <w:gridCol w:w="870"/>
        <w:gridCol w:w="870"/>
      </w:tblGrid>
      <w:tr w:rsidR="00253274">
        <w:trPr>
          <w:trHeight w:val="975"/>
        </w:trPr>
        <w:tc>
          <w:tcPr>
            <w:tcW w:w="7650"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r>
              <w:rPr>
                <w:rFonts w:ascii="Arial" w:eastAsia="Arial" w:hAnsi="Arial" w:cs="Arial"/>
                <w:color w:val="000000"/>
                <w:sz w:val="16"/>
              </w:rPr>
              <w:t xml:space="preserve"> Support improvements in the competitiveness of renewable energy and related technologies and the supply of renewable energy by administering financial assistance, developing analysis and advice about, and sharing information and knowledge with regards to, renewable energy and related technologies</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50" w:type="dxa"/>
            <w:gridSpan w:val="6"/>
            <w:tcBorders>
              <w:top w:val="dotted" w:sz="2" w:space="0" w:color="000000"/>
              <w:left w:val="dotted" w:sz="2" w:space="0" w:color="000000"/>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Program 1.1: Australian Renewable Energy Agency</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Payment from related entities</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304,031</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292,303</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275,569</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258,429</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239,880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1,453</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1,167</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1,167</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1,167</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2,200</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1,400</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1,300</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1,300</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307,684</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294,870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278,036</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260,896</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241,980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5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 from related entities </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304,031</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292,303</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275,569</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258,429</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239,880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1,453</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1,167</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1,167</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1,167</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Revenues from other independent sources </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2,200</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1,400</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1,300</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1,300</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307,684</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294,870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278,036</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260,896</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241,980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4"/>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 (b)</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87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bl>
    <w:p w:rsidR="006515BE" w:rsidRPr="006515BE" w:rsidRDefault="00BA7A7F" w:rsidP="00134AEB">
      <w:pPr>
        <w:pStyle w:val="ListParagraph"/>
        <w:keepLines/>
        <w:numPr>
          <w:ilvl w:val="0"/>
          <w:numId w:val="67"/>
        </w:numPr>
        <w:spacing w:after="0" w:line="240" w:lineRule="auto"/>
        <w:rPr>
          <w:rFonts w:eastAsia="Times New Roman" w:cs="Times New Roman"/>
          <w:color w:val="000000"/>
          <w:sz w:val="16"/>
          <w:szCs w:val="16"/>
          <w:lang w:val="en-AU"/>
        </w:rPr>
      </w:pPr>
      <w:r w:rsidRPr="006515BE">
        <w:rPr>
          <w:rFonts w:ascii="Arial" w:eastAsia="Times New Roman" w:hAnsi="Arial" w:cs="Times New Roman"/>
          <w:color w:val="000000"/>
          <w:sz w:val="16"/>
          <w:szCs w:val="16"/>
          <w:lang w:val="en-AU"/>
        </w:rPr>
        <w:t>Expenses not requiring appropriation in the Budget year are non-cash charges in relation to concessional loans, write-down and impairment of assets, depreciation and amortisation and a share of net loss from associates accounted for under the equity method</w:t>
      </w:r>
      <w:r>
        <w:rPr>
          <w:rFonts w:ascii="Arial" w:eastAsia="Times New Roman" w:hAnsi="Arial" w:cs="Times New Roman"/>
          <w:color w:val="000000"/>
          <w:sz w:val="16"/>
          <w:szCs w:val="16"/>
          <w:lang w:val="en-AU"/>
        </w:rPr>
        <w:t>.</w:t>
      </w:r>
    </w:p>
    <w:p w:rsidR="00703764" w:rsidRPr="006C3707" w:rsidRDefault="00BA7A7F" w:rsidP="00134AEB">
      <w:pPr>
        <w:pStyle w:val="ListParagraph"/>
        <w:keepLines/>
        <w:numPr>
          <w:ilvl w:val="0"/>
          <w:numId w:val="67"/>
        </w:numPr>
        <w:spacing w:after="0" w:line="240" w:lineRule="auto"/>
        <w:rPr>
          <w:rFonts w:eastAsia="Times New Roman" w:cs="Times New Roman"/>
          <w:color w:val="000000"/>
          <w:lang w:val="en-AU"/>
        </w:rPr>
      </w:pPr>
      <w:r w:rsidRPr="006515BE">
        <w:rPr>
          <w:rFonts w:ascii="Arial" w:eastAsia="Times New Roman" w:hAnsi="Arial" w:cs="Arial"/>
          <w:color w:val="000000"/>
          <w:sz w:val="16"/>
          <w:szCs w:val="16"/>
          <w:lang w:val="en-AU"/>
        </w:rPr>
        <w:t>The Agency has only two employees, the Chief Executive Officer and Chief Financial Officer. Under section</w:t>
      </w:r>
      <w:r w:rsidRPr="00703764">
        <w:rPr>
          <w:rFonts w:ascii="Arial" w:eastAsia="Times New Roman" w:hAnsi="Arial" w:cs="Arial"/>
          <w:color w:val="000000"/>
          <w:sz w:val="16"/>
          <w:szCs w:val="16"/>
          <w:lang w:val="en-AU"/>
        </w:rPr>
        <w:t xml:space="preserve"> 62 of the</w:t>
      </w:r>
      <w:r>
        <w:rPr>
          <w:rFonts w:ascii="Arial" w:eastAsia="Times New Roman" w:hAnsi="Arial" w:cs="Arial"/>
          <w:color w:val="000000"/>
          <w:sz w:val="16"/>
          <w:szCs w:val="16"/>
          <w:lang w:val="en-AU"/>
        </w:rPr>
        <w:t xml:space="preserve"> </w:t>
      </w:r>
      <w:r w:rsidRPr="00703764">
        <w:rPr>
          <w:rFonts w:ascii="Arial" w:eastAsia="Times New Roman" w:hAnsi="Arial" w:cs="Arial"/>
          <w:color w:val="000000"/>
          <w:sz w:val="16"/>
          <w:szCs w:val="16"/>
          <w:lang w:val="en-AU"/>
        </w:rPr>
        <w:t xml:space="preserve">ARENA Act all other staff necessary to assist the Agency must be persons employed under the </w:t>
      </w:r>
      <w:r w:rsidRPr="00365AA6">
        <w:rPr>
          <w:rFonts w:ascii="Arial" w:eastAsia="Times New Roman" w:hAnsi="Arial" w:cs="Arial"/>
          <w:i/>
          <w:color w:val="000000"/>
          <w:sz w:val="16"/>
          <w:szCs w:val="16"/>
          <w:lang w:val="en-AU"/>
        </w:rPr>
        <w:t>Public Services Act 1999</w:t>
      </w:r>
      <w:r w:rsidRPr="00703764">
        <w:rPr>
          <w:rFonts w:ascii="Arial" w:eastAsia="Times New Roman" w:hAnsi="Arial" w:cs="Arial"/>
          <w:color w:val="000000"/>
          <w:sz w:val="16"/>
          <w:szCs w:val="16"/>
          <w:lang w:val="en-AU"/>
        </w:rPr>
        <w:t xml:space="preserve"> who ar</w:t>
      </w:r>
      <w:r>
        <w:rPr>
          <w:rFonts w:ascii="Arial" w:eastAsia="Times New Roman" w:hAnsi="Arial" w:cs="Arial"/>
          <w:color w:val="000000"/>
          <w:sz w:val="16"/>
          <w:szCs w:val="16"/>
          <w:lang w:val="en-AU"/>
        </w:rPr>
        <w:t>e employed by the D</w:t>
      </w:r>
      <w:r w:rsidRPr="00703764">
        <w:rPr>
          <w:rFonts w:ascii="Arial" w:eastAsia="Times New Roman" w:hAnsi="Arial" w:cs="Arial"/>
          <w:color w:val="000000"/>
          <w:sz w:val="16"/>
          <w:szCs w:val="16"/>
          <w:lang w:val="en-AU"/>
        </w:rPr>
        <w:t>epart</w:t>
      </w:r>
      <w:r>
        <w:rPr>
          <w:rFonts w:ascii="Arial" w:eastAsia="Times New Roman" w:hAnsi="Arial" w:cs="Arial"/>
          <w:color w:val="000000"/>
          <w:sz w:val="16"/>
          <w:szCs w:val="16"/>
          <w:lang w:val="en-AU"/>
        </w:rPr>
        <w:t>ment of Industry, Science, Energy and Resources and made available to the agency by the Secretary of the Department</w:t>
      </w:r>
      <w:r w:rsidRPr="00703764">
        <w:rPr>
          <w:rFonts w:ascii="Arial" w:eastAsia="Times New Roman" w:hAnsi="Arial" w:cs="Arial"/>
          <w:color w:val="000000"/>
          <w:sz w:val="16"/>
          <w:szCs w:val="16"/>
          <w:lang w:val="en-AU"/>
        </w:rPr>
        <w:t>.</w:t>
      </w:r>
    </w:p>
    <w:p w:rsidR="006C3707" w:rsidRPr="006C3707" w:rsidRDefault="00BA7A7F" w:rsidP="006C3707">
      <w:pPr>
        <w:spacing w:after="0" w:line="240" w:lineRule="auto"/>
        <w:rPr>
          <w:rFonts w:ascii="Arial" w:hAnsi="Arial" w:cs="Arial"/>
          <w:color w:val="000000"/>
          <w:sz w:val="16"/>
          <w:szCs w:val="16"/>
        </w:rPr>
      </w:pPr>
      <w:r w:rsidRPr="006C3707">
        <w:rPr>
          <w:rFonts w:ascii="Arial" w:hAnsi="Arial" w:cs="Arial"/>
          <w:color w:val="000000"/>
          <w:sz w:val="16"/>
          <w:szCs w:val="16"/>
        </w:rPr>
        <w:t>Note: Departmental appropriation splits and totals are indicative estimates and may change in the course of the budget year as government priorities change.</w:t>
      </w:r>
    </w:p>
    <w:p w:rsidR="00D86095" w:rsidRDefault="00BA7A7F" w:rsidP="00951B72">
      <w:pPr>
        <w:pStyle w:val="TableHeading"/>
        <w:keepLines/>
        <w:pageBreakBefore/>
        <w:spacing w:before="240"/>
      </w:pPr>
      <w:bookmarkStart w:id="627" w:name="RG_MARKER_12316"/>
      <w:r w:rsidRPr="002E3447">
        <w:t>Table 2.1</w:t>
      </w:r>
      <w:bookmarkEnd w:id="627"/>
      <w:r>
        <w:t>.2</w:t>
      </w:r>
      <w:r w:rsidRPr="002E3447">
        <w:t xml:space="preserve">: </w:t>
      </w:r>
      <w:r>
        <w:t xml:space="preserve">Performance measure for </w:t>
      </w:r>
      <w:r w:rsidRPr="002E3447">
        <w:t>Outcome 1</w:t>
      </w:r>
    </w:p>
    <w:p w:rsidR="00036FF4" w:rsidRDefault="00BA7A7F" w:rsidP="00036FF4">
      <w:pPr>
        <w:rPr>
          <w:bdr w:val="none" w:sz="0" w:space="0" w:color="auto" w:frame="1"/>
        </w:rPr>
      </w:pPr>
      <w:r>
        <w:rPr>
          <w:bdr w:val="none" w:sz="0" w:space="0" w:color="auto" w:frame="1"/>
        </w:rPr>
        <w:t>Table 2.1.2 details the performance measure for each program associated with Outcome 1. It provides the related key activities as expressed in the current corporate plan where further detail is provided about the delivery of the related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47"/>
        <w:gridCol w:w="3034"/>
      </w:tblGrid>
      <w:tr w:rsidR="00253274" w:rsidTr="00036FF4">
        <w:tc>
          <w:tcPr>
            <w:tcW w:w="7741" w:type="dxa"/>
            <w:gridSpan w:val="3"/>
            <w:tcBorders>
              <w:top w:val="single" w:sz="4" w:space="0" w:color="auto"/>
              <w:left w:val="single" w:sz="4" w:space="0" w:color="auto"/>
              <w:bottom w:val="single" w:sz="4" w:space="0" w:color="auto"/>
              <w:right w:val="single" w:sz="4" w:space="0" w:color="auto"/>
            </w:tcBorders>
            <w:shd w:val="clear" w:color="auto" w:fill="F2F2F2"/>
            <w:hideMark/>
          </w:tcPr>
          <w:p w:rsidR="00036FF4" w:rsidRDefault="00BA7A7F">
            <w:pPr>
              <w:spacing w:before="60" w:after="60" w:line="276" w:lineRule="auto"/>
              <w:jc w:val="left"/>
              <w:rPr>
                <w:rFonts w:ascii="Arial" w:hAnsi="Arial" w:cs="Arial"/>
                <w:b/>
                <w:bCs/>
                <w:iCs/>
                <w:color w:val="000000"/>
                <w:bdr w:val="none" w:sz="0" w:space="0" w:color="auto" w:frame="1"/>
                <w:lang w:val="en-US" w:eastAsia="en-US"/>
              </w:rPr>
            </w:pPr>
            <w:r>
              <w:rPr>
                <w:rFonts w:ascii="Arial" w:hAnsi="Arial" w:cs="Arial"/>
                <w:b/>
                <w:bCs/>
                <w:iCs/>
                <w:color w:val="000000"/>
                <w:lang w:val="en-US" w:eastAsia="en-US"/>
              </w:rPr>
              <w:t xml:space="preserve">Outcome 1: Support improvements in the competitiveness and supply of renewable energy and other low emissions technologies by administering financial assistance, developing analysis and advice about, and sharing information and knowledge with regard to, renewable </w:t>
            </w:r>
            <w:r w:rsidR="00BB511A">
              <w:rPr>
                <w:rFonts w:ascii="Arial" w:hAnsi="Arial" w:cs="Arial"/>
                <w:b/>
                <w:bCs/>
                <w:iCs/>
                <w:color w:val="000000"/>
                <w:lang w:val="en-US" w:eastAsia="en-US"/>
              </w:rPr>
              <w:t>energy and related technologies</w:t>
            </w:r>
          </w:p>
        </w:tc>
      </w:tr>
      <w:tr w:rsidR="00253274" w:rsidTr="00036FF4">
        <w:tc>
          <w:tcPr>
            <w:tcW w:w="7741" w:type="dxa"/>
            <w:gridSpan w:val="3"/>
            <w:tcBorders>
              <w:top w:val="single" w:sz="4" w:space="0" w:color="auto"/>
              <w:left w:val="single" w:sz="4" w:space="0" w:color="auto"/>
              <w:bottom w:val="single" w:sz="4" w:space="0" w:color="auto"/>
              <w:right w:val="single" w:sz="4" w:space="0" w:color="auto"/>
            </w:tcBorders>
            <w:shd w:val="clear" w:color="auto" w:fill="F2F2F2"/>
            <w:hideMark/>
          </w:tcPr>
          <w:p w:rsidR="00036FF4" w:rsidRPr="00CD0691" w:rsidRDefault="00BA7A7F">
            <w:pPr>
              <w:tabs>
                <w:tab w:val="left" w:pos="709"/>
              </w:tabs>
              <w:spacing w:before="60" w:after="60" w:line="240" w:lineRule="auto"/>
              <w:jc w:val="left"/>
              <w:rPr>
                <w:rFonts w:ascii="Arial" w:hAnsi="Arial" w:cs="Arial"/>
                <w:b/>
                <w:sz w:val="18"/>
                <w:szCs w:val="18"/>
                <w:bdr w:val="none" w:sz="0" w:space="0" w:color="auto" w:frame="1"/>
                <w:lang w:val="en-US" w:eastAsia="en-US"/>
              </w:rPr>
            </w:pPr>
            <w:r w:rsidRPr="00CD0691">
              <w:rPr>
                <w:rFonts w:ascii="Arial" w:hAnsi="Arial" w:cs="Arial"/>
                <w:b/>
                <w:sz w:val="18"/>
                <w:szCs w:val="18"/>
                <w:bdr w:val="none" w:sz="0" w:space="0" w:color="auto" w:frame="1"/>
                <w:lang w:val="en-US" w:eastAsia="en-US"/>
              </w:rPr>
              <w:t xml:space="preserve">Program 1.1 </w:t>
            </w:r>
            <w:r w:rsidRPr="00CD0691">
              <w:rPr>
                <w:rFonts w:ascii="Arial" w:hAnsi="Arial" w:cs="Arial"/>
                <w:b/>
                <w:color w:val="000000"/>
                <w:sz w:val="18"/>
                <w:szCs w:val="18"/>
                <w:bdr w:val="none" w:sz="0" w:space="0" w:color="auto" w:frame="1"/>
                <w:lang w:val="en-US" w:eastAsia="en-US"/>
              </w:rPr>
              <w:t>– Australian</w:t>
            </w:r>
            <w:r w:rsidRPr="00CD0691">
              <w:rPr>
                <w:rFonts w:ascii="Arial" w:hAnsi="Arial" w:cs="Arial"/>
                <w:b/>
                <w:sz w:val="18"/>
                <w:szCs w:val="18"/>
                <w:bdr w:val="none" w:sz="0" w:space="0" w:color="auto" w:frame="1"/>
                <w:lang w:val="en-US" w:eastAsia="en-US"/>
              </w:rPr>
              <w:t xml:space="preserve"> Renewable Energy Agency</w:t>
            </w:r>
          </w:p>
          <w:p w:rsidR="00036FF4" w:rsidRDefault="00BA7A7F">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To provide financial assistance to Australian researchers, innovators and businesses for projects that have the potential to lead to the commercialisation of new renewable energy products or services; and to support collaboration and knowledge sharing to make information and data available to a diverse audience and help increase the spread of ideas.</w:t>
            </w:r>
          </w:p>
        </w:tc>
      </w:tr>
      <w:tr w:rsidR="00253274" w:rsidTr="00A61A1B">
        <w:tc>
          <w:tcPr>
            <w:tcW w:w="1560" w:type="dxa"/>
            <w:tcBorders>
              <w:top w:val="single" w:sz="4" w:space="0" w:color="auto"/>
              <w:left w:val="single" w:sz="4" w:space="0" w:color="auto"/>
              <w:bottom w:val="single" w:sz="4" w:space="0" w:color="auto"/>
              <w:right w:val="single" w:sz="4" w:space="0" w:color="auto"/>
            </w:tcBorders>
            <w:hideMark/>
          </w:tcPr>
          <w:p w:rsidR="00036FF4" w:rsidRDefault="00BA7A7F">
            <w:pPr>
              <w:tabs>
                <w:tab w:val="left" w:pos="709"/>
              </w:tabs>
              <w:spacing w:before="60" w:after="60" w:line="240" w:lineRule="auto"/>
              <w:jc w:val="left"/>
              <w:rPr>
                <w:rFonts w:ascii="Arial" w:hAnsi="Arial" w:cs="Arial"/>
                <w:b/>
                <w:sz w:val="16"/>
                <w:szCs w:val="16"/>
                <w:bdr w:val="none" w:sz="0" w:space="0" w:color="auto" w:frame="1"/>
                <w:vertAlign w:val="superscript"/>
                <w:lang w:val="en-US" w:eastAsia="en-US"/>
              </w:rPr>
            </w:pPr>
            <w:r>
              <w:rPr>
                <w:rFonts w:ascii="Arial" w:hAnsi="Arial" w:cs="Arial"/>
                <w:b/>
                <w:sz w:val="16"/>
                <w:szCs w:val="16"/>
                <w:bdr w:val="none" w:sz="0" w:space="0" w:color="auto" w:frame="1"/>
                <w:lang w:val="en-US" w:eastAsia="en-US"/>
              </w:rPr>
              <w:t>Key activities (a)</w:t>
            </w:r>
          </w:p>
        </w:tc>
        <w:tc>
          <w:tcPr>
            <w:tcW w:w="6181" w:type="dxa"/>
            <w:gridSpan w:val="2"/>
            <w:tcBorders>
              <w:top w:val="single" w:sz="4" w:space="0" w:color="auto"/>
              <w:left w:val="single" w:sz="4" w:space="0" w:color="auto"/>
              <w:bottom w:val="single" w:sz="4" w:space="0" w:color="auto"/>
              <w:right w:val="single" w:sz="4" w:space="0" w:color="auto"/>
            </w:tcBorders>
          </w:tcPr>
          <w:p w:rsidR="00036FF4" w:rsidRDefault="00BA7A7F">
            <w:pPr>
              <w:tabs>
                <w:tab w:val="left" w:pos="709"/>
              </w:tabs>
              <w:spacing w:before="60" w:after="60" w:line="240" w:lineRule="auto"/>
              <w:jc w:val="left"/>
              <w:rPr>
                <w:rFonts w:ascii="Arial" w:hAnsi="Arial" w:cs="Arial"/>
                <w:sz w:val="16"/>
                <w:szCs w:val="16"/>
                <w:bdr w:val="none" w:sz="0" w:space="0" w:color="auto" w:frame="1"/>
                <w:lang w:val="en-US" w:eastAsia="en-US"/>
              </w:rPr>
            </w:pPr>
            <w:r w:rsidRPr="00BB511A">
              <w:rPr>
                <w:rFonts w:ascii="Arial" w:hAnsi="Arial" w:cs="Arial"/>
                <w:b/>
                <w:sz w:val="16"/>
                <w:szCs w:val="16"/>
                <w:bdr w:val="none" w:sz="0" w:space="0" w:color="auto" w:frame="1"/>
                <w:lang w:val="en-US" w:eastAsia="en-US"/>
              </w:rPr>
              <w:t>Activity</w:t>
            </w:r>
            <w:r>
              <w:rPr>
                <w:rFonts w:ascii="Arial" w:hAnsi="Arial" w:cs="Arial"/>
                <w:b/>
                <w:bCs/>
                <w:sz w:val="16"/>
                <w:szCs w:val="16"/>
                <w:bdr w:val="none" w:sz="0" w:space="0" w:color="auto" w:frame="1"/>
                <w:lang w:val="en-US" w:eastAsia="en-US"/>
              </w:rPr>
              <w:t xml:space="preserve"> 1.1</w:t>
            </w:r>
            <w:r>
              <w:rPr>
                <w:rFonts w:ascii="Arial" w:hAnsi="Arial" w:cs="Arial"/>
                <w:sz w:val="16"/>
                <w:szCs w:val="16"/>
                <w:bdr w:val="none" w:sz="0" w:space="0" w:color="auto" w:frame="1"/>
                <w:lang w:val="en-US" w:eastAsia="en-US"/>
              </w:rPr>
              <w:t>: Provide financial assistance to Australian researchers, innovators and businesses for projects that align with our strategic priorities.</w:t>
            </w:r>
          </w:p>
          <w:p w:rsidR="00036FF4" w:rsidRDefault="00036FF4">
            <w:pPr>
              <w:tabs>
                <w:tab w:val="left" w:pos="709"/>
              </w:tabs>
              <w:spacing w:before="60" w:after="60" w:line="240" w:lineRule="auto"/>
              <w:contextualSpacing/>
              <w:jc w:val="left"/>
              <w:rPr>
                <w:rFonts w:ascii="Arial" w:hAnsi="Arial" w:cs="Arial"/>
                <w:sz w:val="16"/>
                <w:szCs w:val="16"/>
                <w:bdr w:val="none" w:sz="0" w:space="0" w:color="auto" w:frame="1"/>
                <w:lang w:val="en-US" w:eastAsia="en-US"/>
              </w:rPr>
            </w:pPr>
          </w:p>
          <w:p w:rsidR="00036FF4" w:rsidRDefault="00BA7A7F">
            <w:pPr>
              <w:tabs>
                <w:tab w:val="left" w:pos="709"/>
              </w:tabs>
              <w:spacing w:before="60" w:after="60" w:line="240" w:lineRule="auto"/>
              <w:contextualSpacing/>
              <w:jc w:val="left"/>
              <w:rPr>
                <w:rFonts w:ascii="Arial" w:hAnsi="Arial" w:cs="Arial"/>
                <w:sz w:val="16"/>
                <w:szCs w:val="16"/>
                <w:bdr w:val="none" w:sz="0" w:space="0" w:color="auto" w:frame="1"/>
                <w:lang w:val="en-US" w:eastAsia="en-US"/>
              </w:rPr>
            </w:pPr>
            <w:r>
              <w:rPr>
                <w:rFonts w:ascii="Arial" w:hAnsi="Arial" w:cs="Arial"/>
                <w:b/>
                <w:bCs/>
                <w:sz w:val="16"/>
                <w:szCs w:val="16"/>
                <w:bdr w:val="none" w:sz="0" w:space="0" w:color="auto" w:frame="1"/>
                <w:lang w:val="en-US" w:eastAsia="en-US"/>
              </w:rPr>
              <w:t>Activity 1.2</w:t>
            </w:r>
            <w:r>
              <w:rPr>
                <w:rFonts w:ascii="Arial" w:hAnsi="Arial" w:cs="Arial"/>
                <w:sz w:val="16"/>
                <w:szCs w:val="16"/>
                <w:bdr w:val="none" w:sz="0" w:space="0" w:color="auto" w:frame="1"/>
                <w:lang w:val="en-US" w:eastAsia="en-US"/>
              </w:rPr>
              <w:t>: Maximise the value of ongoing projects through effective project delivery, knowledge sharing and supporting collaboration.</w:t>
            </w:r>
          </w:p>
        </w:tc>
      </w:tr>
      <w:tr w:rsidR="00253274" w:rsidTr="00A61A1B">
        <w:trPr>
          <w:trHeight w:val="60"/>
        </w:trPr>
        <w:tc>
          <w:tcPr>
            <w:tcW w:w="1560" w:type="dxa"/>
            <w:tcBorders>
              <w:top w:val="single" w:sz="4" w:space="0" w:color="auto"/>
              <w:left w:val="single" w:sz="4" w:space="0" w:color="auto"/>
              <w:bottom w:val="single" w:sz="4" w:space="0" w:color="auto"/>
              <w:right w:val="single" w:sz="4" w:space="0" w:color="auto"/>
            </w:tcBorders>
            <w:hideMark/>
          </w:tcPr>
          <w:p w:rsidR="00036FF4" w:rsidRDefault="00BA7A7F">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b/>
                <w:sz w:val="16"/>
                <w:szCs w:val="16"/>
                <w:bdr w:val="none" w:sz="0" w:space="0" w:color="auto" w:frame="1"/>
                <w:lang w:val="en-US" w:eastAsia="en-US"/>
              </w:rPr>
              <w:t>Year</w:t>
            </w:r>
          </w:p>
        </w:tc>
        <w:tc>
          <w:tcPr>
            <w:tcW w:w="3147" w:type="dxa"/>
            <w:tcBorders>
              <w:top w:val="single" w:sz="4" w:space="0" w:color="auto"/>
              <w:left w:val="single" w:sz="4" w:space="0" w:color="auto"/>
              <w:bottom w:val="single" w:sz="4" w:space="0" w:color="auto"/>
              <w:right w:val="single" w:sz="4" w:space="0" w:color="auto"/>
            </w:tcBorders>
            <w:hideMark/>
          </w:tcPr>
          <w:p w:rsidR="00036FF4" w:rsidRDefault="00BA7A7F">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b/>
                <w:sz w:val="16"/>
                <w:szCs w:val="16"/>
                <w:bdr w:val="none" w:sz="0" w:space="0" w:color="auto" w:frame="1"/>
                <w:lang w:val="en-US" w:eastAsia="en-US"/>
              </w:rPr>
              <w:t>Performance measure</w:t>
            </w:r>
          </w:p>
        </w:tc>
        <w:tc>
          <w:tcPr>
            <w:tcW w:w="3034" w:type="dxa"/>
            <w:tcBorders>
              <w:top w:val="single" w:sz="4" w:space="0" w:color="auto"/>
              <w:left w:val="single" w:sz="4" w:space="0" w:color="auto"/>
              <w:bottom w:val="single" w:sz="4" w:space="0" w:color="auto"/>
              <w:right w:val="single" w:sz="4" w:space="0" w:color="auto"/>
            </w:tcBorders>
            <w:hideMark/>
          </w:tcPr>
          <w:p w:rsidR="00036FF4" w:rsidRDefault="00BA7A7F">
            <w:pPr>
              <w:keepLines w:val="0"/>
              <w:tabs>
                <w:tab w:val="left" w:pos="709"/>
              </w:tabs>
              <w:spacing w:before="60" w:after="60" w:line="240" w:lineRule="auto"/>
              <w:jc w:val="left"/>
              <w:rPr>
                <w:rFonts w:ascii="Arial" w:hAnsi="Arial" w:cs="Arial"/>
                <w:sz w:val="16"/>
                <w:szCs w:val="16"/>
                <w:bdr w:val="none" w:sz="0" w:space="0" w:color="auto" w:frame="1"/>
                <w:lang w:val="en-GB" w:eastAsia="en-US"/>
              </w:rPr>
            </w:pPr>
            <w:r>
              <w:rPr>
                <w:rFonts w:ascii="Arial" w:hAnsi="Arial" w:cs="Arial"/>
                <w:b/>
                <w:sz w:val="16"/>
                <w:szCs w:val="16"/>
                <w:bdr w:val="none" w:sz="0" w:space="0" w:color="auto" w:frame="1"/>
                <w:lang w:val="en-US" w:eastAsia="en-US"/>
              </w:rPr>
              <w:t>Expected Performance Results</w:t>
            </w:r>
          </w:p>
        </w:tc>
      </w:tr>
      <w:tr w:rsidR="00253274" w:rsidTr="00A61A1B">
        <w:trPr>
          <w:trHeight w:val="60"/>
        </w:trPr>
        <w:tc>
          <w:tcPr>
            <w:tcW w:w="1560" w:type="dxa"/>
            <w:vMerge w:val="restart"/>
            <w:tcBorders>
              <w:top w:val="single" w:sz="4" w:space="0" w:color="auto"/>
              <w:left w:val="single" w:sz="4" w:space="0" w:color="auto"/>
              <w:bottom w:val="single" w:sz="4" w:space="0" w:color="auto"/>
              <w:right w:val="single" w:sz="4" w:space="0" w:color="auto"/>
            </w:tcBorders>
            <w:hideMark/>
          </w:tcPr>
          <w:p w:rsidR="00036FF4" w:rsidRDefault="00BA7A7F">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Current year</w:t>
            </w:r>
          </w:p>
          <w:p w:rsidR="00036FF4" w:rsidRDefault="00BA7A7F">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2021-22</w:t>
            </w:r>
          </w:p>
        </w:tc>
        <w:tc>
          <w:tcPr>
            <w:tcW w:w="3147" w:type="dxa"/>
            <w:tcBorders>
              <w:top w:val="single" w:sz="4" w:space="0" w:color="auto"/>
              <w:left w:val="single" w:sz="4" w:space="0" w:color="auto"/>
              <w:bottom w:val="single" w:sz="4" w:space="0" w:color="auto"/>
              <w:right w:val="single" w:sz="4" w:space="0" w:color="auto"/>
            </w:tcBorders>
            <w:hideMark/>
          </w:tcPr>
          <w:p w:rsidR="00036FF4" w:rsidRDefault="00BA7A7F">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b/>
                <w:bCs/>
                <w:sz w:val="16"/>
                <w:szCs w:val="16"/>
                <w:bdr w:val="none" w:sz="0" w:space="0" w:color="auto" w:frame="1"/>
                <w:lang w:val="en-US" w:eastAsia="en-US"/>
              </w:rPr>
              <w:t>For Activity 1.1 - Financial assistance</w:t>
            </w:r>
            <w:r>
              <w:rPr>
                <w:rFonts w:ascii="Arial" w:hAnsi="Arial" w:cs="Arial"/>
                <w:sz w:val="16"/>
                <w:szCs w:val="16"/>
                <w:bdr w:val="none" w:sz="0" w:space="0" w:color="auto" w:frame="1"/>
                <w:lang w:val="en-US" w:eastAsia="en-US"/>
              </w:rPr>
              <w:t>: ARENA -funded project incre</w:t>
            </w:r>
            <w:r w:rsidR="00BB511A">
              <w:rPr>
                <w:rFonts w:ascii="Arial" w:hAnsi="Arial" w:cs="Arial"/>
                <w:sz w:val="16"/>
                <w:szCs w:val="16"/>
                <w:bdr w:val="none" w:sz="0" w:space="0" w:color="auto" w:frame="1"/>
                <w:lang w:val="en-US" w:eastAsia="en-US"/>
              </w:rPr>
              <w:t>ase supply of renewable energy.</w:t>
            </w:r>
          </w:p>
        </w:tc>
        <w:tc>
          <w:tcPr>
            <w:tcW w:w="3034" w:type="dxa"/>
            <w:tcBorders>
              <w:top w:val="single" w:sz="4" w:space="0" w:color="auto"/>
              <w:left w:val="single" w:sz="4" w:space="0" w:color="auto"/>
              <w:bottom w:val="single" w:sz="4" w:space="0" w:color="auto"/>
              <w:right w:val="single" w:sz="4" w:space="0" w:color="auto"/>
            </w:tcBorders>
            <w:hideMark/>
          </w:tcPr>
          <w:p w:rsidR="00036FF4" w:rsidRDefault="00BA7A7F">
            <w:pPr>
              <w:keepLines w:val="0"/>
              <w:tabs>
                <w:tab w:val="left" w:pos="709"/>
              </w:tabs>
              <w:spacing w:before="60" w:after="60" w:line="240" w:lineRule="auto"/>
              <w:jc w:val="left"/>
              <w:rPr>
                <w:rFonts w:ascii="Arial" w:hAnsi="Arial" w:cs="Arial"/>
                <w:sz w:val="16"/>
                <w:szCs w:val="16"/>
                <w:bdr w:val="none" w:sz="0" w:space="0" w:color="auto" w:frame="1"/>
                <w:lang w:val="en-GB" w:eastAsia="en-US"/>
              </w:rPr>
            </w:pPr>
            <w:r>
              <w:rPr>
                <w:rFonts w:ascii="Arial" w:hAnsi="Arial" w:cs="Arial"/>
                <w:sz w:val="16"/>
                <w:szCs w:val="16"/>
                <w:bdr w:val="none" w:sz="0" w:space="0" w:color="auto" w:frame="1"/>
                <w:lang w:val="en-GB" w:eastAsia="en-US"/>
              </w:rPr>
              <w:t>Total energy production from ARENA-funded demonstration and deployment projects is at least 80% of that intended at time of commitment.</w:t>
            </w:r>
          </w:p>
          <w:p w:rsidR="00036FF4" w:rsidRDefault="00BA7A7F">
            <w:pPr>
              <w:keepLines w:val="0"/>
              <w:tabs>
                <w:tab w:val="left" w:pos="709"/>
              </w:tabs>
              <w:spacing w:before="60" w:after="60" w:line="240" w:lineRule="auto"/>
              <w:jc w:val="left"/>
              <w:rPr>
                <w:rFonts w:ascii="Arial" w:hAnsi="Arial" w:cs="Arial"/>
                <w:sz w:val="16"/>
                <w:szCs w:val="16"/>
                <w:bdr w:val="none" w:sz="0" w:space="0" w:color="auto" w:frame="1"/>
                <w:lang w:val="en-GB" w:eastAsia="en-US"/>
              </w:rPr>
            </w:pPr>
            <w:r>
              <w:rPr>
                <w:rFonts w:ascii="Arial" w:hAnsi="Arial" w:cs="Arial"/>
                <w:sz w:val="16"/>
                <w:szCs w:val="16"/>
                <w:bdr w:val="none" w:sz="0" w:space="0" w:color="auto" w:frame="1"/>
                <w:lang w:val="en-GB" w:eastAsia="en-US"/>
              </w:rPr>
              <w:t>On track</w:t>
            </w:r>
          </w:p>
        </w:tc>
      </w:tr>
      <w:tr w:rsidR="00253274" w:rsidTr="00A61A1B">
        <w:trPr>
          <w:trHeight w:val="6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36FF4" w:rsidRDefault="00036FF4">
            <w:pPr>
              <w:keepLines w:val="0"/>
              <w:spacing w:after="0" w:line="276" w:lineRule="auto"/>
              <w:jc w:val="left"/>
              <w:rPr>
                <w:rFonts w:ascii="Arial" w:hAnsi="Arial" w:cs="Arial"/>
                <w:sz w:val="16"/>
                <w:szCs w:val="16"/>
                <w:bdr w:val="none" w:sz="0" w:space="0" w:color="auto" w:frame="1"/>
                <w:lang w:val="en-US" w:eastAsia="en-US"/>
              </w:rPr>
            </w:pPr>
          </w:p>
        </w:tc>
        <w:tc>
          <w:tcPr>
            <w:tcW w:w="3147" w:type="dxa"/>
            <w:tcBorders>
              <w:top w:val="single" w:sz="4" w:space="0" w:color="auto"/>
              <w:left w:val="single" w:sz="4" w:space="0" w:color="auto"/>
              <w:bottom w:val="single" w:sz="4" w:space="0" w:color="auto"/>
              <w:right w:val="single" w:sz="4" w:space="0" w:color="auto"/>
            </w:tcBorders>
            <w:hideMark/>
          </w:tcPr>
          <w:p w:rsidR="00036FF4" w:rsidRDefault="00BA7A7F">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b/>
                <w:bCs/>
                <w:sz w:val="16"/>
                <w:szCs w:val="16"/>
                <w:bdr w:val="none" w:sz="0" w:space="0" w:color="auto" w:frame="1"/>
                <w:lang w:val="en-US" w:eastAsia="en-US"/>
              </w:rPr>
              <w:t>For Activity 1.2</w:t>
            </w:r>
            <w:r>
              <w:rPr>
                <w:rFonts w:ascii="Arial" w:hAnsi="Arial" w:cs="Arial"/>
                <w:sz w:val="16"/>
                <w:szCs w:val="16"/>
                <w:bdr w:val="none" w:sz="0" w:space="0" w:color="auto" w:frame="1"/>
                <w:lang w:val="en-US" w:eastAsia="en-US"/>
              </w:rPr>
              <w:t xml:space="preserve"> – Knowledge sharing and collaboration: ARENA shares knowledge to enhance the competitiveness of renewable energy technologies.</w:t>
            </w:r>
          </w:p>
        </w:tc>
        <w:tc>
          <w:tcPr>
            <w:tcW w:w="3034" w:type="dxa"/>
            <w:tcBorders>
              <w:top w:val="single" w:sz="4" w:space="0" w:color="auto"/>
              <w:left w:val="single" w:sz="4" w:space="0" w:color="auto"/>
              <w:bottom w:val="single" w:sz="4" w:space="0" w:color="auto"/>
              <w:right w:val="single" w:sz="4" w:space="0" w:color="auto"/>
            </w:tcBorders>
            <w:hideMark/>
          </w:tcPr>
          <w:p w:rsidR="00036FF4" w:rsidRDefault="00BA7A7F">
            <w:pPr>
              <w:tabs>
                <w:tab w:val="left" w:pos="709"/>
              </w:tabs>
              <w:spacing w:before="60" w:after="60" w:line="240" w:lineRule="auto"/>
              <w:jc w:val="left"/>
              <w:rPr>
                <w:rFonts w:ascii="Arial" w:hAnsi="Arial" w:cs="Arial"/>
                <w:sz w:val="16"/>
                <w:szCs w:val="16"/>
                <w:bdr w:val="none" w:sz="0" w:space="0" w:color="auto" w:frame="1"/>
                <w:vertAlign w:val="superscript"/>
                <w:lang w:val="en-US" w:eastAsia="en-US"/>
              </w:rPr>
            </w:pPr>
            <w:r>
              <w:rPr>
                <w:rFonts w:ascii="Arial" w:hAnsi="Arial" w:cs="Arial"/>
                <w:sz w:val="16"/>
                <w:szCs w:val="16"/>
                <w:bdr w:val="none" w:sz="0" w:space="0" w:color="auto" w:frame="1"/>
                <w:lang w:val="en-US" w:eastAsia="en-US"/>
              </w:rPr>
              <w:t>At least 75% of stakeholders surveyed report that knowledge shared by ARENA has informed part of their decision-making processes (b).</w:t>
            </w:r>
          </w:p>
          <w:p w:rsidR="00036FF4" w:rsidRDefault="00BA7A7F">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On track</w:t>
            </w:r>
          </w:p>
        </w:tc>
      </w:tr>
      <w:tr w:rsidR="00253274" w:rsidTr="00A61A1B">
        <w:trPr>
          <w:trHeight w:val="60"/>
        </w:trPr>
        <w:tc>
          <w:tcPr>
            <w:tcW w:w="1560" w:type="dxa"/>
            <w:tcBorders>
              <w:top w:val="single" w:sz="4" w:space="0" w:color="auto"/>
              <w:left w:val="single" w:sz="4" w:space="0" w:color="auto"/>
              <w:bottom w:val="single" w:sz="4" w:space="0" w:color="auto"/>
              <w:right w:val="single" w:sz="4" w:space="0" w:color="auto"/>
            </w:tcBorders>
            <w:hideMark/>
          </w:tcPr>
          <w:p w:rsidR="00036FF4" w:rsidRDefault="00BA7A7F">
            <w:pPr>
              <w:tabs>
                <w:tab w:val="left" w:pos="709"/>
              </w:tabs>
              <w:spacing w:before="60" w:after="60" w:line="240" w:lineRule="auto"/>
              <w:jc w:val="left"/>
              <w:rPr>
                <w:rFonts w:ascii="Arial" w:hAnsi="Arial" w:cs="Arial"/>
                <w:b/>
                <w:bCs/>
                <w:sz w:val="16"/>
                <w:szCs w:val="16"/>
                <w:bdr w:val="none" w:sz="0" w:space="0" w:color="auto" w:frame="1"/>
                <w:lang w:val="en-US" w:eastAsia="en-US"/>
              </w:rPr>
            </w:pPr>
            <w:r>
              <w:rPr>
                <w:rFonts w:ascii="Arial" w:hAnsi="Arial" w:cs="Arial"/>
                <w:b/>
                <w:bCs/>
                <w:sz w:val="16"/>
                <w:szCs w:val="16"/>
                <w:lang w:val="en-US" w:eastAsia="en-US"/>
              </w:rPr>
              <w:t>Year</w:t>
            </w:r>
          </w:p>
        </w:tc>
        <w:tc>
          <w:tcPr>
            <w:tcW w:w="3147" w:type="dxa"/>
            <w:tcBorders>
              <w:top w:val="single" w:sz="4" w:space="0" w:color="auto"/>
              <w:left w:val="single" w:sz="4" w:space="0" w:color="auto"/>
              <w:bottom w:val="single" w:sz="4" w:space="0" w:color="auto"/>
              <w:right w:val="single" w:sz="4" w:space="0" w:color="auto"/>
            </w:tcBorders>
            <w:hideMark/>
          </w:tcPr>
          <w:p w:rsidR="00036FF4" w:rsidRDefault="00BA7A7F">
            <w:pPr>
              <w:tabs>
                <w:tab w:val="left" w:pos="709"/>
              </w:tabs>
              <w:spacing w:before="60" w:after="60" w:line="240" w:lineRule="auto"/>
              <w:jc w:val="left"/>
              <w:rPr>
                <w:rFonts w:ascii="Arial" w:hAnsi="Arial" w:cs="Arial"/>
                <w:b/>
                <w:bCs/>
                <w:sz w:val="16"/>
                <w:szCs w:val="16"/>
                <w:bdr w:val="none" w:sz="0" w:space="0" w:color="auto" w:frame="1"/>
                <w:lang w:val="en-US" w:eastAsia="en-US"/>
              </w:rPr>
            </w:pPr>
            <w:r>
              <w:rPr>
                <w:rFonts w:ascii="Arial" w:hAnsi="Arial" w:cs="Arial"/>
                <w:b/>
                <w:bCs/>
                <w:sz w:val="16"/>
                <w:szCs w:val="16"/>
                <w:lang w:val="en-US" w:eastAsia="en-US"/>
              </w:rPr>
              <w:t>Performance measure</w:t>
            </w:r>
          </w:p>
        </w:tc>
        <w:tc>
          <w:tcPr>
            <w:tcW w:w="3034" w:type="dxa"/>
            <w:tcBorders>
              <w:top w:val="single" w:sz="4" w:space="0" w:color="auto"/>
              <w:left w:val="single" w:sz="4" w:space="0" w:color="auto"/>
              <w:bottom w:val="single" w:sz="4" w:space="0" w:color="auto"/>
              <w:right w:val="single" w:sz="4" w:space="0" w:color="auto"/>
            </w:tcBorders>
            <w:hideMark/>
          </w:tcPr>
          <w:p w:rsidR="00036FF4" w:rsidRDefault="00BA7A7F">
            <w:pPr>
              <w:keepLines w:val="0"/>
              <w:tabs>
                <w:tab w:val="left" w:pos="709"/>
              </w:tabs>
              <w:spacing w:before="60" w:after="60" w:line="240" w:lineRule="auto"/>
              <w:jc w:val="left"/>
              <w:rPr>
                <w:rFonts w:ascii="Arial" w:hAnsi="Arial" w:cs="Arial"/>
                <w:b/>
                <w:bCs/>
                <w:color w:val="4A86E8"/>
                <w:sz w:val="16"/>
                <w:szCs w:val="16"/>
                <w:lang w:val="en-US" w:eastAsia="en-US"/>
              </w:rPr>
            </w:pPr>
            <w:r>
              <w:rPr>
                <w:rFonts w:ascii="Arial" w:hAnsi="Arial" w:cs="Arial"/>
                <w:b/>
                <w:bCs/>
                <w:sz w:val="16"/>
                <w:szCs w:val="16"/>
                <w:lang w:val="en-US" w:eastAsia="en-US"/>
              </w:rPr>
              <w:t>Planned Performance Results</w:t>
            </w:r>
          </w:p>
        </w:tc>
      </w:tr>
      <w:tr w:rsidR="00253274" w:rsidTr="008E1C08">
        <w:trPr>
          <w:trHeight w:val="60"/>
        </w:trPr>
        <w:tc>
          <w:tcPr>
            <w:tcW w:w="1560" w:type="dxa"/>
            <w:vMerge w:val="restart"/>
            <w:tcBorders>
              <w:top w:val="single" w:sz="4" w:space="0" w:color="auto"/>
              <w:left w:val="single" w:sz="4" w:space="0" w:color="auto"/>
              <w:bottom w:val="single" w:sz="4" w:space="0" w:color="auto"/>
              <w:right w:val="single" w:sz="4" w:space="0" w:color="auto"/>
            </w:tcBorders>
          </w:tcPr>
          <w:p w:rsidR="00036FF4" w:rsidRDefault="00BA7A7F">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Budget year</w:t>
            </w:r>
          </w:p>
          <w:p w:rsidR="00036FF4" w:rsidRDefault="00BA7A7F">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2022-23</w:t>
            </w:r>
          </w:p>
        </w:tc>
        <w:tc>
          <w:tcPr>
            <w:tcW w:w="3147" w:type="dxa"/>
            <w:tcBorders>
              <w:top w:val="single" w:sz="4" w:space="0" w:color="auto"/>
              <w:left w:val="single" w:sz="4" w:space="0" w:color="auto"/>
              <w:bottom w:val="single" w:sz="4" w:space="0" w:color="auto"/>
              <w:right w:val="single" w:sz="4" w:space="0" w:color="auto"/>
            </w:tcBorders>
            <w:hideMark/>
          </w:tcPr>
          <w:p w:rsidR="00036FF4" w:rsidRDefault="00BA7A7F">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b/>
                <w:bCs/>
                <w:sz w:val="16"/>
                <w:szCs w:val="16"/>
                <w:bdr w:val="none" w:sz="0" w:space="0" w:color="auto" w:frame="1"/>
                <w:lang w:val="en-US" w:eastAsia="en-US"/>
              </w:rPr>
              <w:t>For Activity 1.1 - Financial assistance</w:t>
            </w:r>
            <w:r>
              <w:rPr>
                <w:rFonts w:ascii="Arial" w:hAnsi="Arial" w:cs="Arial"/>
                <w:sz w:val="16"/>
                <w:szCs w:val="16"/>
                <w:bdr w:val="none" w:sz="0" w:space="0" w:color="auto" w:frame="1"/>
                <w:lang w:val="en-US" w:eastAsia="en-US"/>
              </w:rPr>
              <w:t>: ARENA -funded project incre</w:t>
            </w:r>
            <w:r w:rsidR="00BB511A">
              <w:rPr>
                <w:rFonts w:ascii="Arial" w:hAnsi="Arial" w:cs="Arial"/>
                <w:sz w:val="16"/>
                <w:szCs w:val="16"/>
                <w:bdr w:val="none" w:sz="0" w:space="0" w:color="auto" w:frame="1"/>
                <w:lang w:val="en-US" w:eastAsia="en-US"/>
              </w:rPr>
              <w:t>ase supply of renewable energy.</w:t>
            </w:r>
          </w:p>
        </w:tc>
        <w:tc>
          <w:tcPr>
            <w:tcW w:w="3034" w:type="dxa"/>
            <w:tcBorders>
              <w:top w:val="single" w:sz="4" w:space="0" w:color="auto"/>
              <w:left w:val="single" w:sz="4" w:space="0" w:color="auto"/>
              <w:bottom w:val="single" w:sz="4" w:space="0" w:color="auto"/>
              <w:right w:val="single" w:sz="4" w:space="0" w:color="auto"/>
            </w:tcBorders>
            <w:shd w:val="clear" w:color="auto" w:fill="auto"/>
          </w:tcPr>
          <w:p w:rsidR="00036FF4" w:rsidRDefault="00BA7A7F" w:rsidP="008A3B49">
            <w:pPr>
              <w:keepLines w:val="0"/>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lang w:val="en-US" w:eastAsia="en-US"/>
              </w:rPr>
              <w:t>Each year ARENA contractually commits to at least 5 deployment and demonstration projects that increase the supply of renewable energy or renewable energy storage.</w:t>
            </w:r>
            <w:r>
              <w:rPr>
                <w:rFonts w:ascii="Arial" w:hAnsi="Arial" w:cs="Arial"/>
                <w:color w:val="4A86E8"/>
                <w:sz w:val="16"/>
                <w:szCs w:val="16"/>
                <w:lang w:val="en-US" w:eastAsia="en-US"/>
              </w:rPr>
              <w:br/>
            </w:r>
            <w:r>
              <w:rPr>
                <w:rFonts w:ascii="Arial" w:hAnsi="Arial" w:cs="Arial"/>
                <w:color w:val="4A86E8"/>
                <w:sz w:val="16"/>
                <w:szCs w:val="16"/>
                <w:lang w:val="en-US" w:eastAsia="en-US"/>
              </w:rPr>
              <w:br/>
            </w:r>
            <w:r w:rsidRPr="00B600CC">
              <w:rPr>
                <w:rFonts w:ascii="Arial" w:hAnsi="Arial" w:cs="Arial"/>
                <w:b/>
                <w:bCs/>
                <w:sz w:val="16"/>
                <w:szCs w:val="16"/>
                <w:lang w:val="en-US" w:eastAsia="en-US"/>
              </w:rPr>
              <w:t>Financial assistance expected result:</w:t>
            </w:r>
            <w:r w:rsidRPr="00B600CC">
              <w:rPr>
                <w:rFonts w:ascii="Arial" w:hAnsi="Arial" w:cs="Arial"/>
                <w:sz w:val="16"/>
                <w:szCs w:val="16"/>
                <w:lang w:val="en-US" w:eastAsia="en-US"/>
              </w:rPr>
              <w:t xml:space="preserve"> More competitive renewable energy choices </w:t>
            </w:r>
            <w:r>
              <w:rPr>
                <w:rFonts w:ascii="Arial" w:hAnsi="Arial" w:cs="Arial"/>
                <w:color w:val="222222"/>
                <w:sz w:val="16"/>
                <w:szCs w:val="16"/>
                <w:lang w:val="en-US" w:eastAsia="en-US"/>
              </w:rPr>
              <w:t>for Australian consumers and businesses.</w:t>
            </w:r>
          </w:p>
        </w:tc>
      </w:tr>
      <w:tr w:rsidR="00253274" w:rsidTr="00A61A1B">
        <w:trPr>
          <w:trHeight w:val="6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36FF4" w:rsidRDefault="00036FF4">
            <w:pPr>
              <w:keepLines w:val="0"/>
              <w:spacing w:after="0" w:line="276" w:lineRule="auto"/>
              <w:jc w:val="left"/>
              <w:rPr>
                <w:rFonts w:ascii="Arial" w:hAnsi="Arial" w:cs="Arial"/>
                <w:sz w:val="16"/>
                <w:szCs w:val="16"/>
                <w:bdr w:val="none" w:sz="0" w:space="0" w:color="auto" w:frame="1"/>
                <w:lang w:val="en-US" w:eastAsia="en-US"/>
              </w:rPr>
            </w:pPr>
          </w:p>
        </w:tc>
        <w:tc>
          <w:tcPr>
            <w:tcW w:w="3147" w:type="dxa"/>
            <w:tcBorders>
              <w:top w:val="single" w:sz="4" w:space="0" w:color="auto"/>
              <w:left w:val="single" w:sz="4" w:space="0" w:color="auto"/>
              <w:bottom w:val="single" w:sz="4" w:space="0" w:color="auto"/>
              <w:right w:val="single" w:sz="4" w:space="0" w:color="auto"/>
            </w:tcBorders>
            <w:hideMark/>
          </w:tcPr>
          <w:p w:rsidR="00036FF4" w:rsidRDefault="00BA7A7F">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b/>
                <w:bCs/>
                <w:sz w:val="16"/>
                <w:szCs w:val="16"/>
                <w:bdr w:val="none" w:sz="0" w:space="0" w:color="auto" w:frame="1"/>
                <w:lang w:val="en-US" w:eastAsia="en-US"/>
              </w:rPr>
              <w:t>For Activity 1.2</w:t>
            </w:r>
            <w:r>
              <w:rPr>
                <w:rFonts w:ascii="Arial" w:hAnsi="Arial" w:cs="Arial"/>
                <w:sz w:val="16"/>
                <w:szCs w:val="16"/>
                <w:bdr w:val="none" w:sz="0" w:space="0" w:color="auto" w:frame="1"/>
                <w:lang w:val="en-US" w:eastAsia="en-US"/>
              </w:rPr>
              <w:t xml:space="preserve"> – Knowledge sharing and collaboration: ARENA shares knowledge to enhance the</w:t>
            </w:r>
            <w:r w:rsidR="00BB511A">
              <w:rPr>
                <w:rFonts w:ascii="Arial" w:hAnsi="Arial" w:cs="Arial"/>
                <w:sz w:val="16"/>
                <w:szCs w:val="16"/>
                <w:bdr w:val="none" w:sz="0" w:space="0" w:color="auto" w:frame="1"/>
                <w:lang w:val="en-US" w:eastAsia="en-US"/>
              </w:rPr>
              <w:t xml:space="preserve"> </w:t>
            </w:r>
            <w:r>
              <w:rPr>
                <w:rFonts w:ascii="Arial" w:hAnsi="Arial" w:cs="Arial"/>
                <w:sz w:val="16"/>
                <w:szCs w:val="16"/>
                <w:bdr w:val="none" w:sz="0" w:space="0" w:color="auto" w:frame="1"/>
                <w:lang w:val="en-US" w:eastAsia="en-US"/>
              </w:rPr>
              <w:t>competitiveness of renewable energy technologies.</w:t>
            </w:r>
          </w:p>
        </w:tc>
        <w:tc>
          <w:tcPr>
            <w:tcW w:w="3034" w:type="dxa"/>
            <w:tcBorders>
              <w:top w:val="single" w:sz="4" w:space="0" w:color="auto"/>
              <w:left w:val="single" w:sz="4" w:space="0" w:color="auto"/>
              <w:bottom w:val="single" w:sz="4" w:space="0" w:color="auto"/>
              <w:right w:val="single" w:sz="4" w:space="0" w:color="auto"/>
            </w:tcBorders>
            <w:hideMark/>
          </w:tcPr>
          <w:p w:rsidR="00036FF4" w:rsidRDefault="00BA7A7F" w:rsidP="008A3B49">
            <w:pPr>
              <w:keepLines w:val="0"/>
              <w:tabs>
                <w:tab w:val="left" w:pos="709"/>
              </w:tabs>
              <w:spacing w:before="60" w:after="6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xml:space="preserve">At </w:t>
            </w:r>
            <w:r>
              <w:rPr>
                <w:rFonts w:ascii="Arial" w:hAnsi="Arial" w:cs="Arial"/>
                <w:sz w:val="16"/>
                <w:szCs w:val="16"/>
                <w:lang w:val="en-US" w:eastAsia="en-US"/>
              </w:rPr>
              <w:t xml:space="preserve">least 50% of survey responses note </w:t>
            </w:r>
            <w:r>
              <w:rPr>
                <w:rFonts w:ascii="Arial" w:hAnsi="Arial" w:cs="Arial"/>
                <w:color w:val="000000"/>
                <w:sz w:val="16"/>
                <w:szCs w:val="16"/>
                <w:lang w:val="en-US" w:eastAsia="en-US"/>
              </w:rPr>
              <w:t xml:space="preserve">that knowledge shared by ARENA has informed part of their decision-making processes (c) </w:t>
            </w:r>
          </w:p>
          <w:p w:rsidR="00D51F16" w:rsidRDefault="00D51F16">
            <w:pPr>
              <w:keepLines w:val="0"/>
              <w:spacing w:after="0" w:line="240" w:lineRule="auto"/>
              <w:jc w:val="left"/>
              <w:rPr>
                <w:rFonts w:ascii="Arial" w:hAnsi="Arial" w:cs="Arial"/>
                <w:color w:val="000000"/>
                <w:sz w:val="16"/>
                <w:szCs w:val="16"/>
                <w:lang w:val="en-US" w:eastAsia="en-US"/>
              </w:rPr>
            </w:pPr>
          </w:p>
          <w:p w:rsidR="00036FF4" w:rsidRDefault="00BA7A7F">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b/>
                <w:bCs/>
                <w:color w:val="000000"/>
                <w:sz w:val="16"/>
                <w:szCs w:val="16"/>
                <w:lang w:val="en-US" w:eastAsia="en-US"/>
              </w:rPr>
              <w:t xml:space="preserve">Knowledge sharing and collaboration expected result: </w:t>
            </w:r>
            <w:r>
              <w:rPr>
                <w:rFonts w:ascii="Arial" w:hAnsi="Arial" w:cs="Arial"/>
                <w:color w:val="000000"/>
                <w:sz w:val="16"/>
                <w:szCs w:val="16"/>
                <w:lang w:val="en-US" w:eastAsia="en-US"/>
              </w:rPr>
              <w:t>Industry learns more quickly. Government, regulatory bodies and the public are better informed to navigate the energy transition.</w:t>
            </w:r>
          </w:p>
        </w:tc>
      </w:tr>
      <w:tr w:rsidR="00253274" w:rsidTr="00A61A1B">
        <w:trPr>
          <w:trHeight w:val="60"/>
        </w:trPr>
        <w:tc>
          <w:tcPr>
            <w:tcW w:w="1560" w:type="dxa"/>
            <w:tcBorders>
              <w:top w:val="single" w:sz="4" w:space="0" w:color="auto"/>
              <w:left w:val="single" w:sz="4" w:space="0" w:color="auto"/>
              <w:bottom w:val="single" w:sz="4" w:space="0" w:color="auto"/>
              <w:right w:val="single" w:sz="4" w:space="0" w:color="auto"/>
            </w:tcBorders>
            <w:hideMark/>
          </w:tcPr>
          <w:p w:rsidR="00036FF4" w:rsidRDefault="00BA7A7F" w:rsidP="00A61A1B">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Forward estimates 2023-26</w:t>
            </w:r>
          </w:p>
        </w:tc>
        <w:tc>
          <w:tcPr>
            <w:tcW w:w="3147" w:type="dxa"/>
            <w:tcBorders>
              <w:top w:val="single" w:sz="4" w:space="0" w:color="auto"/>
              <w:left w:val="single" w:sz="4" w:space="0" w:color="auto"/>
              <w:bottom w:val="single" w:sz="4" w:space="0" w:color="auto"/>
              <w:right w:val="single" w:sz="4" w:space="0" w:color="auto"/>
            </w:tcBorders>
            <w:hideMark/>
          </w:tcPr>
          <w:p w:rsidR="00036FF4" w:rsidRPr="001F5C7C" w:rsidRDefault="00BA7A7F">
            <w:pPr>
              <w:tabs>
                <w:tab w:val="left" w:pos="709"/>
              </w:tabs>
              <w:spacing w:before="60" w:after="60" w:line="240" w:lineRule="auto"/>
              <w:jc w:val="left"/>
              <w:rPr>
                <w:rFonts w:ascii="Arial" w:hAnsi="Arial" w:cs="Arial"/>
                <w:bCs/>
                <w:sz w:val="16"/>
                <w:szCs w:val="16"/>
                <w:bdr w:val="none" w:sz="0" w:space="0" w:color="auto" w:frame="1"/>
                <w:lang w:val="en-US" w:eastAsia="en-US"/>
              </w:rPr>
            </w:pPr>
            <w:r w:rsidRPr="001F5C7C">
              <w:rPr>
                <w:rFonts w:ascii="Arial" w:hAnsi="Arial" w:cs="Arial"/>
                <w:bCs/>
                <w:sz w:val="16"/>
                <w:szCs w:val="16"/>
                <w:bdr w:val="none" w:sz="0" w:space="0" w:color="auto" w:frame="1"/>
                <w:lang w:val="en-US" w:eastAsia="en-US"/>
              </w:rPr>
              <w:t xml:space="preserve">As per 2022–23 </w:t>
            </w:r>
          </w:p>
        </w:tc>
        <w:tc>
          <w:tcPr>
            <w:tcW w:w="3034" w:type="dxa"/>
            <w:tcBorders>
              <w:top w:val="single" w:sz="4" w:space="0" w:color="auto"/>
              <w:left w:val="single" w:sz="4" w:space="0" w:color="auto"/>
              <w:bottom w:val="single" w:sz="4" w:space="0" w:color="auto"/>
              <w:right w:val="single" w:sz="4" w:space="0" w:color="auto"/>
            </w:tcBorders>
            <w:hideMark/>
          </w:tcPr>
          <w:p w:rsidR="00036FF4" w:rsidRPr="001F5C7C" w:rsidRDefault="00BA7A7F">
            <w:pPr>
              <w:tabs>
                <w:tab w:val="left" w:pos="709"/>
              </w:tabs>
              <w:spacing w:before="60" w:after="60" w:line="240" w:lineRule="auto"/>
              <w:jc w:val="left"/>
              <w:rPr>
                <w:rFonts w:ascii="Arial" w:hAnsi="Arial" w:cs="Arial"/>
                <w:bCs/>
                <w:sz w:val="16"/>
                <w:szCs w:val="16"/>
                <w:bdr w:val="none" w:sz="0" w:space="0" w:color="auto" w:frame="1"/>
                <w:lang w:val="en-US" w:eastAsia="en-US"/>
              </w:rPr>
            </w:pPr>
            <w:r w:rsidRPr="001F5C7C">
              <w:rPr>
                <w:rFonts w:ascii="Arial" w:hAnsi="Arial" w:cs="Arial"/>
                <w:bCs/>
                <w:sz w:val="16"/>
                <w:szCs w:val="16"/>
                <w:bdr w:val="none" w:sz="0" w:space="0" w:color="auto" w:frame="1"/>
                <w:lang w:val="en-US" w:eastAsia="en-US"/>
              </w:rPr>
              <w:t>As per 2022–23</w:t>
            </w:r>
          </w:p>
        </w:tc>
      </w:tr>
      <w:tr w:rsidR="00253274" w:rsidTr="00A95AFD">
        <w:tc>
          <w:tcPr>
            <w:tcW w:w="7741" w:type="dxa"/>
            <w:gridSpan w:val="3"/>
            <w:tcBorders>
              <w:top w:val="single" w:sz="4" w:space="0" w:color="auto"/>
              <w:left w:val="single" w:sz="4" w:space="0" w:color="auto"/>
              <w:bottom w:val="single" w:sz="4" w:space="0" w:color="auto"/>
              <w:right w:val="single" w:sz="4" w:space="0" w:color="auto"/>
            </w:tcBorders>
            <w:shd w:val="clear" w:color="auto" w:fill="auto"/>
            <w:hideMark/>
          </w:tcPr>
          <w:p w:rsidR="00036FF4" w:rsidRDefault="00BA7A7F">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Material changes to Program 1.1 resulting from 2022-23 Budget Measures: Nil</w:t>
            </w:r>
          </w:p>
        </w:tc>
      </w:tr>
    </w:tbl>
    <w:p w:rsidR="00036FF4" w:rsidRPr="00A95AFD" w:rsidRDefault="00BA7A7F" w:rsidP="00A95AFD">
      <w:pPr>
        <w:pStyle w:val="ListParagraph"/>
        <w:keepLines/>
        <w:numPr>
          <w:ilvl w:val="0"/>
          <w:numId w:val="68"/>
        </w:numPr>
        <w:spacing w:after="0" w:line="240" w:lineRule="auto"/>
        <w:jc w:val="left"/>
        <w:rPr>
          <w:rFonts w:eastAsia="Times New Roman" w:cs="Arial"/>
          <w:sz w:val="16"/>
          <w:szCs w:val="16"/>
          <w:bdr w:val="none" w:sz="0" w:space="0" w:color="auto" w:frame="1"/>
          <w:lang w:val="en-AU"/>
        </w:rPr>
      </w:pPr>
      <w:r w:rsidRPr="00A95AFD">
        <w:rPr>
          <w:rFonts w:ascii="Arial" w:eastAsia="Times New Roman" w:hAnsi="Arial" w:cs="Arial"/>
          <w:sz w:val="16"/>
          <w:szCs w:val="16"/>
          <w:bdr w:val="none" w:sz="0" w:space="0" w:color="auto" w:frame="1"/>
          <w:lang w:val="en-AU"/>
        </w:rPr>
        <w:t>Refers to updated key activities that will be reflected in the 2022-23 ARENA Corporate Plan.</w:t>
      </w:r>
    </w:p>
    <w:p w:rsidR="00036FF4" w:rsidRPr="00A95AFD" w:rsidRDefault="00BA7A7F" w:rsidP="00A95AFD">
      <w:pPr>
        <w:pStyle w:val="ListParagraph"/>
        <w:keepLines/>
        <w:numPr>
          <w:ilvl w:val="0"/>
          <w:numId w:val="68"/>
        </w:numPr>
        <w:spacing w:after="0" w:line="240" w:lineRule="auto"/>
        <w:jc w:val="left"/>
        <w:rPr>
          <w:rFonts w:eastAsia="Times New Roman" w:cs="Arial"/>
          <w:sz w:val="16"/>
          <w:szCs w:val="16"/>
          <w:bdr w:val="none" w:sz="0" w:space="0" w:color="auto" w:frame="1"/>
          <w:lang w:val="en-AU"/>
        </w:rPr>
      </w:pPr>
      <w:r w:rsidRPr="00A95AFD">
        <w:rPr>
          <w:rFonts w:ascii="Arial" w:eastAsia="Times New Roman" w:hAnsi="Arial" w:cs="Arial"/>
          <w:sz w:val="16"/>
          <w:szCs w:val="16"/>
          <w:bdr w:val="none" w:sz="0" w:space="0" w:color="auto" w:frame="1"/>
          <w:lang w:val="en-AU"/>
        </w:rPr>
        <w:t>Survey data for the 2021-22 financial year will be available in May 2022 and reported in the ‘Annual Performance Statement’ in the 2021-22 ARENA Annual Report.</w:t>
      </w:r>
    </w:p>
    <w:p w:rsidR="006C2C97" w:rsidRPr="00A95AFD" w:rsidRDefault="00BA7A7F" w:rsidP="00A95AFD">
      <w:pPr>
        <w:pStyle w:val="ListParagraph"/>
        <w:keepLines/>
        <w:numPr>
          <w:ilvl w:val="0"/>
          <w:numId w:val="68"/>
        </w:numPr>
        <w:spacing w:after="0" w:line="240" w:lineRule="auto"/>
        <w:jc w:val="left"/>
        <w:rPr>
          <w:rFonts w:eastAsia="Times New Roman" w:cs="Arial"/>
          <w:sz w:val="16"/>
          <w:szCs w:val="16"/>
          <w:bdr w:val="none" w:sz="0" w:space="0" w:color="auto" w:frame="1"/>
          <w:lang w:val="en-AU"/>
        </w:rPr>
      </w:pPr>
      <w:r w:rsidRPr="00A95AFD">
        <w:rPr>
          <w:rFonts w:ascii="Arial" w:eastAsia="Times New Roman" w:hAnsi="Arial" w:cs="Arial"/>
          <w:sz w:val="16"/>
          <w:szCs w:val="16"/>
          <w:bdr w:val="none" w:sz="0" w:space="0" w:color="auto" w:frame="1"/>
          <w:lang w:val="en-AU"/>
        </w:rPr>
        <w:t>ARENA has revised the methodology used to interpret survey responses. The target of 75% has been revised to 50% for the 2022-23 to reflect the revised methodology. Additional details will be provided in the 2022-23 ARENA Corporate Plan.</w:t>
      </w:r>
    </w:p>
    <w:p w:rsidR="00036FF4" w:rsidRDefault="00036FF4" w:rsidP="00036FF4">
      <w:pPr>
        <w:spacing w:after="0" w:line="240" w:lineRule="auto"/>
        <w:jc w:val="left"/>
        <w:rPr>
          <w:rFonts w:ascii="Arial" w:hAnsi="Arial" w:cs="Arial"/>
          <w:sz w:val="16"/>
          <w:szCs w:val="16"/>
          <w:bdr w:val="none" w:sz="0" w:space="0" w:color="auto" w:frame="1"/>
        </w:rPr>
      </w:pPr>
    </w:p>
    <w:p w:rsidR="00036FF4" w:rsidRDefault="00036FF4" w:rsidP="00036FF4"/>
    <w:p w:rsidR="00877E6D" w:rsidRDefault="00877E6D" w:rsidP="00877E6D"/>
    <w:p w:rsidR="00B22765" w:rsidRPr="00B22765" w:rsidRDefault="00B22765" w:rsidP="00B22765"/>
    <w:p w:rsidR="00E74B6E" w:rsidRDefault="00E74B6E" w:rsidP="00E74B6E">
      <w:pPr>
        <w:spacing w:after="0"/>
      </w:pPr>
    </w:p>
    <w:p w:rsidR="00E74B6E" w:rsidRDefault="00E74B6E" w:rsidP="00E74B6E">
      <w:pPr>
        <w:spacing w:after="0" w:line="240" w:lineRule="auto"/>
        <w:jc w:val="left"/>
        <w:rPr>
          <w:rFonts w:ascii="Arial" w:hAnsi="Arial" w:cs="Arial"/>
          <w:sz w:val="16"/>
          <w:szCs w:val="16"/>
        </w:rPr>
      </w:pPr>
    </w:p>
    <w:p w:rsidR="005B2053" w:rsidRPr="001731CA" w:rsidRDefault="00BA7A7F" w:rsidP="001731CA">
      <w:pPr>
        <w:pStyle w:val="Heading2"/>
        <w:pageBreakBefore/>
        <w:spacing w:after="120"/>
        <w:rPr>
          <w:b/>
          <w:sz w:val="26"/>
          <w:szCs w:val="26"/>
        </w:rPr>
      </w:pPr>
      <w:bookmarkStart w:id="628" w:name="RG_MARKER_12317"/>
      <w:bookmarkStart w:id="629" w:name="RG_MARKER_12318"/>
      <w:bookmarkStart w:id="630" w:name="RG_MARKER_12319"/>
      <w:r w:rsidRPr="001731CA">
        <w:rPr>
          <w:b/>
          <w:sz w:val="26"/>
          <w:szCs w:val="26"/>
        </w:rPr>
        <w:t>Section 3</w:t>
      </w:r>
      <w:bookmarkStart w:id="631" w:name="_Toc449255782_2"/>
      <w:bookmarkStart w:id="632" w:name="_Toc446237038_2"/>
      <w:bookmarkStart w:id="633" w:name="_Toc436625460_2"/>
      <w:bookmarkStart w:id="634" w:name="_Toc436624159_2"/>
      <w:bookmarkEnd w:id="628"/>
      <w:bookmarkEnd w:id="629"/>
      <w:bookmarkEnd w:id="630"/>
      <w:r w:rsidRPr="001731CA">
        <w:rPr>
          <w:b/>
          <w:sz w:val="26"/>
          <w:szCs w:val="26"/>
        </w:rPr>
        <w:t>: Budgeted financial statements</w:t>
      </w:r>
      <w:bookmarkEnd w:id="631"/>
      <w:bookmarkEnd w:id="632"/>
      <w:bookmarkEnd w:id="633"/>
      <w:bookmarkEnd w:id="634"/>
    </w:p>
    <w:p w:rsidR="00445F72" w:rsidRDefault="00BA7A7F" w:rsidP="00445F72">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rsidR="005B2053" w:rsidRPr="001731CA" w:rsidRDefault="00BA7A7F" w:rsidP="005B2053">
      <w:pPr>
        <w:pStyle w:val="Heading3"/>
        <w:rPr>
          <w:smallCaps w:val="0"/>
          <w:sz w:val="22"/>
          <w:szCs w:val="22"/>
        </w:rPr>
      </w:pPr>
      <w:bookmarkStart w:id="635" w:name="_Toc210703218_2"/>
      <w:bookmarkStart w:id="636" w:name="_Toc190682533_2"/>
      <w:bookmarkStart w:id="637" w:name="_Toc190682316_2"/>
      <w:r w:rsidRPr="001731CA">
        <w:rPr>
          <w:smallCaps w:val="0"/>
          <w:sz w:val="22"/>
          <w:szCs w:val="22"/>
        </w:rPr>
        <w:t>3.1</w:t>
      </w:r>
      <w:r w:rsidRPr="001731CA">
        <w:rPr>
          <w:smallCaps w:val="0"/>
          <w:sz w:val="22"/>
          <w:szCs w:val="22"/>
        </w:rPr>
        <w:tab/>
        <w:t>Budgeted financial statements</w:t>
      </w:r>
      <w:bookmarkEnd w:id="635"/>
      <w:bookmarkEnd w:id="636"/>
      <w:bookmarkEnd w:id="637"/>
    </w:p>
    <w:p w:rsidR="0000614C" w:rsidRDefault="00BA7A7F" w:rsidP="0000614C">
      <w:pPr>
        <w:pStyle w:val="Heading4"/>
        <w:rPr>
          <w:sz w:val="20"/>
        </w:rPr>
      </w:pPr>
      <w:r w:rsidRPr="001731CA">
        <w:rPr>
          <w:sz w:val="20"/>
        </w:rPr>
        <w:t>3.1.</w:t>
      </w:r>
      <w:r>
        <w:rPr>
          <w:sz w:val="20"/>
        </w:rPr>
        <w:t>1</w:t>
      </w:r>
      <w:r>
        <w:rPr>
          <w:sz w:val="20"/>
        </w:rPr>
        <w:tab/>
        <w:t>Explanatory notes and analysis of budgeted financial statements</w:t>
      </w:r>
    </w:p>
    <w:p w:rsidR="006A2F84" w:rsidRDefault="00BA7A7F" w:rsidP="006A2F84">
      <w:r>
        <w:t xml:space="preserve">ARENA receives funding through a special account for funds legislated under the ARENA Act and an annual appropriation for ongoing and lapsing programs. The legislated funding available to ARENA will be fully drawn down by 30 June 2022, to support grant payments to projects funded through its Advancing Renewables Program. </w:t>
      </w:r>
    </w:p>
    <w:p w:rsidR="006A2F84" w:rsidRDefault="00BA7A7F" w:rsidP="006A2F84">
      <w:r>
        <w:t xml:space="preserve">Funds received via annual appropriation for other programs are received as scheduled based on estimates on grant payments for each program over the program’s duration. </w:t>
      </w:r>
    </w:p>
    <w:p w:rsidR="006A2F84" w:rsidRDefault="00BA7A7F" w:rsidP="006A2F84">
      <w:r>
        <w:t xml:space="preserve">While grant payments are set out in the funding agreement entered into with the grant recipients, the timing of these payments can vary significantly due to complexities in the technological, regulatory and social environments in which the grant projects are undertaken.  The timing variances affect the expenditure side of ARENA’s financial statements. </w:t>
      </w:r>
    </w:p>
    <w:p w:rsidR="006A2F84" w:rsidRDefault="00BA7A7F" w:rsidP="006A2F84">
      <w:r>
        <w:t>ARENA reviews its grant payments forecast regularly to ensure that the budgeted financial statements reflect the latest grant expense profile in the budget and forward estimates. The movements in the grant expense profile create periodic surpluses or deficits in the forward estimate periods. These periodic surpluses or deficits are expected to balance out over the lifetime of ARENA’s funding, which currently ends in 2031-32.</w:t>
      </w:r>
    </w:p>
    <w:p w:rsidR="006A2F84" w:rsidRPr="006A2F84" w:rsidRDefault="00BA7A7F" w:rsidP="006A2F84">
      <w:r>
        <w:t>Table 3.1 provides the latest forecast in grants and operating expenses.</w:t>
      </w:r>
    </w:p>
    <w:p w:rsidR="006B6EF0" w:rsidRPr="00167E6B" w:rsidRDefault="00BA7A7F" w:rsidP="00167E6B">
      <w:pPr>
        <w:pStyle w:val="Heading3"/>
        <w:pageBreakBefore/>
        <w:spacing w:before="360" w:after="120"/>
        <w:rPr>
          <w:rFonts w:ascii="Arial Bold" w:hAnsi="Arial Bold"/>
          <w:smallCaps w:val="0"/>
          <w:sz w:val="22"/>
          <w:szCs w:val="22"/>
        </w:rPr>
      </w:pPr>
      <w:bookmarkStart w:id="638" w:name="RG_MARKER_12320"/>
      <w:bookmarkStart w:id="639" w:name="RG_MARKER_12321"/>
      <w:r w:rsidRPr="00167E6B">
        <w:rPr>
          <w:rFonts w:ascii="Arial Bold" w:hAnsi="Arial Bold"/>
          <w:smallCaps w:val="0"/>
          <w:sz w:val="22"/>
          <w:szCs w:val="22"/>
        </w:rPr>
        <w:t>3.2</w:t>
      </w:r>
      <w:bookmarkEnd w:id="638"/>
      <w:bookmarkEnd w:id="639"/>
      <w:r w:rsidRPr="00167E6B">
        <w:rPr>
          <w:rFonts w:ascii="Arial Bold" w:hAnsi="Arial Bold"/>
          <w:smallCaps w:val="0"/>
          <w:sz w:val="22"/>
          <w:szCs w:val="22"/>
        </w:rPr>
        <w:tab/>
        <w:t>Budgeted financial statements tables</w:t>
      </w:r>
    </w:p>
    <w:p w:rsidR="005E7F55" w:rsidRDefault="00BA7A7F" w:rsidP="005E7F55">
      <w:pPr>
        <w:pStyle w:val="TableHeading"/>
        <w:keepLines/>
        <w:spacing w:before="0" w:after="0"/>
      </w:pPr>
      <w:r>
        <w:t>Table 3.1: Comprehensive income statement (showing net cost of services) for the period ended 30 June</w:t>
      </w:r>
    </w:p>
    <w:tbl>
      <w:tblPr>
        <w:tblStyle w:val="CDMRange1"/>
        <w:tblW w:w="7455" w:type="dxa"/>
        <w:tblLayout w:type="fixed"/>
        <w:tblLook w:val="0600" w:firstRow="0" w:lastRow="0" w:firstColumn="0" w:lastColumn="0" w:noHBand="1" w:noVBand="1"/>
      </w:tblPr>
      <w:tblGrid>
        <w:gridCol w:w="3330"/>
        <w:gridCol w:w="825"/>
        <w:gridCol w:w="825"/>
        <w:gridCol w:w="825"/>
        <w:gridCol w:w="825"/>
        <w:gridCol w:w="825"/>
      </w:tblGrid>
      <w:tr w:rsidR="00253274">
        <w:trPr>
          <w:trHeight w:val="855"/>
        </w:trPr>
        <w:tc>
          <w:tcPr>
            <w:tcW w:w="333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1,298</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1,377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1,432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29,147</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30,041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32,780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33,812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33,836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Grants </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275,774</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262,300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242,700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224,500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205,600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1,453</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307,684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294,870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278,036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260,896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241,980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33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33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33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1,600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5,193</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5,560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5,587</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4,624</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5,193</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5,560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5,587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4,624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4,721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7,393</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6,960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6,887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5,924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5,721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3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300,291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287,910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271,149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254,972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236,259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33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422,009</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289,450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229,186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228,222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200,676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121,718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1,540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(41,463)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(26,750)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(35,583)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Changes in asset revaluation surplus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3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3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122,218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2,040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(41,464)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(26,750)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(35,583)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330" w:type="dxa"/>
            <w:tcBorders>
              <w:top w:val="nil"/>
              <w:left w:val="nil"/>
              <w:bottom w:val="dotted" w:sz="2" w:space="0" w:color="000000"/>
              <w:right w:val="nil"/>
              <w:tl2br w:val="nil"/>
              <w:tr2bl w:val="nil"/>
            </w:tcBorders>
            <w:shd w:val="clear" w:color="auto" w:fill="auto"/>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122,218</w:t>
            </w:r>
          </w:p>
        </w:tc>
        <w:tc>
          <w:tcPr>
            <w:tcW w:w="82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2,040</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(41,463)</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(26,750)</w:t>
            </w:r>
          </w:p>
        </w:tc>
        <w:tc>
          <w:tcPr>
            <w:tcW w:w="82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(35,583)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3330" w:type="dxa"/>
            <w:tcBorders>
              <w:top w:val="dotted" w:sz="2" w:space="0" w:color="000000"/>
              <w:left w:val="nil"/>
              <w:bottom w:val="nil"/>
              <w:right w:val="nil"/>
              <w:tl2br w:val="nil"/>
              <w:tr2bl w:val="nil"/>
            </w:tcBorders>
            <w:shd w:val="clear" w:color="auto" w:fill="auto"/>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4980" w:type="dxa"/>
            <w:gridSpan w:val="3"/>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82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2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2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3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33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 </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122,218</w:t>
            </w:r>
          </w:p>
        </w:tc>
        <w:tc>
          <w:tcPr>
            <w:tcW w:w="82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2,040</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(41,463)</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(26,750)</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(35,583)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3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(a)</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1,020</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3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30"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 (Deficit)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123,226</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3,078</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(40,425)</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(25,712)</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(34,545)</w:t>
            </w:r>
          </w:p>
        </w:tc>
      </w:tr>
    </w:tbl>
    <w:p w:rsidR="008038B3" w:rsidRDefault="00BA7A7F" w:rsidP="00167E6B">
      <w:pPr>
        <w:keepLines w:val="0"/>
        <w:spacing w:after="0" w:line="276" w:lineRule="auto"/>
        <w:jc w:val="left"/>
        <w:rPr>
          <w:rFonts w:ascii="Arial" w:hAnsi="Arial" w:cs="Arial"/>
          <w:sz w:val="16"/>
          <w:szCs w:val="16"/>
          <w:bdr w:val="none" w:sz="0" w:space="0" w:color="auto" w:frame="1"/>
        </w:rPr>
      </w:pPr>
      <w:r w:rsidRPr="00322475">
        <w:rPr>
          <w:rFonts w:ascii="Arial" w:hAnsi="Arial" w:cs="Arial"/>
          <w:sz w:val="16"/>
          <w:szCs w:val="16"/>
          <w:bdr w:val="none" w:sz="0" w:space="0" w:color="auto" w:frame="1"/>
        </w:rPr>
        <w:t>Prepared on Australian Accounting Standards basis.</w:t>
      </w:r>
    </w:p>
    <w:p w:rsidR="0002495F" w:rsidRPr="00880087" w:rsidRDefault="00BA7A7F" w:rsidP="00880087">
      <w:pPr>
        <w:keepLines w:val="0"/>
        <w:spacing w:after="0" w:line="276" w:lineRule="auto"/>
        <w:jc w:val="left"/>
        <w:rPr>
          <w:rFonts w:ascii="Arial" w:hAnsi="Arial" w:cs="Arial"/>
          <w:sz w:val="16"/>
          <w:szCs w:val="16"/>
        </w:rPr>
      </w:pPr>
      <w:r w:rsidRPr="008038B3">
        <w:rPr>
          <w:rStyle w:val="Hyperlink"/>
          <w:rFonts w:ascii="Arial" w:hAnsi="Arial" w:cs="Arial"/>
          <w:sz w:val="16"/>
          <w:szCs w:val="16"/>
        </w:rPr>
        <w:t>(a) Applies leases under AASB 16 Leases.</w:t>
      </w:r>
    </w:p>
    <w:p w:rsidR="005E7F55" w:rsidRDefault="00BA7A7F" w:rsidP="005E7F55">
      <w:pPr>
        <w:pStyle w:val="TableHeading"/>
        <w:keepLines/>
        <w:pageBreakBefore/>
        <w:spacing w:before="0" w:after="0"/>
        <w:rPr>
          <w:rStyle w:val="BookTitle"/>
          <w:i w:val="0"/>
          <w:iCs/>
          <w:spacing w:val="0"/>
          <w:bdr w:val="none" w:sz="0" w:space="0" w:color="auto" w:frame="1"/>
        </w:rPr>
      </w:pPr>
      <w:r>
        <w:rPr>
          <w:bdr w:val="none" w:sz="0" w:space="0" w:color="auto" w:frame="1"/>
        </w:rPr>
        <w:t xml:space="preserve">Table 3.2: Budgeted departmental balance sheet (as at </w:t>
      </w:r>
      <w:r>
        <w:t>30 June)</w:t>
      </w:r>
    </w:p>
    <w:tbl>
      <w:tblPr>
        <w:tblStyle w:val="CDMRange2"/>
        <w:tblW w:w="7830" w:type="dxa"/>
        <w:tblLayout w:type="fixed"/>
        <w:tblLook w:val="0600" w:firstRow="0" w:lastRow="0" w:firstColumn="0" w:lastColumn="0" w:noHBand="1" w:noVBand="1"/>
      </w:tblPr>
      <w:tblGrid>
        <w:gridCol w:w="2955"/>
        <w:gridCol w:w="975"/>
        <w:gridCol w:w="975"/>
        <w:gridCol w:w="975"/>
        <w:gridCol w:w="975"/>
        <w:gridCol w:w="975"/>
      </w:tblGrid>
      <w:tr w:rsidR="00253274">
        <w:trPr>
          <w:trHeight w:val="900"/>
        </w:trPr>
        <w:tc>
          <w:tcPr>
            <w:tcW w:w="2955"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261,820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267,584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227,038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200,455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164,612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32,111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32,611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33,111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33,111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33,111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297,431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301,695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261,649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235,066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199,223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5,332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4,565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3,398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2,231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1,431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302,763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306,260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265,047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237,297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200,654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675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1,292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2,028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4,465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5,715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5,715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5,715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5,000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340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7,368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8,825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8,075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7,015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295,395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297,435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255,972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229,222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193,639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5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55"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Retained surplus / (accumulated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295,148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297,188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255,725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228,975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193,392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295,395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297,435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255,972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229,222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193,639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5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295,395</w:t>
            </w:r>
          </w:p>
        </w:tc>
        <w:tc>
          <w:tcPr>
            <w:tcW w:w="97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297,435</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255,972</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229,222</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193,639</w:t>
            </w:r>
          </w:p>
        </w:tc>
      </w:tr>
    </w:tbl>
    <w:p w:rsidR="005E7F55" w:rsidRDefault="00BA7A7F" w:rsidP="006B6AAF">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BA7A7F" w:rsidP="0070119D">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Pr="00F372F7">
        <w:rPr>
          <w:rFonts w:ascii="Arial" w:eastAsia="Calibri" w:hAnsi="Arial" w:cs="Arial"/>
          <w:sz w:val="16"/>
          <w:szCs w:val="16"/>
          <w:bdr w:val="none" w:sz="0" w:space="0" w:color="auto" w:frame="1"/>
        </w:rPr>
        <w:t>Equity is the residual interest in assets after deduction of liabilities.</w:t>
      </w:r>
      <w:r>
        <w:rPr>
          <w:rFonts w:ascii="Arial" w:eastAsia="Calibri" w:hAnsi="Arial" w:cs="Arial"/>
          <w:sz w:val="16"/>
          <w:szCs w:val="16"/>
          <w:bdr w:val="none" w:sz="0" w:space="0" w:color="auto" w:frame="1"/>
        </w:rPr>
        <w:br w:type="page"/>
      </w:r>
    </w:p>
    <w:p w:rsidR="005E7F55" w:rsidRDefault="00BA7A7F" w:rsidP="005E7F55">
      <w:pPr>
        <w:pStyle w:val="TableHeading"/>
        <w:keepLines/>
        <w:spacing w:before="0" w:after="0"/>
        <w:rPr>
          <w:rStyle w:val="BookTitle"/>
          <w:i w:val="0"/>
          <w:iCs/>
        </w:rPr>
      </w:pPr>
      <w:r>
        <w:t>Table 3.3: Departmental statement of changes in equity – summary of movement (Budget year 2022­23)</w:t>
      </w:r>
    </w:p>
    <w:tbl>
      <w:tblPr>
        <w:tblStyle w:val="CDMRange2"/>
        <w:tblW w:w="7620" w:type="dxa"/>
        <w:tblLayout w:type="fixed"/>
        <w:tblLook w:val="0600" w:firstRow="0" w:lastRow="0" w:firstColumn="0" w:lastColumn="0" w:noHBand="1" w:noVBand="1"/>
      </w:tblPr>
      <w:tblGrid>
        <w:gridCol w:w="4875"/>
        <w:gridCol w:w="810"/>
        <w:gridCol w:w="915"/>
        <w:gridCol w:w="1020"/>
      </w:tblGrid>
      <w:tr w:rsidR="00253274">
        <w:trPr>
          <w:trHeight w:val="900"/>
        </w:trPr>
        <w:tc>
          <w:tcPr>
            <w:tcW w:w="487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Asset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87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87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295,148</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247</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295,395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87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295,148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247</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295,395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8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8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Comprehensive income</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8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1,540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1,540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87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2,040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2,040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8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875"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2,040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2,040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87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2023</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297,188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247</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297,435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875"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297,188</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247</w:t>
            </w:r>
          </w:p>
        </w:tc>
        <w:tc>
          <w:tcPr>
            <w:tcW w:w="1020"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297,435</w:t>
            </w:r>
          </w:p>
        </w:tc>
      </w:tr>
    </w:tbl>
    <w:p w:rsidR="005E7F55" w:rsidRDefault="00BA7A7F" w:rsidP="0070119D">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Pr>
          <w:rFonts w:ascii="Arial" w:eastAsia="Calibri" w:hAnsi="Arial" w:cs="Arial"/>
          <w:sz w:val="16"/>
          <w:szCs w:val="16"/>
          <w:bdr w:val="none" w:sz="0" w:space="0" w:color="auto" w:frame="1"/>
        </w:rPr>
        <w:br w:type="page"/>
      </w:r>
    </w:p>
    <w:p w:rsidR="005E7F55" w:rsidRDefault="00BA7A7F" w:rsidP="005E7F55">
      <w:pPr>
        <w:pStyle w:val="TableHeading"/>
        <w:keepLines/>
        <w:spacing w:before="0" w:after="0"/>
        <w:rPr>
          <w:rStyle w:val="BookTitle"/>
          <w:i w:val="0"/>
          <w:iCs/>
        </w:rPr>
      </w:pPr>
      <w:r>
        <w:t>Table 3.4: Budgeted departmental statement of cash flows (for the period ended 30 June)</w:t>
      </w:r>
    </w:p>
    <w:tbl>
      <w:tblPr>
        <w:tblStyle w:val="CDMRange1"/>
        <w:tblW w:w="7575" w:type="dxa"/>
        <w:tblLayout w:type="fixed"/>
        <w:tblLook w:val="0600" w:firstRow="0" w:lastRow="0" w:firstColumn="0" w:lastColumn="0" w:noHBand="1" w:noVBand="1"/>
      </w:tblPr>
      <w:tblGrid>
        <w:gridCol w:w="3150"/>
        <w:gridCol w:w="885"/>
        <w:gridCol w:w="885"/>
        <w:gridCol w:w="885"/>
        <w:gridCol w:w="885"/>
        <w:gridCol w:w="885"/>
      </w:tblGrid>
      <w:tr w:rsidR="00253274">
        <w:trPr>
          <w:trHeight w:val="900"/>
        </w:trPr>
        <w:tc>
          <w:tcPr>
            <w:tcW w:w="315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422,009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289,450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229,186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228,222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200,676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925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750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850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29,500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29,207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24,078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22,252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19,962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1,600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453,759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320,082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254,314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251,824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221,788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1,281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1,325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1,351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1,377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23,954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24,481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27,193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29,188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29,115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274,389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260,000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240,000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224,500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205,600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29,833</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26,450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24,754</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22,280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20,146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329,469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312,268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293,310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277,357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256,281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124,290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7,814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(38,996)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(25,533)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(34,493)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Purchase of property, plant, and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500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1,003</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1,003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122,787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5,764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(40,546)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(26,583)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(35,843)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139,033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261,820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264,584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227,038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200,455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261,820</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267,584</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227,038</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200,455</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164,611</w:t>
            </w:r>
          </w:p>
        </w:tc>
      </w:tr>
    </w:tbl>
    <w:p w:rsidR="00E02CEF" w:rsidRPr="0070119D" w:rsidRDefault="00BA7A7F" w:rsidP="0070119D">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rsidR="00E02CEF" w:rsidRDefault="00BA7A7F" w:rsidP="00E02CEF">
      <w:pPr>
        <w:pStyle w:val="TableHeading"/>
        <w:keepLines/>
        <w:spacing w:before="0" w:after="0"/>
        <w:rPr>
          <w:rStyle w:val="BookTitle"/>
          <w:i w:val="0"/>
          <w:iCs/>
        </w:rPr>
      </w:pPr>
      <w:r>
        <w:t>Table 3.5: Departmental capital budget statement (for the period ended 30 June)</w:t>
      </w:r>
    </w:p>
    <w:tbl>
      <w:tblPr>
        <w:tblStyle w:val="CDMRange2"/>
        <w:tblW w:w="7650" w:type="dxa"/>
        <w:tblLayout w:type="fixed"/>
        <w:tblLook w:val="0600" w:firstRow="0" w:lastRow="0" w:firstColumn="0" w:lastColumn="0" w:noHBand="1" w:noVBand="1"/>
      </w:tblPr>
      <w:tblGrid>
        <w:gridCol w:w="3375"/>
        <w:gridCol w:w="855"/>
        <w:gridCol w:w="855"/>
        <w:gridCol w:w="855"/>
        <w:gridCol w:w="855"/>
        <w:gridCol w:w="855"/>
      </w:tblGrid>
      <w:tr w:rsidR="00253274">
        <w:trPr>
          <w:trHeight w:val="900"/>
        </w:trPr>
        <w:tc>
          <w:tcPr>
            <w:tcW w:w="3375"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7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(a)</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37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300</w:t>
            </w:r>
          </w:p>
        </w:tc>
      </w:tr>
    </w:tbl>
    <w:p w:rsidR="00E02CEF" w:rsidRPr="00437365" w:rsidRDefault="00BA7A7F" w:rsidP="006B6AAF">
      <w:pPr>
        <w:spacing w:before="40" w:after="0" w:line="240" w:lineRule="auto"/>
        <w:rPr>
          <w:rFonts w:ascii="Arial" w:eastAsia="Calibri" w:hAnsi="Arial" w:cs="Arial"/>
          <w:sz w:val="16"/>
          <w:szCs w:val="16"/>
          <w:bdr w:val="none" w:sz="0" w:space="0" w:color="auto" w:frame="1"/>
        </w:rPr>
      </w:pPr>
      <w:r w:rsidRPr="00437365">
        <w:rPr>
          <w:rFonts w:ascii="Arial" w:eastAsia="Calibri" w:hAnsi="Arial" w:cs="Arial"/>
          <w:sz w:val="16"/>
          <w:szCs w:val="16"/>
          <w:bdr w:val="none" w:sz="0" w:space="0" w:color="auto" w:frame="1"/>
        </w:rPr>
        <w:t>Prepared on Australian Accounting Standards basis.</w:t>
      </w:r>
    </w:p>
    <w:p w:rsidR="00310DC0" w:rsidRPr="00437365" w:rsidRDefault="00BA7A7F" w:rsidP="009C1ED2">
      <w:pPr>
        <w:pStyle w:val="ListParagraph"/>
        <w:keepLines/>
        <w:numPr>
          <w:ilvl w:val="0"/>
          <w:numId w:val="69"/>
        </w:numPr>
        <w:spacing w:after="0" w:line="240" w:lineRule="auto"/>
        <w:ind w:left="357" w:hanging="357"/>
        <w:rPr>
          <w:rFonts w:eastAsia="Calibri" w:cs="Arial"/>
          <w:sz w:val="16"/>
          <w:szCs w:val="16"/>
          <w:bdr w:val="none" w:sz="0" w:space="0" w:color="auto" w:frame="1"/>
          <w:lang w:val="en-AU"/>
        </w:rPr>
      </w:pPr>
      <w:r w:rsidRPr="00437365">
        <w:rPr>
          <w:rFonts w:ascii="Arial" w:eastAsia="Calibri" w:hAnsi="Arial" w:cs="Arial"/>
          <w:sz w:val="16"/>
          <w:szCs w:val="16"/>
          <w:bdr w:val="none" w:sz="0" w:space="0" w:color="auto" w:frame="1"/>
          <w:lang w:val="en-AU"/>
        </w:rPr>
        <w:t>Includes the following sources of funding:</w:t>
      </w:r>
    </w:p>
    <w:p w:rsidR="00310DC0" w:rsidRPr="00437365" w:rsidRDefault="00BA7A7F" w:rsidP="009C1ED2">
      <w:pPr>
        <w:pStyle w:val="ListParagraph"/>
        <w:keepLines/>
        <w:numPr>
          <w:ilvl w:val="0"/>
          <w:numId w:val="70"/>
        </w:numPr>
        <w:spacing w:after="0" w:line="240" w:lineRule="auto"/>
        <w:ind w:left="681" w:hanging="284"/>
        <w:jc w:val="left"/>
        <w:rPr>
          <w:rFonts w:eastAsia="Calibri" w:cs="Arial"/>
          <w:sz w:val="16"/>
          <w:szCs w:val="16"/>
          <w:bdr w:val="none" w:sz="0" w:space="0" w:color="auto" w:frame="1"/>
          <w:lang w:val="en-AU"/>
        </w:rPr>
      </w:pPr>
      <w:r w:rsidRPr="00437365">
        <w:rPr>
          <w:rFonts w:ascii="Arial" w:eastAsia="Calibri" w:hAnsi="Arial" w:cs="Arial"/>
          <w:sz w:val="16"/>
          <w:szCs w:val="16"/>
          <w:bdr w:val="none" w:sz="0" w:space="0" w:color="auto" w:frame="1"/>
          <w:lang w:val="en-AU"/>
        </w:rPr>
        <w:t xml:space="preserve">Funding provided by the portfolio department reflecting the Agency’s Special Appropriation under section 64 of the </w:t>
      </w:r>
      <w:r w:rsidRPr="00437365">
        <w:rPr>
          <w:rFonts w:ascii="Arial" w:eastAsia="Calibri" w:hAnsi="Arial" w:cs="Arial"/>
          <w:i/>
          <w:sz w:val="16"/>
          <w:szCs w:val="16"/>
          <w:bdr w:val="none" w:sz="0" w:space="0" w:color="auto" w:frame="1"/>
          <w:lang w:val="en-AU"/>
        </w:rPr>
        <w:t>Australian Renewable Energy Agency Act 2011</w:t>
      </w:r>
      <w:r w:rsidRPr="00437365">
        <w:rPr>
          <w:rFonts w:ascii="Arial" w:eastAsia="Calibri" w:hAnsi="Arial" w:cs="Arial"/>
          <w:sz w:val="16"/>
          <w:szCs w:val="16"/>
          <w:bdr w:val="none" w:sz="0" w:space="0" w:color="auto" w:frame="1"/>
          <w:lang w:val="en-AU"/>
        </w:rPr>
        <w:t>, including rollover of unspent funds.</w:t>
      </w:r>
    </w:p>
    <w:p w:rsidR="0070119D" w:rsidRPr="0070119D" w:rsidRDefault="00BA7A7F" w:rsidP="008038B3">
      <w:pPr>
        <w:pStyle w:val="ListParagraph"/>
        <w:keepLines/>
        <w:spacing w:after="0" w:line="240" w:lineRule="auto"/>
        <w:ind w:left="681" w:firstLine="0"/>
        <w:jc w:val="left"/>
        <w:rPr>
          <w:rFonts w:eastAsia="Calibri" w:cs="Arial"/>
          <w:sz w:val="16"/>
          <w:szCs w:val="16"/>
          <w:bdr w:val="none" w:sz="0" w:space="0" w:color="auto" w:frame="1"/>
          <w:lang w:val="en-AU"/>
        </w:rPr>
      </w:pPr>
      <w:r>
        <w:rPr>
          <w:rFonts w:ascii="Arial" w:eastAsia="Times New Roman" w:hAnsi="Arial" w:cs="Times New Roman"/>
          <w:lang w:val="en-AU"/>
        </w:rPr>
        <w:br w:type="page"/>
      </w:r>
    </w:p>
    <w:p w:rsidR="00E02CEF" w:rsidRDefault="00BA7A7F" w:rsidP="00E02CEF">
      <w:pPr>
        <w:pStyle w:val="TableHeading"/>
        <w:keepLines/>
        <w:spacing w:before="0" w:after="0"/>
        <w:rPr>
          <w:rStyle w:val="BookTitle"/>
          <w:i w:val="0"/>
          <w:iCs/>
        </w:rPr>
      </w:pPr>
      <w:r>
        <w:t>Table 3.6: Statement of departmental asset movements (Budget year 2022­23)</w:t>
      </w:r>
    </w:p>
    <w:tbl>
      <w:tblPr>
        <w:tblStyle w:val="CDMRange1"/>
        <w:tblW w:w="7440" w:type="dxa"/>
        <w:tblLayout w:type="fixed"/>
        <w:tblLook w:val="0600" w:firstRow="0" w:lastRow="0" w:firstColumn="0" w:lastColumn="0" w:noHBand="1" w:noVBand="1"/>
      </w:tblPr>
      <w:tblGrid>
        <w:gridCol w:w="4695"/>
        <w:gridCol w:w="915"/>
        <w:gridCol w:w="915"/>
        <w:gridCol w:w="915"/>
      </w:tblGrid>
      <w:tr w:rsidR="00253274">
        <w:trPr>
          <w:trHeight w:val="1125"/>
        </w:trPr>
        <w:tc>
          <w:tcPr>
            <w:tcW w:w="46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9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9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2,405</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7,405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69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 - ROU assets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(2,214)</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(2,214)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9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5,191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9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69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695"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(a)</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9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9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695"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(167)</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695"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9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(1,167)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9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2022</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9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2,905</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2,905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69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69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 </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(2,381)</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(2,381)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469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 - ROU assets</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4,000</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524</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4,524</w:t>
            </w:r>
          </w:p>
        </w:tc>
      </w:tr>
    </w:tbl>
    <w:p w:rsidR="00210AB2" w:rsidRPr="00437365" w:rsidRDefault="00BA7A7F" w:rsidP="0070119D">
      <w:pPr>
        <w:spacing w:before="40" w:after="0" w:line="240" w:lineRule="auto"/>
        <w:rPr>
          <w:rFonts w:ascii="Arial" w:eastAsia="Calibri" w:hAnsi="Arial" w:cs="Arial"/>
          <w:sz w:val="16"/>
          <w:szCs w:val="16"/>
          <w:bdr w:val="none" w:sz="0" w:space="0" w:color="auto" w:frame="1"/>
        </w:rPr>
      </w:pPr>
      <w:r w:rsidRPr="00437365">
        <w:rPr>
          <w:rFonts w:ascii="Arial" w:eastAsia="Calibri" w:hAnsi="Arial" w:cs="Arial"/>
          <w:sz w:val="16"/>
          <w:szCs w:val="16"/>
          <w:bdr w:val="none" w:sz="0" w:space="0" w:color="auto" w:frame="1"/>
        </w:rPr>
        <w:t>Prepared on Australian Accounting Standards basis.</w:t>
      </w:r>
    </w:p>
    <w:p w:rsidR="001B0139" w:rsidRPr="007A265A" w:rsidRDefault="00BA7A7F" w:rsidP="007A265A">
      <w:pPr>
        <w:pStyle w:val="ListParagraph"/>
        <w:keepLines/>
        <w:numPr>
          <w:ilvl w:val="0"/>
          <w:numId w:val="71"/>
        </w:numPr>
        <w:spacing w:before="40" w:after="0" w:line="240" w:lineRule="auto"/>
        <w:jc w:val="left"/>
        <w:rPr>
          <w:rFonts w:eastAsia="Calibri" w:cs="Arial"/>
          <w:sz w:val="16"/>
          <w:szCs w:val="16"/>
          <w:bdr w:val="none" w:sz="0" w:space="0" w:color="auto" w:frame="1"/>
          <w:lang w:val="en-AU"/>
        </w:rPr>
      </w:pPr>
      <w:r w:rsidRPr="00437365">
        <w:rPr>
          <w:rFonts w:ascii="Arial" w:eastAsia="Calibri" w:hAnsi="Arial" w:cs="Arial"/>
          <w:sz w:val="16"/>
          <w:szCs w:val="16"/>
          <w:bdr w:val="none" w:sz="0" w:space="0" w:color="auto" w:frame="1"/>
          <w:lang w:val="en-AU"/>
        </w:rPr>
        <w:t>"Appropriation ordinary annual services" refers to funding provided through Appropriation Bill (No.1) 2022-2023 for depreciation/amortisation expenses, DCB or other operational expenses.</w:t>
      </w:r>
      <w:r w:rsidRPr="007A265A">
        <w:rPr>
          <w:rFonts w:ascii="Arial" w:eastAsia="Calibri" w:hAnsi="Arial" w:cs="Arial"/>
          <w:sz w:val="16"/>
          <w:szCs w:val="16"/>
          <w:bdr w:val="none" w:sz="0" w:space="0" w:color="auto" w:frame="1"/>
          <w:lang w:val="en-AU"/>
        </w:rPr>
        <w:br w:type="page"/>
      </w:r>
    </w:p>
    <w:p w:rsidR="00244C43" w:rsidRDefault="00BA7A7F" w:rsidP="00437365">
      <w:pPr>
        <w:pStyle w:val="TableHeading"/>
        <w:keepLines/>
        <w:spacing w:before="240"/>
        <w:jc w:val="both"/>
        <w:rPr>
          <w:rFonts w:cs="Arial"/>
          <w:bdr w:val="none" w:sz="0" w:space="0" w:color="auto" w:frame="1"/>
        </w:rPr>
      </w:pPr>
      <w:r>
        <w:rPr>
          <w:rFonts w:cs="Arial"/>
          <w:bdr w:val="none" w:sz="0" w:space="0" w:color="auto" w:frame="1"/>
        </w:rPr>
        <w:t xml:space="preserve">Table 3.7: Schedule of budgeted income and expenses administered on behalf of Government </w:t>
      </w:r>
      <w:r>
        <w:rPr>
          <w:bdr w:val="none" w:sz="0" w:space="0" w:color="auto" w:frame="1"/>
        </w:rPr>
        <w:t>(for the period ended 30 June)</w:t>
      </w:r>
    </w:p>
    <w:p w:rsidR="00244C43" w:rsidRDefault="00BA7A7F" w:rsidP="00437365">
      <w:pPr>
        <w:rPr>
          <w:i/>
          <w:bdr w:val="none" w:sz="0" w:space="0" w:color="auto" w:frame="1"/>
        </w:rPr>
      </w:pPr>
      <w:r>
        <w:rPr>
          <w:bdr w:val="none" w:sz="0" w:space="0" w:color="auto" w:frame="1"/>
        </w:rPr>
        <w:t>ARENA has no budgeted income and expenses administered on behalf of government; therefore Table 3.7 is not presented.</w:t>
      </w:r>
    </w:p>
    <w:p w:rsidR="00244C43" w:rsidRDefault="00BA7A7F" w:rsidP="00437365">
      <w:pPr>
        <w:pStyle w:val="TableHeading"/>
        <w:keepLines/>
        <w:spacing w:before="240"/>
        <w:jc w:val="both"/>
        <w:rPr>
          <w:bdr w:val="none" w:sz="0" w:space="0" w:color="auto" w:frame="1"/>
        </w:rPr>
      </w:pPr>
      <w:r>
        <w:rPr>
          <w:rFonts w:cs="Arial"/>
          <w:bdr w:val="none" w:sz="0" w:space="0" w:color="auto" w:frame="1"/>
        </w:rPr>
        <w:t xml:space="preserve">Table 3.8: </w:t>
      </w:r>
      <w:r>
        <w:rPr>
          <w:bdr w:val="none" w:sz="0" w:space="0" w:color="auto" w:frame="1"/>
        </w:rPr>
        <w:t>Schedule of budgeted assets and liabilities administered on behalf of Government (as at 30 June)</w:t>
      </w:r>
    </w:p>
    <w:p w:rsidR="00244C43" w:rsidRDefault="00BA7A7F" w:rsidP="00437365">
      <w:pPr>
        <w:rPr>
          <w:bdr w:val="none" w:sz="0" w:space="0" w:color="auto" w:frame="1"/>
        </w:rPr>
      </w:pPr>
      <w:r>
        <w:rPr>
          <w:bdr w:val="none" w:sz="0" w:space="0" w:color="auto" w:frame="1"/>
        </w:rPr>
        <w:t>ARENA has no budgeted assets and liabilities administered on behalf of government; therefore Table 3.8 is not presented.</w:t>
      </w:r>
    </w:p>
    <w:p w:rsidR="00244C43" w:rsidRDefault="00BA7A7F" w:rsidP="00437365">
      <w:pPr>
        <w:pStyle w:val="TableHeading"/>
        <w:keepLines/>
        <w:spacing w:before="0" w:after="0"/>
        <w:jc w:val="both"/>
        <w:rPr>
          <w:rStyle w:val="BookTitle"/>
          <w:i w:val="0"/>
          <w:iCs/>
        </w:rPr>
      </w:pPr>
      <w:r>
        <w:rPr>
          <w:bdr w:val="none" w:sz="0" w:space="0" w:color="auto" w:frame="1"/>
        </w:rPr>
        <w:t>Table 3.9: Schedule of budgeted administered cash flows (for the period ended 30 June)</w:t>
      </w:r>
    </w:p>
    <w:p w:rsidR="00244C43" w:rsidRDefault="00BA7A7F" w:rsidP="00437365">
      <w:pPr>
        <w:rPr>
          <w:i/>
        </w:rPr>
      </w:pPr>
      <w:r>
        <w:rPr>
          <w:bdr w:val="none" w:sz="0" w:space="0" w:color="auto" w:frame="1"/>
        </w:rPr>
        <w:t>ARENA has no budgeted administered cash flows; therefore Table 3.9 is not presented.</w:t>
      </w:r>
    </w:p>
    <w:p w:rsidR="00244C43" w:rsidRDefault="00BA7A7F" w:rsidP="00437365">
      <w:pPr>
        <w:pStyle w:val="TableHeading"/>
        <w:keepLines/>
        <w:spacing w:before="240"/>
        <w:jc w:val="both"/>
        <w:rPr>
          <w:rFonts w:cs="Arial"/>
          <w:bdr w:val="none" w:sz="0" w:space="0" w:color="auto" w:frame="1"/>
        </w:rPr>
      </w:pPr>
      <w:r>
        <w:rPr>
          <w:rFonts w:cs="Arial"/>
          <w:bdr w:val="none" w:sz="0" w:space="0" w:color="auto" w:frame="1"/>
        </w:rPr>
        <w:t xml:space="preserve">Table 3.10: Administered capital budget statement (for the period ended </w:t>
      </w:r>
      <w:r>
        <w:rPr>
          <w:bdr w:val="none" w:sz="0" w:space="0" w:color="auto" w:frame="1"/>
        </w:rPr>
        <w:t>30 June)</w:t>
      </w:r>
    </w:p>
    <w:p w:rsidR="00244C43" w:rsidRDefault="00BA7A7F" w:rsidP="00437365">
      <w:pPr>
        <w:rPr>
          <w:bdr w:val="none" w:sz="0" w:space="0" w:color="auto" w:frame="1"/>
        </w:rPr>
      </w:pPr>
      <w:r>
        <w:rPr>
          <w:bdr w:val="none" w:sz="0" w:space="0" w:color="auto" w:frame="1"/>
        </w:rPr>
        <w:t>ARENA has no administered capital budget; therefore Table 3.10 is not presented.</w:t>
      </w:r>
    </w:p>
    <w:p w:rsidR="00244C43" w:rsidRDefault="00BA7A7F" w:rsidP="00437365">
      <w:pPr>
        <w:pStyle w:val="TableHeading"/>
        <w:keepLines/>
        <w:spacing w:before="240" w:after="0"/>
        <w:jc w:val="both"/>
        <w:rPr>
          <w:bdr w:val="none" w:sz="0" w:space="0" w:color="auto" w:frame="1"/>
        </w:rPr>
      </w:pPr>
      <w:r>
        <w:rPr>
          <w:rFonts w:cs="Arial"/>
          <w:bdr w:val="none" w:sz="0" w:space="0" w:color="auto" w:frame="1"/>
        </w:rPr>
        <w:t>Table 3.11: Statement of administered asset movements (Budget year 2022</w:t>
      </w:r>
      <w:r>
        <w:rPr>
          <w:rFonts w:cs="Arial"/>
          <w:bdr w:val="none" w:sz="0" w:space="0" w:color="auto" w:frame="1"/>
        </w:rPr>
        <w:softHyphen/>
        <w:t>-23)</w:t>
      </w:r>
      <w:r>
        <w:rPr>
          <w:noProof/>
          <w:bdr w:val="none" w:sz="0" w:space="0" w:color="auto" w:frame="1"/>
        </w:rPr>
        <w:t xml:space="preserve"> </w:t>
      </w:r>
    </w:p>
    <w:p w:rsidR="00244C43" w:rsidRPr="00437365" w:rsidRDefault="00BA7A7F" w:rsidP="00437365">
      <w:pPr>
        <w:pStyle w:val="ChartandTableFootnoteAlpha"/>
        <w:tabs>
          <w:tab w:val="left" w:pos="720"/>
        </w:tabs>
        <w:ind w:left="0" w:firstLine="0"/>
        <w:rPr>
          <w:rFonts w:ascii="Book Antiqua" w:hAnsi="Book Antiqua"/>
          <w:sz w:val="20"/>
          <w:bdr w:val="none" w:sz="0" w:space="0" w:color="auto" w:frame="1"/>
        </w:rPr>
      </w:pPr>
      <w:r w:rsidRPr="00437365">
        <w:rPr>
          <w:rFonts w:ascii="Book Antiqua" w:hAnsi="Book Antiqua"/>
          <w:sz w:val="20"/>
          <w:bdr w:val="none" w:sz="0" w:space="0" w:color="auto" w:frame="1"/>
        </w:rPr>
        <w:t>ARENA has no administered asset movements; therefore Table 3.11 is not presented.</w:t>
      </w:r>
    </w:p>
    <w:p w:rsidR="00244C43" w:rsidRPr="00437365" w:rsidRDefault="00244C43" w:rsidP="00E02CEF">
      <w:pPr>
        <w:spacing w:before="20" w:after="60" w:line="240" w:lineRule="auto"/>
        <w:rPr>
          <w:rFonts w:eastAsia="Calibri" w:cs="Arial"/>
          <w:vanish/>
          <w:bdr w:val="none" w:sz="0" w:space="0" w:color="auto" w:frame="1"/>
        </w:rPr>
        <w:sectPr w:rsidR="00244C43" w:rsidRPr="00437365" w:rsidSect="00F07738">
          <w:headerReference w:type="even" r:id="rId211"/>
          <w:headerReference w:type="default" r:id="rId212"/>
          <w:footerReference w:type="even" r:id="rId213"/>
          <w:footerReference w:type="default" r:id="rId214"/>
          <w:headerReference w:type="first" r:id="rId215"/>
          <w:footerReference w:type="first" r:id="rId216"/>
          <w:type w:val="continuous"/>
          <w:pgSz w:w="11906" w:h="16838"/>
          <w:pgMar w:top="2466" w:right="2098" w:bottom="2466" w:left="2098" w:header="1899" w:footer="1899" w:gutter="0"/>
          <w:pgBorders>
            <w:top w:val="nil"/>
            <w:left w:val="nil"/>
            <w:bottom w:val="nil"/>
            <w:right w:val="nil"/>
          </w:pgBorders>
          <w:cols w:space="720"/>
          <w:docGrid w:linePitch="360"/>
        </w:sectPr>
      </w:pPr>
    </w:p>
    <w:p w:rsidR="00D86095" w:rsidRDefault="00D86095">
      <w:pPr>
        <w:pageBreakBefore/>
      </w:pPr>
      <w:bookmarkStart w:id="640" w:name="RG_MARKER_11944"/>
      <w:bookmarkStart w:id="641" w:name="RG_MARKER_11911"/>
      <w:bookmarkStart w:id="642" w:name="RG_MARKER_11873"/>
      <w:bookmarkStart w:id="643" w:name="RG_MARKER_11871"/>
      <w:bookmarkEnd w:id="640"/>
      <w:bookmarkEnd w:id="641"/>
      <w:bookmarkEnd w:id="642"/>
      <w:bookmarkEnd w:id="643"/>
    </w:p>
    <w:p w:rsidR="00FA15D4" w:rsidRDefault="00BA7A7F" w:rsidP="00FE00F7">
      <w:pPr>
        <w:pStyle w:val="Department"/>
        <w:pageBreakBefore/>
        <w:jc w:val="left"/>
        <w:rPr>
          <w:smallCaps/>
          <w:color w:val="FFFFFF"/>
          <w:sz w:val="24"/>
          <w:szCs w:val="24"/>
        </w:rPr>
      </w:pPr>
      <w:bookmarkStart w:id="644" w:name="RG_MARKER_12139"/>
      <w:r w:rsidRPr="00FE00F7">
        <w:rPr>
          <w:smallCaps/>
          <w:color w:val="FFFFFF"/>
          <w:sz w:val="24"/>
          <w:szCs w:val="24"/>
        </w:rPr>
        <w:t>Department o</w:t>
      </w:r>
      <w:bookmarkEnd w:id="644"/>
    </w:p>
    <w:p w:rsidR="00FA15D4" w:rsidRDefault="00FA15D4" w:rsidP="002E6B3D">
      <w:pPr>
        <w:pStyle w:val="Department"/>
        <w:spacing w:before="1320"/>
        <w:rPr>
          <w:smallCaps/>
        </w:rPr>
      </w:pPr>
    </w:p>
    <w:p w:rsidR="00FA15D4" w:rsidRPr="00735BC8" w:rsidRDefault="00FA15D4" w:rsidP="00FA15D4">
      <w:pPr>
        <w:pStyle w:val="PartHeading"/>
        <w:keepLines/>
        <w:spacing w:before="240" w:after="240"/>
        <w:rPr>
          <w:kern w:val="0"/>
          <w:szCs w:val="20"/>
        </w:rPr>
      </w:pPr>
    </w:p>
    <w:p w:rsidR="00FA15D4" w:rsidRPr="00735BC8" w:rsidRDefault="00BA7A7F" w:rsidP="00FA15D4">
      <w:pPr>
        <w:pStyle w:val="PartHeading"/>
        <w:keepLines/>
        <w:spacing w:before="240" w:after="240"/>
        <w:rPr>
          <w:bCs w:val="0"/>
          <w:kern w:val="0"/>
          <w:szCs w:val="20"/>
        </w:rPr>
      </w:pPr>
      <w:r w:rsidRPr="00735BC8">
        <w:rPr>
          <w:rFonts w:ascii="Arial" w:hAnsi="Arial"/>
          <w:bCs w:val="0"/>
          <w:kern w:val="0"/>
          <w:szCs w:val="20"/>
        </w:rPr>
        <w:t>Clean Energy Finance Corporation</w:t>
      </w:r>
    </w:p>
    <w:p w:rsidR="00FA15D4" w:rsidRPr="00735BC8" w:rsidRDefault="00FA15D4" w:rsidP="00FA15D4">
      <w:pPr>
        <w:pStyle w:val="PartHeading"/>
        <w:keepLines/>
        <w:spacing w:before="240" w:after="240"/>
        <w:rPr>
          <w:bCs w:val="0"/>
          <w:kern w:val="0"/>
          <w:sz w:val="48"/>
          <w:szCs w:val="48"/>
        </w:rPr>
      </w:pPr>
    </w:p>
    <w:p w:rsidR="00FA15D4" w:rsidRPr="00735BC8" w:rsidRDefault="00FA15D4" w:rsidP="00FA15D4">
      <w:pPr>
        <w:pStyle w:val="PartHeading"/>
        <w:keepLines/>
        <w:spacing w:before="240" w:after="240"/>
        <w:rPr>
          <w:kern w:val="0"/>
          <w:sz w:val="48"/>
          <w:szCs w:val="48"/>
        </w:rPr>
      </w:pPr>
    </w:p>
    <w:p w:rsidR="00FA15D4" w:rsidRPr="00735BC8" w:rsidRDefault="00BA7A7F" w:rsidP="00FA15D4">
      <w:pPr>
        <w:pStyle w:val="PartHeading-TOC"/>
        <w:rPr>
          <w:smallCaps w:val="0"/>
        </w:rPr>
      </w:pPr>
      <w:bookmarkStart w:id="645" w:name="_Toc508032982_3"/>
      <w:r w:rsidRPr="00735BC8">
        <w:rPr>
          <w:bCs w:val="0"/>
          <w:smallCaps w:val="0"/>
        </w:rPr>
        <w:t>Entity resources and planned performance</w:t>
      </w:r>
      <w:bookmarkEnd w:id="645"/>
    </w:p>
    <w:p w:rsidR="00253274" w:rsidRDefault="00253274">
      <w:pPr>
        <w:keepLines w:val="0"/>
        <w:spacing w:after="160" w:line="259" w:lineRule="auto"/>
        <w:jc w:val="left"/>
        <w:rPr>
          <w:rFonts w:ascii="Calibri" w:eastAsia="Calibri" w:hAnsi="Calibri"/>
          <w:sz w:val="22"/>
          <w:szCs w:val="22"/>
          <w:lang w:val="en-US" w:eastAsia="en-US"/>
        </w:rPr>
      </w:pPr>
    </w:p>
    <w:p w:rsidR="007E6680" w:rsidRDefault="007E6680">
      <w:pPr>
        <w:keepLines w:val="0"/>
        <w:spacing w:after="160" w:line="259" w:lineRule="auto"/>
        <w:jc w:val="left"/>
        <w:rPr>
          <w:rFonts w:ascii="Calibri" w:eastAsia="Calibri" w:hAnsi="Calibri"/>
          <w:sz w:val="22"/>
          <w:szCs w:val="22"/>
          <w:lang w:val="en-US" w:eastAsia="en-US"/>
        </w:rPr>
      </w:pPr>
      <w:bookmarkStart w:id="646" w:name="RG_MARKER_12357"/>
      <w:bookmarkEnd w:id="646"/>
    </w:p>
    <w:p w:rsidR="00D86095" w:rsidRDefault="00BA7A7F">
      <w:pPr>
        <w:pageBreakBefore/>
      </w:pPr>
      <w:bookmarkStart w:id="647" w:name="RG_MARKER_11933"/>
      <w:r>
        <w:t xml:space="preserve">      </w:t>
      </w:r>
      <w:bookmarkEnd w:id="647"/>
    </w:p>
    <w:p w:rsidR="004D0F5B" w:rsidRPr="003310AA" w:rsidRDefault="00BA7A7F" w:rsidP="009420CE">
      <w:pPr>
        <w:pStyle w:val="ContentsHeading"/>
        <w:pageBreakBefore/>
        <w:spacing w:after="600"/>
        <w:rPr>
          <w:smallCaps w:val="0"/>
        </w:rPr>
      </w:pPr>
      <w:bookmarkStart w:id="648" w:name="RG_MARKER_11876"/>
      <w:bookmarkStart w:id="649" w:name="RG_MARKER_12143"/>
      <w:r w:rsidRPr="003310AA">
        <w:rPr>
          <w:smallCaps w:val="0"/>
        </w:rPr>
        <w:t>Clean Energy Finance Corporation</w:t>
      </w:r>
      <w:bookmarkEnd w:id="648"/>
      <w:bookmarkEnd w:id="649"/>
    </w:p>
    <w:p w:rsidR="004D0F5B" w:rsidRPr="00846FBC" w:rsidRDefault="00BA7A7F" w:rsidP="00846FBC">
      <w:pPr>
        <w:pStyle w:val="TOC1"/>
      </w:pPr>
      <w:r w:rsidRPr="00846FBC">
        <w:t>Section 1: Entity overview and resources</w:t>
      </w:r>
      <w:r w:rsidRPr="00846FBC">
        <w:tab/>
        <w:t>163</w:t>
      </w:r>
    </w:p>
    <w:p w:rsidR="004D0F5B" w:rsidRDefault="00BA7A7F" w:rsidP="004D0F5B">
      <w:pPr>
        <w:pStyle w:val="TOC2"/>
      </w:pPr>
      <w:r>
        <w:t>1.1 Strategic direction statement</w:t>
      </w:r>
      <w:r>
        <w:tab/>
      </w:r>
      <w:r w:rsidRPr="00B75654">
        <w:t>163</w:t>
      </w:r>
    </w:p>
    <w:p w:rsidR="004D0F5B" w:rsidRDefault="00BA7A7F" w:rsidP="004D0F5B">
      <w:pPr>
        <w:pStyle w:val="TOC2"/>
      </w:pPr>
      <w:r>
        <w:t>1.2 Entity resource statement</w:t>
      </w:r>
      <w:r>
        <w:tab/>
      </w:r>
      <w:r w:rsidRPr="00B75654">
        <w:t>166</w:t>
      </w:r>
    </w:p>
    <w:p w:rsidR="00371743" w:rsidRDefault="00BA7A7F" w:rsidP="00371743">
      <w:pPr>
        <w:pStyle w:val="TOC2"/>
      </w:pPr>
      <w:r>
        <w:t>1.3 Budget measures</w:t>
      </w:r>
      <w:r>
        <w:tab/>
      </w:r>
      <w:r w:rsidRPr="003B0A4A">
        <w:t>167</w:t>
      </w:r>
    </w:p>
    <w:p w:rsidR="004D0F5B" w:rsidRDefault="00BA7A7F" w:rsidP="00846FBC">
      <w:pPr>
        <w:pStyle w:val="TOC1"/>
      </w:pPr>
      <w:r>
        <w:t>S</w:t>
      </w:r>
      <w:r w:rsidRPr="002645FE">
        <w:t xml:space="preserve">ection 2: </w:t>
      </w:r>
      <w:r>
        <w:t>O</w:t>
      </w:r>
      <w:r w:rsidRPr="002645FE">
        <w:t xml:space="preserve">utcomes and </w:t>
      </w:r>
      <w:r>
        <w:t>p</w:t>
      </w:r>
      <w:r w:rsidRPr="002645FE">
        <w:t xml:space="preserve">lanned </w:t>
      </w:r>
      <w:r>
        <w:t>p</w:t>
      </w:r>
      <w:r w:rsidRPr="002645FE">
        <w:t>erformance</w:t>
      </w:r>
      <w:r>
        <w:tab/>
        <w:t>168</w:t>
      </w:r>
    </w:p>
    <w:p w:rsidR="004D0F5B" w:rsidRDefault="00BA7A7F" w:rsidP="004D0F5B">
      <w:pPr>
        <w:pStyle w:val="TOC2"/>
      </w:pPr>
      <w:r>
        <w:t>2.1 Budgeted expenses and performance for Outcome 1</w:t>
      </w:r>
      <w:r>
        <w:tab/>
        <w:t>169</w:t>
      </w:r>
    </w:p>
    <w:p w:rsidR="004D0F5B" w:rsidRDefault="00BA7A7F" w:rsidP="00846FBC">
      <w:pPr>
        <w:pStyle w:val="TOC1"/>
      </w:pPr>
      <w:r>
        <w:t>S</w:t>
      </w:r>
      <w:r w:rsidRPr="002645FE">
        <w:t xml:space="preserve">ection 3: </w:t>
      </w:r>
      <w:r>
        <w:t>B</w:t>
      </w:r>
      <w:r w:rsidRPr="002645FE">
        <w:t xml:space="preserve">udgeted </w:t>
      </w:r>
      <w:r>
        <w:t>f</w:t>
      </w:r>
      <w:r w:rsidRPr="002645FE">
        <w:t xml:space="preserve">inancial </w:t>
      </w:r>
      <w:r>
        <w:t>s</w:t>
      </w:r>
      <w:r w:rsidRPr="002645FE">
        <w:t>tatements</w:t>
      </w:r>
      <w:r>
        <w:tab/>
      </w:r>
      <w:r w:rsidRPr="004F6A3E">
        <w:t>175</w:t>
      </w:r>
    </w:p>
    <w:p w:rsidR="00D86095" w:rsidRDefault="00BA7A7F" w:rsidP="005F2963">
      <w:pPr>
        <w:pStyle w:val="TOC2"/>
      </w:pPr>
      <w:r>
        <w:t>3.1 Budgeted financial statements</w:t>
      </w:r>
      <w:r>
        <w:tab/>
      </w:r>
      <w:r w:rsidRPr="004F6A3E">
        <w:t>175</w:t>
      </w:r>
    </w:p>
    <w:p w:rsidR="00D86095" w:rsidRDefault="00BA7A7F">
      <w:pPr>
        <w:pageBreakBefore/>
        <w:sectPr w:rsidR="00D86095" w:rsidSect="00D86095">
          <w:headerReference w:type="even" r:id="rId217"/>
          <w:headerReference w:type="default" r:id="rId218"/>
          <w:footerReference w:type="even" r:id="rId219"/>
          <w:footerReference w:type="default" r:id="rId220"/>
          <w:headerReference w:type="first" r:id="rId221"/>
          <w:footerReference w:type="first" r:id="rId222"/>
          <w:type w:val="continuous"/>
          <w:pgSz w:w="11906" w:h="16838"/>
          <w:pgMar w:top="2466" w:right="2098" w:bottom="2466" w:left="2098" w:header="1899" w:footer="1899" w:gutter="0"/>
          <w:pgBorders>
            <w:top w:val="nil"/>
            <w:left w:val="nil"/>
            <w:bottom w:val="nil"/>
            <w:right w:val="nil"/>
          </w:pgBorders>
          <w:cols w:space="720"/>
          <w:docGrid w:linePitch="360"/>
        </w:sectPr>
      </w:pPr>
      <w:bookmarkStart w:id="650" w:name="RG_MARKER_11878"/>
      <w:bookmarkStart w:id="651" w:name="RG_MARKER_11943"/>
      <w:r>
        <w:t xml:space="preserve">     </w:t>
      </w:r>
      <w:bookmarkEnd w:id="650"/>
      <w:bookmarkEnd w:id="651"/>
    </w:p>
    <w:p w:rsidR="00A85152" w:rsidRPr="0075095D" w:rsidRDefault="00BA7A7F" w:rsidP="00A85152">
      <w:pPr>
        <w:pStyle w:val="Heading1"/>
        <w:pageBreakBefore/>
        <w:rPr>
          <w:smallCaps w:val="0"/>
        </w:rPr>
      </w:pPr>
      <w:bookmarkStart w:id="652" w:name="RG_MARKER_11865"/>
      <w:bookmarkStart w:id="653" w:name="RG_MARKER_11957"/>
      <w:bookmarkStart w:id="654" w:name="RG_MARKER_12157"/>
      <w:r w:rsidRPr="0075095D">
        <w:rPr>
          <w:smallCaps w:val="0"/>
        </w:rPr>
        <w:t>Clean Energy Finance Corporation</w:t>
      </w:r>
      <w:bookmarkEnd w:id="652"/>
      <w:bookmarkEnd w:id="653"/>
      <w:bookmarkEnd w:id="654"/>
    </w:p>
    <w:p w:rsidR="00A85152" w:rsidRPr="0075095D" w:rsidRDefault="00BA7A7F" w:rsidP="00A85152">
      <w:pPr>
        <w:pStyle w:val="Heading2"/>
        <w:rPr>
          <w:b/>
          <w:sz w:val="26"/>
          <w:szCs w:val="26"/>
        </w:rPr>
      </w:pPr>
      <w:r w:rsidRPr="0075095D">
        <w:rPr>
          <w:b/>
          <w:sz w:val="26"/>
          <w:szCs w:val="26"/>
        </w:rPr>
        <w:t>Section 1</w:t>
      </w:r>
      <w:bookmarkStart w:id="655" w:name="_Toc449255758_3"/>
      <w:bookmarkStart w:id="656" w:name="_Toc446237031_3"/>
      <w:r w:rsidRPr="0075095D">
        <w:rPr>
          <w:b/>
          <w:sz w:val="26"/>
          <w:szCs w:val="26"/>
        </w:rPr>
        <w:t>: Entity overview and resources</w:t>
      </w:r>
      <w:bookmarkEnd w:id="655"/>
      <w:bookmarkEnd w:id="656"/>
    </w:p>
    <w:p w:rsidR="00CC55BA" w:rsidRPr="0075095D" w:rsidRDefault="00BA7A7F" w:rsidP="00CC55BA">
      <w:pPr>
        <w:pStyle w:val="Heading3"/>
        <w:rPr>
          <w:smallCaps w:val="0"/>
          <w:sz w:val="22"/>
          <w:szCs w:val="22"/>
        </w:rPr>
      </w:pPr>
      <w:bookmarkStart w:id="657" w:name="_Toc190682309"/>
      <w:bookmarkStart w:id="658" w:name="_Toc190682527"/>
      <w:bookmarkStart w:id="659" w:name="_Toc444523509"/>
      <w:bookmarkStart w:id="660" w:name="_Toc520086"/>
      <w:r w:rsidRPr="0075095D">
        <w:rPr>
          <w:rFonts w:cs="Arial"/>
          <w:smallCaps w:val="0"/>
          <w:sz w:val="22"/>
          <w:szCs w:val="22"/>
        </w:rPr>
        <w:t>1.1</w:t>
      </w:r>
      <w:r w:rsidRPr="0075095D">
        <w:rPr>
          <w:rFonts w:cs="Arial"/>
          <w:smallCaps w:val="0"/>
          <w:sz w:val="22"/>
          <w:szCs w:val="22"/>
        </w:rPr>
        <w:tab/>
      </w:r>
      <w:r w:rsidRPr="0075095D">
        <w:rPr>
          <w:smallCaps w:val="0"/>
          <w:sz w:val="22"/>
          <w:szCs w:val="22"/>
        </w:rPr>
        <w:t>Strategic direction</w:t>
      </w:r>
      <w:bookmarkEnd w:id="657"/>
      <w:bookmarkEnd w:id="658"/>
      <w:r w:rsidRPr="0075095D">
        <w:rPr>
          <w:smallCaps w:val="0"/>
          <w:sz w:val="22"/>
          <w:szCs w:val="22"/>
        </w:rPr>
        <w:t xml:space="preserve"> statement</w:t>
      </w:r>
      <w:bookmarkEnd w:id="659"/>
      <w:bookmarkEnd w:id="660"/>
    </w:p>
    <w:p w:rsidR="00CC22E8" w:rsidRPr="00CC22E8" w:rsidRDefault="00BA7A7F" w:rsidP="00954522">
      <w:pPr>
        <w:rPr>
          <w:b/>
          <w:smallCaps/>
        </w:rPr>
      </w:pPr>
      <w:r w:rsidRPr="00CC22E8">
        <w:t xml:space="preserve">The Clean Energy Finance Corporation (CEFC or Corporation) was established to facilitate increased flows of finance into the clean energy sector. The Corporation invests in accordance with, the </w:t>
      </w:r>
      <w:r w:rsidRPr="002506E3">
        <w:rPr>
          <w:i/>
        </w:rPr>
        <w:t>Clean Energy Finance Corporation Act 2012</w:t>
      </w:r>
      <w:r w:rsidRPr="00CC22E8">
        <w:t xml:space="preserve"> (</w:t>
      </w:r>
      <w:r w:rsidRPr="000F3BB4">
        <w:t>the CEFC Act</w:t>
      </w:r>
      <w:r w:rsidRPr="00CC22E8">
        <w:t>); and the Clean Energy Finance Corporation Investment Mandate Direction 2020 (Investment Mandate Direction 2020), as made by the Minister for Energy and Emissions Reduction and the Minister fo</w:t>
      </w:r>
      <w:r>
        <w:t xml:space="preserve">r Finance (which took effect on </w:t>
      </w:r>
      <w:r>
        <w:br/>
      </w:r>
      <w:r w:rsidRPr="00CC22E8">
        <w:t>2 May 2020).</w:t>
      </w:r>
    </w:p>
    <w:p w:rsidR="00CC22E8" w:rsidRPr="00954522" w:rsidRDefault="00BA7A7F" w:rsidP="00954522">
      <w:r w:rsidRPr="00CC22E8">
        <w:t xml:space="preserve">The Corporation </w:t>
      </w:r>
      <w:r>
        <w:t>i</w:t>
      </w:r>
      <w:r w:rsidRPr="00CC22E8">
        <w:t>s a stat</w:t>
      </w:r>
      <w:r>
        <w:t>utory authority, defined as a c</w:t>
      </w:r>
      <w:r w:rsidRPr="00CC22E8">
        <w:t xml:space="preserve">orporate Commonwealth entity under the </w:t>
      </w:r>
      <w:r w:rsidRPr="00384DD7">
        <w:rPr>
          <w:i/>
        </w:rPr>
        <w:t>Public Governance, Performance and Accountability Act</w:t>
      </w:r>
      <w:r>
        <w:rPr>
          <w:i/>
        </w:rPr>
        <w:t xml:space="preserve"> </w:t>
      </w:r>
      <w:r w:rsidRPr="00384DD7">
        <w:rPr>
          <w:i/>
        </w:rPr>
        <w:t>2013</w:t>
      </w:r>
      <w:r>
        <w:rPr>
          <w:i/>
        </w:rPr>
        <w:t>,</w:t>
      </w:r>
      <w:r w:rsidRPr="00384DD7">
        <w:rPr>
          <w:i/>
        </w:rPr>
        <w:t xml:space="preserve"> </w:t>
      </w:r>
      <w:r w:rsidRPr="00CC22E8">
        <w:t>and is go</w:t>
      </w:r>
      <w:r>
        <w:t>verned by an independent b</w:t>
      </w:r>
      <w:r w:rsidRPr="00CC22E8">
        <w:t xml:space="preserve">oard. The </w:t>
      </w:r>
      <w:r>
        <w:t>b</w:t>
      </w:r>
      <w:r w:rsidRPr="00CC22E8">
        <w:t xml:space="preserve">oard reports to Parliament through its responsible </w:t>
      </w:r>
      <w:r>
        <w:t>m</w:t>
      </w:r>
      <w:r w:rsidRPr="00CC22E8">
        <w:t>inisters.</w:t>
      </w:r>
    </w:p>
    <w:p w:rsidR="00CC22E8" w:rsidRPr="00954522" w:rsidRDefault="00BA7A7F" w:rsidP="00954522">
      <w:r w:rsidRPr="00CC22E8">
        <w:t>The Corporation’s investment objectives are to catalyse and leverage an increased flow of funds for the commercialisation and deployment of renewable energy, energy efficiency and low emissions technologies. The CEFC invests with commercial rigour in a diverse portfolio across the spectrum of clean energy technologies that are solely or mainly Australian based —</w:t>
      </w:r>
      <w:r>
        <w:t xml:space="preserve"> </w:t>
      </w:r>
      <w:r w:rsidRPr="00CC22E8">
        <w:t>either directly or indirectly through industry and the banking sector — that, in aggregate, have an acceptable but not excessive level of risk relative to the sector. The CEFC is required to liaise with relevant persons and bodies, including the Australian Renewable Energy Agency, the Clean Energy Regulator, the Australian Energy Market Operator, other Australian Government entities</w:t>
      </w:r>
      <w:r>
        <w:t>,</w:t>
      </w:r>
      <w:r w:rsidRPr="00CC22E8">
        <w:t xml:space="preserve"> and state and territory governments, for the purposes of facilitating its investment function.</w:t>
      </w:r>
    </w:p>
    <w:p w:rsidR="00C65D51" w:rsidRDefault="00BA7A7F" w:rsidP="00C65D51">
      <w:r>
        <w:t>To support the Government’s Technology Investment Roadmap (Roadmap) and related Low Emissions Technology Statements (LETS), the Corporation has structured the business to align with the Roadmap, including incorporating the Roadmap and LETS into its corporate plans.</w:t>
      </w:r>
    </w:p>
    <w:p w:rsidR="00CC22E8" w:rsidRPr="00954522" w:rsidRDefault="00BA7A7F" w:rsidP="00954522">
      <w:r w:rsidRPr="00CC22E8">
        <w:t>In the Investment Mandate Direction 2020, the responsible ministers have also directed the CEFC Board to prioritise investments that support reliability and security of electricity supply and make available (from the existing CEFC Special Account) up to:</w:t>
      </w:r>
    </w:p>
    <w:p w:rsidR="00CC22E8" w:rsidRPr="00954522" w:rsidRDefault="00BA7A7F" w:rsidP="00B85B7D">
      <w:pPr>
        <w:pStyle w:val="ListParagraph"/>
        <w:keepLines/>
        <w:numPr>
          <w:ilvl w:val="0"/>
          <w:numId w:val="72"/>
        </w:numPr>
        <w:spacing w:after="0"/>
        <w:ind w:left="284" w:hanging="284"/>
        <w:contextualSpacing w:val="0"/>
        <w:jc w:val="left"/>
        <w:rPr>
          <w:rFonts w:eastAsia="Times New Roman" w:cs="Times New Roman"/>
          <w:sz w:val="20"/>
          <w:szCs w:val="20"/>
          <w:lang w:val="en-AU"/>
        </w:rPr>
      </w:pPr>
      <w:r w:rsidRPr="00954522">
        <w:rPr>
          <w:rFonts w:eastAsia="Times New Roman" w:cs="Times New Roman"/>
          <w:sz w:val="20"/>
          <w:szCs w:val="20"/>
          <w:lang w:val="en-AU"/>
        </w:rPr>
        <w:t>$1</w:t>
      </w:r>
      <w:r>
        <w:rPr>
          <w:rFonts w:eastAsia="Times New Roman" w:cs="Times New Roman"/>
          <w:sz w:val="20"/>
          <w:szCs w:val="20"/>
          <w:lang w:val="en-AU"/>
        </w:rPr>
        <w:t>.0</w:t>
      </w:r>
      <w:r w:rsidRPr="00954522">
        <w:rPr>
          <w:rFonts w:eastAsia="Times New Roman" w:cs="Times New Roman"/>
          <w:sz w:val="20"/>
          <w:szCs w:val="20"/>
          <w:lang w:val="en-AU"/>
        </w:rPr>
        <w:t xml:space="preserve"> billion of investment finance over 10 years for the Reef Funding Program</w:t>
      </w:r>
      <w:r>
        <w:rPr>
          <w:rFonts w:eastAsia="Times New Roman" w:cs="Times New Roman"/>
          <w:sz w:val="20"/>
          <w:szCs w:val="20"/>
          <w:lang w:val="en-AU"/>
        </w:rPr>
        <w:t>.</w:t>
      </w:r>
    </w:p>
    <w:p w:rsidR="00CC22E8" w:rsidRPr="00954522" w:rsidRDefault="00BA7A7F" w:rsidP="00954522">
      <w:pPr>
        <w:pStyle w:val="ListParagraph"/>
        <w:keepLines/>
        <w:numPr>
          <w:ilvl w:val="0"/>
          <w:numId w:val="72"/>
        </w:numPr>
        <w:ind w:left="284" w:hanging="284"/>
        <w:contextualSpacing w:val="0"/>
        <w:jc w:val="left"/>
        <w:rPr>
          <w:rFonts w:eastAsia="Times New Roman" w:cs="Times New Roman"/>
          <w:sz w:val="20"/>
          <w:szCs w:val="20"/>
          <w:lang w:val="en-AU"/>
        </w:rPr>
        <w:sectPr w:rsidR="00CC22E8" w:rsidRPr="00954522" w:rsidSect="00E007A4">
          <w:headerReference w:type="even" r:id="rId223"/>
          <w:headerReference w:type="default" r:id="rId224"/>
          <w:footerReference w:type="even" r:id="rId225"/>
          <w:footerReference w:type="default" r:id="rId226"/>
          <w:headerReference w:type="first" r:id="rId227"/>
          <w:footerReference w:type="first" r:id="rId228"/>
          <w:type w:val="continuous"/>
          <w:pgSz w:w="11906" w:h="16838"/>
          <w:pgMar w:top="2466" w:right="2098" w:bottom="2466" w:left="2098" w:header="1899" w:footer="1899" w:gutter="0"/>
          <w:pgBorders>
            <w:top w:val="nil"/>
            <w:left w:val="nil"/>
            <w:bottom w:val="nil"/>
            <w:right w:val="nil"/>
          </w:pgBorders>
          <w:cols w:space="720"/>
          <w:docGrid w:linePitch="360"/>
        </w:sectPr>
      </w:pPr>
      <w:r w:rsidRPr="00954522">
        <w:rPr>
          <w:rFonts w:eastAsia="Times New Roman" w:cs="Times New Roman"/>
          <w:sz w:val="20"/>
          <w:szCs w:val="20"/>
          <w:lang w:val="en-AU"/>
        </w:rPr>
        <w:t>$1</w:t>
      </w:r>
      <w:r>
        <w:rPr>
          <w:rFonts w:eastAsia="Times New Roman" w:cs="Times New Roman"/>
          <w:sz w:val="20"/>
          <w:szCs w:val="20"/>
          <w:lang w:val="en-AU"/>
        </w:rPr>
        <w:t>.0</w:t>
      </w:r>
      <w:r w:rsidRPr="00954522">
        <w:rPr>
          <w:rFonts w:eastAsia="Times New Roman" w:cs="Times New Roman"/>
          <w:sz w:val="20"/>
          <w:szCs w:val="20"/>
          <w:lang w:val="en-AU"/>
        </w:rPr>
        <w:t xml:space="preserve"> billion of investment finance over 10 years for a Sustai</w:t>
      </w:r>
      <w:r>
        <w:rPr>
          <w:rFonts w:eastAsia="Times New Roman" w:cs="Times New Roman"/>
          <w:sz w:val="20"/>
          <w:szCs w:val="20"/>
          <w:lang w:val="en-AU"/>
        </w:rPr>
        <w:t>nable Cities Investment Program.</w:t>
      </w:r>
    </w:p>
    <w:p w:rsidR="00672D05" w:rsidRDefault="00BA7A7F" w:rsidP="00CD5793">
      <w:pPr>
        <w:pStyle w:val="ListParagraph"/>
        <w:pageBreakBefore/>
        <w:numPr>
          <w:ilvl w:val="0"/>
          <w:numId w:val="73"/>
        </w:numPr>
        <w:spacing w:after="0"/>
        <w:ind w:left="284" w:hanging="284"/>
        <w:contextualSpacing w:val="0"/>
        <w:rPr>
          <w:rFonts w:eastAsia="Times New Roman" w:cs="Times New Roman"/>
          <w:sz w:val="20"/>
          <w:szCs w:val="20"/>
          <w:lang w:val="en-AU" w:eastAsia="en-AU"/>
        </w:rPr>
      </w:pPr>
      <w:bookmarkStart w:id="661" w:name="RG_MARKER_11978"/>
      <w:r>
        <w:rPr>
          <w:rFonts w:eastAsia="Times New Roman" w:cs="Times New Roman"/>
          <w:sz w:val="20"/>
          <w:szCs w:val="20"/>
          <w:lang w:val="en-AU" w:eastAsia="en-AU"/>
        </w:rPr>
        <w:t>$200 million for debt and equity investment through the Clean Energy Innovation Fund.</w:t>
      </w:r>
      <w:bookmarkEnd w:id="661"/>
    </w:p>
    <w:p w:rsidR="007765F5" w:rsidRPr="006A5FE6" w:rsidRDefault="00BA7A7F" w:rsidP="00CD5793">
      <w:pPr>
        <w:pStyle w:val="ListParagraph"/>
        <w:numPr>
          <w:ilvl w:val="0"/>
          <w:numId w:val="73"/>
        </w:numPr>
        <w:spacing w:after="0"/>
        <w:ind w:left="284" w:hanging="284"/>
        <w:contextualSpacing w:val="0"/>
        <w:rPr>
          <w:rFonts w:eastAsia="Times New Roman" w:cs="Times New Roman"/>
          <w:sz w:val="20"/>
          <w:szCs w:val="20"/>
          <w:lang w:val="en-AU" w:eastAsia="en-AU"/>
        </w:rPr>
      </w:pPr>
      <w:r w:rsidRPr="006A5FE6">
        <w:rPr>
          <w:rFonts w:eastAsia="Times New Roman" w:cs="Times New Roman"/>
          <w:sz w:val="20"/>
          <w:szCs w:val="20"/>
          <w:lang w:val="en-AU" w:eastAsia="en-AU"/>
        </w:rPr>
        <w:t>$100 million for debt and equity investment through an Australian Recycling Investment Fund to support recycling or recycled content projects using clean energy technologies, with a particular focus on waste plastics, paper, glass and tyres</w:t>
      </w:r>
      <w:r>
        <w:rPr>
          <w:rFonts w:eastAsia="Times New Roman" w:cs="Times New Roman"/>
          <w:sz w:val="20"/>
          <w:szCs w:val="20"/>
          <w:lang w:val="en-AU" w:eastAsia="en-AU"/>
        </w:rPr>
        <w:t>.</w:t>
      </w:r>
      <w:r w:rsidRPr="006A5FE6">
        <w:rPr>
          <w:rFonts w:eastAsia="Times New Roman" w:cs="Times New Roman"/>
          <w:sz w:val="20"/>
          <w:szCs w:val="20"/>
          <w:lang w:val="en-AU" w:eastAsia="en-AU"/>
        </w:rPr>
        <w:tab/>
      </w:r>
    </w:p>
    <w:p w:rsidR="007765F5" w:rsidRPr="006A5FE6" w:rsidRDefault="00BA7A7F" w:rsidP="00587447">
      <w:pPr>
        <w:pStyle w:val="ListParagraph"/>
        <w:numPr>
          <w:ilvl w:val="0"/>
          <w:numId w:val="73"/>
        </w:numPr>
        <w:ind w:left="284" w:hanging="284"/>
        <w:contextualSpacing w:val="0"/>
        <w:rPr>
          <w:rFonts w:eastAsia="Times New Roman" w:cs="Times New Roman"/>
          <w:sz w:val="20"/>
          <w:szCs w:val="20"/>
          <w:lang w:val="en-AU" w:eastAsia="en-AU"/>
        </w:rPr>
      </w:pPr>
      <w:r w:rsidRPr="006A5FE6">
        <w:rPr>
          <w:rFonts w:eastAsia="Times New Roman" w:cs="Times New Roman"/>
          <w:sz w:val="20"/>
          <w:szCs w:val="20"/>
          <w:lang w:val="en-AU" w:eastAsia="en-AU"/>
        </w:rPr>
        <w:t>$300 million for concessional debt and equity investments through the Advancing Hydrogen Fund to support the growth of a clean, innovative, safe and competitive Australian hydrogen industry.</w:t>
      </w:r>
    </w:p>
    <w:p w:rsidR="007765F5" w:rsidRDefault="00BA7A7F" w:rsidP="00160B8E">
      <w:r w:rsidRPr="007765F5">
        <w:t>The Clean Energy Finance Corporation Amendment (Grid Reliability Fund) Bill 2020, currently before the Parliament will make available up to $1</w:t>
      </w:r>
      <w:r>
        <w:t>.0</w:t>
      </w:r>
      <w:r w:rsidRPr="007765F5">
        <w:t xml:space="preserve"> billion additional capital to </w:t>
      </w:r>
      <w:r>
        <w:t xml:space="preserve">the </w:t>
      </w:r>
      <w:r w:rsidRPr="007765F5">
        <w:t xml:space="preserve">CEFC to support investment in grid reliability. </w:t>
      </w:r>
    </w:p>
    <w:p w:rsidR="00706CC0" w:rsidRPr="007765F5" w:rsidRDefault="00BA7A7F" w:rsidP="00160B8E">
      <w:r>
        <w:t>Significant changes since the 2021-</w:t>
      </w:r>
      <w:r>
        <w:softHyphen/>
        <w:t>22 Budget include the proposed $500 million Low Emissions Technology Commercialisation Fund (LETCF)</w:t>
      </w:r>
      <w:r w:rsidRPr="00672D05">
        <w:t xml:space="preserve"> </w:t>
      </w:r>
      <w:r>
        <w:t xml:space="preserve">to support commercialisation of technologies identified through the Government’s Technology Investment Roadmap and Low Emissions Technology Statements. The LETCF is expected to be funded by a new $500 million Special Account appropriation. </w:t>
      </w:r>
    </w:p>
    <w:p w:rsidR="00706CC0" w:rsidRDefault="00BA7A7F" w:rsidP="00160B8E">
      <w:r>
        <w:t>The ways in which the Corporation addresses financial barriers include:</w:t>
      </w:r>
    </w:p>
    <w:p w:rsidR="00706CC0" w:rsidRDefault="00BA7A7F" w:rsidP="00CD5793">
      <w:pPr>
        <w:pStyle w:val="ListParagraph"/>
        <w:numPr>
          <w:ilvl w:val="0"/>
          <w:numId w:val="73"/>
        </w:numPr>
        <w:spacing w:after="0"/>
        <w:ind w:left="284" w:hanging="284"/>
        <w:contextualSpacing w:val="0"/>
        <w:rPr>
          <w:rFonts w:eastAsia="Times New Roman" w:cs="Times New Roman"/>
          <w:lang w:val="en-AU"/>
        </w:rPr>
      </w:pPr>
      <w:r>
        <w:rPr>
          <w:rFonts w:eastAsia="Times New Roman" w:cs="Times New Roman"/>
          <w:sz w:val="20"/>
          <w:szCs w:val="20"/>
          <w:lang w:val="en-AU" w:eastAsia="en-AU"/>
        </w:rPr>
        <w:t>Attracting finance to the Australian market to improve the flow and diversification of funds for investment in the sector.</w:t>
      </w:r>
    </w:p>
    <w:p w:rsidR="00706CC0" w:rsidRDefault="00BA7A7F" w:rsidP="00CD5793">
      <w:pPr>
        <w:pStyle w:val="ListParagraph"/>
        <w:numPr>
          <w:ilvl w:val="0"/>
          <w:numId w:val="73"/>
        </w:numPr>
        <w:spacing w:after="0"/>
        <w:ind w:left="284" w:hanging="284"/>
        <w:contextualSpacing w:val="0"/>
        <w:rPr>
          <w:rFonts w:eastAsia="Times New Roman" w:cs="Times New Roman"/>
          <w:lang w:val="en-AU"/>
        </w:rPr>
      </w:pPr>
      <w:r>
        <w:rPr>
          <w:rFonts w:eastAsia="Times New Roman" w:cs="Times New Roman"/>
          <w:sz w:val="20"/>
          <w:szCs w:val="20"/>
          <w:lang w:val="en-AU" w:eastAsia="en-AU"/>
        </w:rPr>
        <w:t>Assisting project proponents as an arranger, helping to develop the business case and introduce the proponents to other financiers to seek transaction close.</w:t>
      </w:r>
    </w:p>
    <w:p w:rsidR="00706CC0" w:rsidRDefault="00BA7A7F" w:rsidP="00CD5793">
      <w:pPr>
        <w:pStyle w:val="ListParagraph"/>
        <w:numPr>
          <w:ilvl w:val="0"/>
          <w:numId w:val="73"/>
        </w:numPr>
        <w:spacing w:after="0"/>
        <w:ind w:left="284" w:hanging="284"/>
        <w:contextualSpacing w:val="0"/>
        <w:rPr>
          <w:rFonts w:eastAsia="Times New Roman" w:cs="Times New Roman"/>
          <w:lang w:val="en-AU"/>
        </w:rPr>
      </w:pPr>
      <w:r>
        <w:rPr>
          <w:rFonts w:eastAsia="Times New Roman" w:cs="Times New Roman"/>
          <w:sz w:val="20"/>
          <w:szCs w:val="20"/>
          <w:lang w:val="en-AU" w:eastAsia="en-AU"/>
        </w:rPr>
        <w:t>Building knowledge and capacity within the finance sector by participating in transactions to de-risk the investment, familiarising financiers with new asset types or through reducing the size of their exposure.</w:t>
      </w:r>
    </w:p>
    <w:p w:rsidR="00706CC0" w:rsidRDefault="00BA7A7F" w:rsidP="00CD5793">
      <w:pPr>
        <w:pStyle w:val="ListParagraph"/>
        <w:numPr>
          <w:ilvl w:val="0"/>
          <w:numId w:val="73"/>
        </w:numPr>
        <w:spacing w:after="0"/>
        <w:ind w:left="284" w:hanging="284"/>
        <w:contextualSpacing w:val="0"/>
        <w:rPr>
          <w:rFonts w:eastAsia="Times New Roman" w:cs="Times New Roman"/>
          <w:lang w:val="en-AU" w:eastAsia="en-AU"/>
        </w:rPr>
      </w:pPr>
      <w:r>
        <w:rPr>
          <w:rFonts w:eastAsia="Times New Roman" w:cs="Times New Roman"/>
          <w:sz w:val="20"/>
          <w:szCs w:val="20"/>
          <w:lang w:val="en-AU" w:eastAsia="en-AU"/>
        </w:rPr>
        <w:t>Supporting the fledgling innovation ecosystem surrounding clean energy technologies through direct investment in early-stage technologies, through the Clean Energy Innovation Fund and through the recently created specialist fund manager, Virescent Ventures.</w:t>
      </w:r>
    </w:p>
    <w:p w:rsidR="00706CC0" w:rsidRDefault="00BA7A7F" w:rsidP="00CD5793">
      <w:pPr>
        <w:pStyle w:val="ListParagraph"/>
        <w:numPr>
          <w:ilvl w:val="0"/>
          <w:numId w:val="73"/>
        </w:numPr>
        <w:spacing w:after="0"/>
        <w:ind w:left="284" w:hanging="284"/>
        <w:contextualSpacing w:val="0"/>
        <w:rPr>
          <w:rFonts w:eastAsia="Times New Roman" w:cs="Times New Roman"/>
        </w:rPr>
      </w:pPr>
      <w:r>
        <w:rPr>
          <w:rFonts w:eastAsia="Times New Roman" w:cs="Times New Roman"/>
          <w:sz w:val="20"/>
          <w:szCs w:val="20"/>
          <w:lang w:val="en-AU" w:eastAsia="en-AU"/>
        </w:rPr>
        <w:t>Working with the finance sector to develop new financial products and deliver them to the market, tailored to the needs, attributes and emerging delivery models for new technologies, which in turn enables small and mid-sized businesses to access finance for energy productivity enhancing capital investment.</w:t>
      </w:r>
    </w:p>
    <w:p w:rsidR="00706CC0" w:rsidRDefault="00BA7A7F" w:rsidP="00CD5793">
      <w:pPr>
        <w:pStyle w:val="ListParagraph"/>
        <w:numPr>
          <w:ilvl w:val="0"/>
          <w:numId w:val="73"/>
        </w:numPr>
        <w:spacing w:after="0"/>
        <w:ind w:left="284" w:hanging="284"/>
        <w:contextualSpacing w:val="0"/>
        <w:rPr>
          <w:rFonts w:eastAsia="Times New Roman" w:cs="Times New Roman"/>
          <w:lang w:val="en-AU"/>
        </w:rPr>
      </w:pPr>
      <w:r>
        <w:rPr>
          <w:rFonts w:eastAsia="Times New Roman" w:cs="Times New Roman"/>
          <w:sz w:val="20"/>
          <w:szCs w:val="20"/>
          <w:lang w:val="en-AU" w:eastAsia="en-AU"/>
        </w:rPr>
        <w:t>Building knowledge and capacity within industry through demonstration and case studies to promote successful models and opportunities in energy productivity and clean energy investment</w:t>
      </w:r>
    </w:p>
    <w:p w:rsidR="00672D05" w:rsidRDefault="00BA7A7F" w:rsidP="00587447">
      <w:pPr>
        <w:pStyle w:val="ListParagraph"/>
        <w:numPr>
          <w:ilvl w:val="0"/>
          <w:numId w:val="73"/>
        </w:numPr>
        <w:ind w:left="284" w:hanging="284"/>
        <w:contextualSpacing w:val="0"/>
        <w:rPr>
          <w:rFonts w:eastAsia="Times New Roman" w:cs="Times New Roman"/>
          <w:sz w:val="20"/>
          <w:szCs w:val="20"/>
          <w:lang w:val="en-AU" w:eastAsia="en-AU"/>
        </w:rPr>
      </w:pPr>
      <w:r>
        <w:rPr>
          <w:rFonts w:eastAsia="Times New Roman" w:cs="Times New Roman"/>
          <w:sz w:val="20"/>
          <w:szCs w:val="20"/>
          <w:lang w:val="en-AU" w:eastAsia="en-AU"/>
        </w:rPr>
        <w:t>Providing loans at commercial and concessional rates. Where it is necessary and justified, the Corporation may choose to deploy concessional finance to assist in overcoming financial impediments and facilitate realisation of the project.</w:t>
      </w:r>
    </w:p>
    <w:p w:rsidR="003B7959" w:rsidRPr="003B7959" w:rsidRDefault="003B7959" w:rsidP="003B7959">
      <w:pPr>
        <w:keepLines w:val="0"/>
      </w:pPr>
    </w:p>
    <w:p w:rsidR="007765F5" w:rsidRDefault="00BA7A7F" w:rsidP="00946385">
      <w:pPr>
        <w:rPr>
          <w:i/>
        </w:rPr>
      </w:pPr>
      <w:r w:rsidRPr="007765F5">
        <w:rPr>
          <w:i/>
        </w:rPr>
        <w:t>Coronavirus (COVID-19) impact</w:t>
      </w:r>
    </w:p>
    <w:p w:rsidR="00A8165D" w:rsidRPr="00A8165D" w:rsidRDefault="00BA7A7F" w:rsidP="00946385">
      <w:r>
        <w:t xml:space="preserve">The coronavirus (COVID-19) pandemic, as well as measures to slow the spread of the virus, has had a significant impact on global economies, supply chains, and equity, debt and commodity markets. </w:t>
      </w:r>
      <w:r w:rsidRPr="00A8165D">
        <w:t xml:space="preserve">CEFC has considered these impacts in </w:t>
      </w:r>
      <w:r>
        <w:t xml:space="preserve">preparing </w:t>
      </w:r>
      <w:r w:rsidRPr="00A8165D">
        <w:t>its forecasts, but these estimates and outcomes are subject to change as better information becomes available.</w:t>
      </w:r>
    </w:p>
    <w:p w:rsidR="00A8165D" w:rsidRPr="00A8165D" w:rsidRDefault="00BA7A7F" w:rsidP="00946385">
      <w:pPr>
        <w:rPr>
          <w:i/>
          <w:iCs/>
        </w:rPr>
      </w:pPr>
      <w:r w:rsidRPr="00A8165D">
        <w:rPr>
          <w:i/>
          <w:iCs/>
        </w:rPr>
        <w:t>Market impacts of Ukraine conflict</w:t>
      </w:r>
    </w:p>
    <w:p w:rsidR="00706CC0" w:rsidRPr="007765F5" w:rsidRDefault="00BA7A7F" w:rsidP="00160B8E">
      <w:pPr>
        <w:rPr>
          <w:i/>
        </w:rPr>
      </w:pPr>
      <w:r>
        <w:t xml:space="preserve">The Russian invasion of </w:t>
      </w:r>
      <w:r w:rsidRPr="00A8165D">
        <w:t xml:space="preserve">Ukraine </w:t>
      </w:r>
      <w:r>
        <w:t>and associated sanctions measures</w:t>
      </w:r>
      <w:r w:rsidRPr="00A8165D">
        <w:t xml:space="preserve"> </w:t>
      </w:r>
      <w:r>
        <w:t>are</w:t>
      </w:r>
      <w:r w:rsidRPr="00A8165D">
        <w:t xml:space="preserve"> already having an impact on </w:t>
      </w:r>
      <w:r>
        <w:t>both energy market prices (e.g.</w:t>
      </w:r>
      <w:r w:rsidRPr="00A8165D">
        <w:t xml:space="preserve"> oil and gas price dependent commodities) and in financial markets. The primary work on estimates was prepared before the war began. Given its interplay at the nexus of energy and finance, the CEFC believes that there will be some impacts on the current portfolio and pipeline of future investments</w:t>
      </w:r>
      <w:r>
        <w:t>;</w:t>
      </w:r>
      <w:r w:rsidRPr="00A8165D">
        <w:t xml:space="preserve"> however, with events continuing to rapidly unfold, it is too early to make a completely informed judgement as to the duration, full impact and extent of these.</w:t>
      </w:r>
    </w:p>
    <w:p w:rsidR="004C2526" w:rsidRPr="00027F8F" w:rsidRDefault="00BA7A7F" w:rsidP="004C2526">
      <w:pPr>
        <w:pStyle w:val="Heading3"/>
        <w:pageBreakBefore/>
        <w:rPr>
          <w:smallCaps w:val="0"/>
          <w:sz w:val="22"/>
          <w:szCs w:val="22"/>
        </w:rPr>
      </w:pPr>
      <w:bookmarkStart w:id="662" w:name="RG_MARKER_11956"/>
      <w:bookmarkStart w:id="663" w:name="RG_MARKER_12226"/>
      <w:r w:rsidRPr="00027F8F">
        <w:rPr>
          <w:smallCaps w:val="0"/>
          <w:sz w:val="22"/>
          <w:szCs w:val="22"/>
        </w:rPr>
        <w:t>1.2</w:t>
      </w:r>
      <w:bookmarkEnd w:id="662"/>
      <w:bookmarkEnd w:id="663"/>
      <w:r w:rsidRPr="00027F8F">
        <w:rPr>
          <w:smallCaps w:val="0"/>
          <w:sz w:val="22"/>
          <w:szCs w:val="22"/>
        </w:rPr>
        <w:tab/>
        <w:t>Entity resource statement</w:t>
      </w:r>
    </w:p>
    <w:p w:rsidR="00010086" w:rsidRPr="00010086" w:rsidRDefault="00BA7A7F" w:rsidP="00010086">
      <w:bookmarkStart w:id="664" w:name="OLE_LINK12_2"/>
      <w:bookmarkStart w:id="665" w:name="OLE_LINK11_2"/>
      <w:r w:rsidRPr="00010086">
        <w:t>Table 1.1 shows the total funding from all sources available to the entity for its operations and to deliver programs and services on behalf of the Government.</w:t>
      </w:r>
    </w:p>
    <w:p w:rsidR="00010086" w:rsidRPr="00010086" w:rsidRDefault="00BA7A7F" w:rsidP="00010086">
      <w:r w:rsidRPr="00010086">
        <w:t>The table summarises how resources will be applied by outcome (government strategic policy objectives) and by administered (on behalf of the Government or the public) and departmental (for the entity’s operations) classification.</w:t>
      </w:r>
    </w:p>
    <w:p w:rsidR="00010086" w:rsidRPr="00010086" w:rsidRDefault="00BA7A7F" w:rsidP="00010086">
      <w:r w:rsidRPr="00010086">
        <w:t xml:space="preserve">For more detailed information on special accounts and special appropriations, please refer to </w:t>
      </w:r>
      <w:r w:rsidRPr="00010086">
        <w:rPr>
          <w:i/>
        </w:rPr>
        <w:t>Budget Paper No. 4 – Agency Resourcing</w:t>
      </w:r>
      <w:r w:rsidRPr="00010086">
        <w:t>.</w:t>
      </w:r>
    </w:p>
    <w:p w:rsidR="00010086" w:rsidRPr="00010086" w:rsidRDefault="00BA7A7F" w:rsidP="00010086">
      <w:r w:rsidRPr="00010086">
        <w:t>Information in this table is presented on a resourcing (that is, appropriations/cash available) basis, whilst the ‘Budgeted expenses by Outcome</w:t>
      </w:r>
      <w:r>
        <w:t xml:space="preserve"> 1</w:t>
      </w:r>
      <w:r w:rsidRPr="00010086">
        <w:t>’ tables in Section 2 and the financial statements in Section 3 are presented on an accrual basis.</w:t>
      </w:r>
      <w:bookmarkEnd w:id="664"/>
      <w:bookmarkEnd w:id="665"/>
    </w:p>
    <w:p w:rsidR="004C2526" w:rsidRDefault="00BA7A7F" w:rsidP="00177229">
      <w:pPr>
        <w:pStyle w:val="TableHeading"/>
        <w:keepLines/>
        <w:spacing w:before="240" w:after="0"/>
      </w:pPr>
      <w:r w:rsidRPr="004C2526">
        <w:t xml:space="preserve">Table 1.1: </w:t>
      </w:r>
      <w:r>
        <w:rPr>
          <w:snapToGrid w:val="0"/>
        </w:rPr>
        <w:t>CEFC</w:t>
      </w:r>
      <w:r w:rsidRPr="004C2526">
        <w:t xml:space="preserve"> </w:t>
      </w:r>
      <w:r>
        <w:t>resource statement – B</w:t>
      </w:r>
      <w:r w:rsidRPr="00612A36">
        <w:t xml:space="preserve">udget estimates </w:t>
      </w:r>
      <w:r w:rsidRPr="004C2526">
        <w:t xml:space="preserve">for </w:t>
      </w:r>
      <w:r>
        <w:t>2022­23</w:t>
      </w:r>
      <w:r w:rsidRPr="004C2526">
        <w:t xml:space="preserve"> </w:t>
      </w:r>
      <w:r w:rsidRPr="00612A36">
        <w:t>as at Budget March</w:t>
      </w:r>
      <w:r w:rsidRPr="004C2526">
        <w:t xml:space="preserve"> </w:t>
      </w:r>
      <w:r>
        <w:t>2022</w:t>
      </w:r>
    </w:p>
    <w:tbl>
      <w:tblPr>
        <w:tblStyle w:val="CDMRange1"/>
        <w:tblW w:w="7725" w:type="dxa"/>
        <w:tblLayout w:type="fixed"/>
        <w:tblLook w:val="0600" w:firstRow="0" w:lastRow="0" w:firstColumn="0" w:lastColumn="0" w:noHBand="1" w:noVBand="1"/>
      </w:tblPr>
      <w:tblGrid>
        <w:gridCol w:w="5475"/>
        <w:gridCol w:w="1125"/>
        <w:gridCol w:w="1125"/>
      </w:tblGrid>
      <w:tr w:rsidR="00253274">
        <w:trPr>
          <w:trHeight w:val="800"/>
        </w:trPr>
        <w:tc>
          <w:tcPr>
            <w:tcW w:w="54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  Estimated actual</w:t>
            </w:r>
          </w:p>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 Estimate</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  (a) (b)</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774,351</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335,636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Amounts received from related entities</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Amounts from portfolio department (c)(d)</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4,532</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8,821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amounts received from related entities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4,532</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8,821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4,532</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8,821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 and dividends</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166,882</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178,501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166,882</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178,501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7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CEFC</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945,765</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522,958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47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4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4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25" w:type="dxa"/>
            <w:tcBorders>
              <w:top w:val="dotted" w:sz="2" w:space="0" w:color="000000"/>
              <w:left w:val="nil"/>
              <w:bottom w:val="single" w:sz="4" w:space="0" w:color="000000"/>
              <w:right w:val="nil"/>
              <w:tl2br w:val="nil"/>
              <w:tr2bl w:val="nil"/>
            </w:tcBorders>
            <w:shd w:val="clear" w:color="FFFFFF" w:fill="FFFFFF"/>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150</w:t>
            </w:r>
          </w:p>
        </w:tc>
        <w:tc>
          <w:tcPr>
            <w:tcW w:w="1125" w:type="dxa"/>
            <w:tcBorders>
              <w:top w:val="dotted" w:sz="2" w:space="0" w:color="000000"/>
              <w:left w:val="nil"/>
              <w:bottom w:val="single" w:sz="4"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155</w:t>
            </w:r>
          </w:p>
        </w:tc>
      </w:tr>
    </w:tbl>
    <w:p w:rsidR="008E17B4" w:rsidRDefault="00BA7A7F" w:rsidP="004E4A85">
      <w:pPr>
        <w:spacing w:after="0" w:line="240" w:lineRule="auto"/>
        <w:rPr>
          <w:rFonts w:ascii="Arial" w:eastAsia="Calibri" w:hAnsi="Arial" w:cs="Arial"/>
          <w:sz w:val="16"/>
          <w:bdr w:val="none" w:sz="0" w:space="0" w:color="auto" w:frame="1"/>
        </w:rPr>
      </w:pPr>
      <w:r w:rsidRPr="00B31D3F">
        <w:rPr>
          <w:rFonts w:ascii="Arial" w:eastAsia="Calibri" w:hAnsi="Arial" w:cs="Arial"/>
          <w:sz w:val="16"/>
          <w:bdr w:val="none" w:sz="0" w:space="0" w:color="auto" w:frame="1"/>
        </w:rPr>
        <w:t>All figures shown above are GST exclusive – these may not match figures in the cash flow statement.</w:t>
      </w:r>
      <w:r>
        <w:rPr>
          <w:rFonts w:ascii="Arial" w:eastAsia="Calibri" w:hAnsi="Arial" w:cs="Arial"/>
          <w:sz w:val="16"/>
          <w:bdr w:val="none" w:sz="0" w:space="0" w:color="auto" w:frame="1"/>
        </w:rPr>
        <w:t xml:space="preserve"> </w:t>
      </w:r>
      <w:r w:rsidRPr="008E17B4">
        <w:rPr>
          <w:rFonts w:ascii="Arial" w:eastAsia="Calibri" w:hAnsi="Arial" w:cs="Arial"/>
          <w:sz w:val="16"/>
          <w:bdr w:val="none" w:sz="0" w:space="0" w:color="auto" w:frame="1"/>
        </w:rPr>
        <w:t>Prepared on a resourcing (i.e. appropriations available) basis.</w:t>
      </w:r>
    </w:p>
    <w:p w:rsidR="00846483" w:rsidRDefault="00BA7A7F" w:rsidP="004E4A85">
      <w:pPr>
        <w:pStyle w:val="ListParagraph"/>
        <w:keepLines/>
        <w:numPr>
          <w:ilvl w:val="0"/>
          <w:numId w:val="74"/>
        </w:numPr>
        <w:spacing w:after="0" w:line="240" w:lineRule="auto"/>
        <w:rPr>
          <w:rFonts w:eastAsia="Times New Roman" w:cs="Arial"/>
          <w:sz w:val="16"/>
          <w:szCs w:val="16"/>
          <w:lang w:val="en-AU"/>
        </w:rPr>
      </w:pPr>
      <w:r w:rsidRPr="00846483">
        <w:rPr>
          <w:rFonts w:ascii="Arial" w:eastAsia="Times New Roman" w:hAnsi="Arial" w:cs="Arial"/>
          <w:sz w:val="16"/>
          <w:szCs w:val="16"/>
          <w:lang w:val="en-AU"/>
        </w:rPr>
        <w:t>The Corporation is not di</w:t>
      </w:r>
      <w:r>
        <w:rPr>
          <w:rFonts w:ascii="Arial" w:eastAsia="Times New Roman" w:hAnsi="Arial" w:cs="Arial"/>
          <w:sz w:val="16"/>
          <w:szCs w:val="16"/>
          <w:lang w:val="en-AU"/>
        </w:rPr>
        <w:t>rectly appropriated as it is a c</w:t>
      </w:r>
      <w:r w:rsidRPr="00846483">
        <w:rPr>
          <w:rFonts w:ascii="Arial" w:eastAsia="Times New Roman" w:hAnsi="Arial" w:cs="Arial"/>
          <w:sz w:val="16"/>
          <w:szCs w:val="16"/>
          <w:lang w:val="en-AU"/>
        </w:rPr>
        <w:t>o</w:t>
      </w:r>
      <w:r>
        <w:rPr>
          <w:rFonts w:ascii="Arial" w:eastAsia="Times New Roman" w:hAnsi="Arial" w:cs="Arial"/>
          <w:sz w:val="16"/>
          <w:szCs w:val="16"/>
          <w:lang w:val="en-AU"/>
        </w:rPr>
        <w:t xml:space="preserve">rporate Commonwealth entity as </w:t>
      </w:r>
      <w:r w:rsidRPr="00846483">
        <w:rPr>
          <w:rFonts w:ascii="Arial" w:eastAsia="Times New Roman" w:hAnsi="Arial" w:cs="Arial"/>
          <w:sz w:val="16"/>
          <w:szCs w:val="16"/>
          <w:lang w:val="en-AU"/>
        </w:rPr>
        <w:t xml:space="preserve">defined under the </w:t>
      </w:r>
      <w:r w:rsidRPr="00846483">
        <w:rPr>
          <w:rFonts w:ascii="Arial" w:eastAsia="Times New Roman" w:hAnsi="Arial" w:cs="Arial"/>
          <w:i/>
          <w:iCs/>
          <w:sz w:val="16"/>
          <w:szCs w:val="16"/>
          <w:lang w:val="en-AU"/>
        </w:rPr>
        <w:t>Public Governance, Performance and Accountability Act 2013</w:t>
      </w:r>
      <w:r w:rsidRPr="00846483">
        <w:rPr>
          <w:rFonts w:ascii="Arial" w:eastAsia="Times New Roman" w:hAnsi="Arial" w:cs="Arial"/>
          <w:sz w:val="16"/>
          <w:szCs w:val="16"/>
          <w:lang w:val="en-AU"/>
        </w:rPr>
        <w:t xml:space="preserve">. </w:t>
      </w:r>
    </w:p>
    <w:p w:rsidR="00420293" w:rsidRDefault="00BA7A7F" w:rsidP="004E4A85">
      <w:pPr>
        <w:pStyle w:val="ListParagraph"/>
        <w:keepLines/>
        <w:numPr>
          <w:ilvl w:val="0"/>
          <w:numId w:val="74"/>
        </w:numPr>
        <w:spacing w:after="0" w:line="240" w:lineRule="auto"/>
        <w:rPr>
          <w:rFonts w:eastAsia="Times New Roman" w:cs="Arial"/>
          <w:sz w:val="16"/>
          <w:szCs w:val="16"/>
          <w:lang w:val="en-AU"/>
        </w:rPr>
      </w:pPr>
      <w:r w:rsidRPr="00846483">
        <w:rPr>
          <w:rFonts w:ascii="Arial" w:eastAsia="Times New Roman" w:hAnsi="Arial" w:cs="Arial"/>
          <w:sz w:val="16"/>
          <w:szCs w:val="16"/>
          <w:lang w:val="en-AU"/>
        </w:rPr>
        <w:t xml:space="preserve">The Corporation does not hold the </w:t>
      </w:r>
      <w:r>
        <w:rPr>
          <w:rFonts w:ascii="Arial" w:eastAsia="Times New Roman" w:hAnsi="Arial" w:cs="Arial"/>
          <w:sz w:val="16"/>
          <w:szCs w:val="16"/>
          <w:lang w:val="en-AU"/>
        </w:rPr>
        <w:t>special a</w:t>
      </w:r>
      <w:r w:rsidRPr="00846483">
        <w:rPr>
          <w:rFonts w:ascii="Arial" w:eastAsia="Times New Roman" w:hAnsi="Arial" w:cs="Arial"/>
          <w:sz w:val="16"/>
          <w:szCs w:val="16"/>
          <w:lang w:val="en-AU"/>
        </w:rPr>
        <w:t>ccount itself and therefore does not have a balance carried forward from earlier years. Under the CEFC Act, the CEFC is able to draw on</w:t>
      </w:r>
      <w:r>
        <w:rPr>
          <w:rFonts w:ascii="Arial" w:eastAsia="Times New Roman" w:hAnsi="Arial" w:cs="Arial"/>
          <w:sz w:val="16"/>
          <w:szCs w:val="16"/>
          <w:lang w:val="en-AU"/>
        </w:rPr>
        <w:t xml:space="preserve"> </w:t>
      </w:r>
      <w:r w:rsidRPr="00846483">
        <w:rPr>
          <w:rFonts w:ascii="Arial" w:eastAsia="Times New Roman" w:hAnsi="Arial" w:cs="Arial"/>
          <w:sz w:val="16"/>
          <w:szCs w:val="16"/>
          <w:lang w:val="en-AU"/>
        </w:rPr>
        <w:t>the cumulative funds available in the Special Account, which</w:t>
      </w:r>
      <w:r>
        <w:rPr>
          <w:rFonts w:ascii="Arial" w:eastAsia="Times New Roman" w:hAnsi="Arial" w:cs="Arial"/>
          <w:sz w:val="16"/>
          <w:szCs w:val="16"/>
          <w:lang w:val="en-AU"/>
        </w:rPr>
        <w:t xml:space="preserve"> amounted to $5.174 billion</w:t>
      </w:r>
      <w:r w:rsidRPr="00846483">
        <w:rPr>
          <w:rFonts w:ascii="Arial" w:eastAsia="Times New Roman" w:hAnsi="Arial" w:cs="Arial"/>
          <w:sz w:val="16"/>
          <w:szCs w:val="16"/>
          <w:lang w:val="en-AU"/>
        </w:rPr>
        <w:t xml:space="preserve"> </w:t>
      </w:r>
      <w:r>
        <w:rPr>
          <w:rFonts w:ascii="Arial" w:eastAsia="Times New Roman" w:hAnsi="Arial" w:cs="Arial"/>
          <w:sz w:val="16"/>
          <w:szCs w:val="16"/>
          <w:lang w:val="en-AU"/>
        </w:rPr>
        <w:t>at 1 July 2021</w:t>
      </w:r>
      <w:r w:rsidR="005B2691">
        <w:rPr>
          <w:rFonts w:ascii="Arial" w:eastAsia="Times New Roman" w:hAnsi="Arial" w:cs="Arial"/>
          <w:sz w:val="16"/>
          <w:szCs w:val="16"/>
          <w:lang w:val="en-AU"/>
        </w:rPr>
        <w:t>.</w:t>
      </w:r>
    </w:p>
    <w:p w:rsidR="006835F3" w:rsidRDefault="00BA7A7F" w:rsidP="004E4A85">
      <w:pPr>
        <w:pStyle w:val="ListParagraph"/>
        <w:keepLines/>
        <w:numPr>
          <w:ilvl w:val="0"/>
          <w:numId w:val="74"/>
        </w:numPr>
        <w:spacing w:after="0" w:line="240" w:lineRule="auto"/>
        <w:rPr>
          <w:rFonts w:eastAsia="Times New Roman" w:cs="Arial"/>
          <w:sz w:val="16"/>
          <w:szCs w:val="16"/>
          <w:lang w:val="en-AU"/>
        </w:rPr>
      </w:pPr>
      <w:r w:rsidRPr="007544A5">
        <w:rPr>
          <w:rFonts w:ascii="Arial" w:eastAsia="Times New Roman" w:hAnsi="Arial" w:cs="Arial"/>
          <w:sz w:val="16"/>
          <w:szCs w:val="16"/>
          <w:lang w:val="en-AU"/>
        </w:rPr>
        <w:t>Amounts forecast to be received from the Department of Industry, Science, Energy and Resources relate to funding of the estimated expenses associated with the GRF and, in 2022-23, LETCF.</w:t>
      </w:r>
    </w:p>
    <w:p w:rsidR="00E95549" w:rsidRPr="006835F3" w:rsidRDefault="00BA7A7F" w:rsidP="004E4A85">
      <w:pPr>
        <w:pStyle w:val="ListParagraph"/>
        <w:keepLines/>
        <w:numPr>
          <w:ilvl w:val="0"/>
          <w:numId w:val="74"/>
        </w:numPr>
        <w:spacing w:after="0" w:line="240" w:lineRule="auto"/>
        <w:rPr>
          <w:rFonts w:eastAsia="Times New Roman" w:cs="Arial"/>
          <w:sz w:val="16"/>
          <w:szCs w:val="16"/>
          <w:lang w:val="en-AU"/>
        </w:rPr>
      </w:pPr>
      <w:r w:rsidRPr="007544A5">
        <w:rPr>
          <w:rFonts w:ascii="Arial" w:eastAsia="Times New Roman" w:hAnsi="Arial" w:cs="Arial"/>
          <w:sz w:val="16"/>
          <w:szCs w:val="16"/>
          <w:lang w:val="en-AU"/>
        </w:rPr>
        <w:t>An additional $2,607k, to fund the estimated expenses associated with the LETCF in 2021-22, is expected to be received through the 2021-22 Annual Appropriation Bill No.3. The annual appropriation received from this bill will be recognised in a future Portfolio Budget statement but only after the Bill has received Royal Assent.</w:t>
      </w:r>
    </w:p>
    <w:p w:rsidR="00B31D3F" w:rsidRPr="00E95549" w:rsidRDefault="00B31D3F" w:rsidP="00B73A87">
      <w:pPr>
        <w:spacing w:line="240" w:lineRule="auto"/>
        <w:jc w:val="left"/>
        <w:rPr>
          <w:rFonts w:ascii="Arial" w:hAnsi="Arial"/>
          <w:vanish/>
          <w:color w:val="000000"/>
          <w:sz w:val="16"/>
          <w:lang w:eastAsia="x-none"/>
        </w:rPr>
      </w:pPr>
    </w:p>
    <w:p w:rsidR="003E027B" w:rsidRPr="00931278" w:rsidRDefault="00BA7A7F" w:rsidP="00931278">
      <w:pPr>
        <w:pStyle w:val="Heading3"/>
        <w:pageBreakBefore/>
        <w:spacing w:before="0" w:after="120"/>
        <w:rPr>
          <w:smallCaps w:val="0"/>
          <w:sz w:val="22"/>
          <w:szCs w:val="22"/>
        </w:rPr>
      </w:pPr>
      <w:bookmarkStart w:id="666" w:name="RG_MARKER_11952"/>
      <w:bookmarkStart w:id="667" w:name="RG_MARKER_11916"/>
      <w:bookmarkStart w:id="668" w:name="RG_MARKER_12160"/>
      <w:r w:rsidRPr="00931278">
        <w:rPr>
          <w:smallCaps w:val="0"/>
          <w:sz w:val="22"/>
          <w:szCs w:val="22"/>
        </w:rPr>
        <w:t>1.3</w:t>
      </w:r>
      <w:bookmarkEnd w:id="666"/>
      <w:bookmarkEnd w:id="667"/>
      <w:bookmarkEnd w:id="668"/>
      <w:r w:rsidRPr="00931278">
        <w:rPr>
          <w:smallCaps w:val="0"/>
          <w:sz w:val="22"/>
          <w:szCs w:val="22"/>
        </w:rPr>
        <w:tab/>
        <w:t>Budget measures</w:t>
      </w:r>
    </w:p>
    <w:p w:rsidR="00571056" w:rsidRDefault="00BA7A7F" w:rsidP="00571056">
      <w:r>
        <w:t>There are no new Budget measures relating to CEFC detailed in Budget Paper No. 2; therefore Table 1.2 is not presented.</w:t>
      </w:r>
    </w:p>
    <w:p w:rsidR="00FD26B4" w:rsidRPr="00B531C9" w:rsidRDefault="00BA7A7F" w:rsidP="00B531C9">
      <w:pPr>
        <w:pStyle w:val="Heading2"/>
        <w:pageBreakBefore/>
        <w:spacing w:after="120"/>
        <w:rPr>
          <w:b/>
          <w:sz w:val="26"/>
        </w:rPr>
      </w:pPr>
      <w:bookmarkStart w:id="669" w:name="RG_MARKER_11868"/>
      <w:bookmarkStart w:id="670" w:name="RG_MARKER_12222"/>
      <w:bookmarkStart w:id="671" w:name="_Toc436624143_3"/>
      <w:bookmarkStart w:id="672" w:name="_Toc436625444_3"/>
      <w:bookmarkStart w:id="673" w:name="_Toc446237032_3"/>
      <w:bookmarkStart w:id="674" w:name="_Toc449255764_3"/>
      <w:bookmarkStart w:id="675" w:name="_Toc490972409_3"/>
      <w:bookmarkStart w:id="676" w:name="_Toc491014629_3"/>
      <w:bookmarkStart w:id="677" w:name="_Toc491014771_3"/>
      <w:bookmarkStart w:id="678" w:name="_Toc491014951_3"/>
      <w:bookmarkStart w:id="679" w:name="_Toc491015098_3"/>
      <w:bookmarkStart w:id="680" w:name="_Toc491029242_3"/>
      <w:bookmarkStart w:id="681" w:name="_Toc491030331_3"/>
      <w:bookmarkStart w:id="682" w:name="_Toc491030790_3"/>
      <w:bookmarkStart w:id="683" w:name="_Toc491031353_3"/>
      <w:bookmarkStart w:id="684" w:name="_Toc491031940_3"/>
      <w:bookmarkStart w:id="685" w:name="_Toc491032113_3"/>
      <w:bookmarkStart w:id="686" w:name="_Toc491032221_3"/>
      <w:bookmarkStart w:id="687" w:name="_Toc491032328_3"/>
      <w:bookmarkStart w:id="688" w:name="_Toc491771720_3"/>
      <w:bookmarkStart w:id="689" w:name="_Toc491773295_3"/>
      <w:bookmarkStart w:id="690" w:name="_Toc23559353_3"/>
      <w:bookmarkStart w:id="691" w:name="_Toc23559387_3"/>
      <w:bookmarkStart w:id="692" w:name="_Toc23559674_3"/>
      <w:bookmarkStart w:id="693" w:name="_Toc23560142_3"/>
      <w:bookmarkStart w:id="694" w:name="_Toc23563436_3"/>
      <w:bookmarkStart w:id="695" w:name="_Toc77998688_3"/>
      <w:bookmarkStart w:id="696" w:name="_Toc79399717_3"/>
      <w:bookmarkStart w:id="697" w:name="_Toc112211966_3"/>
      <w:bookmarkStart w:id="698" w:name="_Toc112212060_3"/>
      <w:bookmarkStart w:id="699" w:name="_Toc112137878_3"/>
      <w:bookmarkStart w:id="700" w:name="_Toc112137900_3"/>
      <w:bookmarkStart w:id="701" w:name="_Toc210646453_3"/>
      <w:bookmarkStart w:id="702" w:name="_Toc210698432_3"/>
      <w:bookmarkStart w:id="703" w:name="_Toc210703214_3"/>
      <w:r w:rsidRPr="00B531C9">
        <w:rPr>
          <w:b/>
          <w:sz w:val="26"/>
        </w:rPr>
        <w:t>Section 2</w:t>
      </w:r>
      <w:bookmarkEnd w:id="669"/>
      <w:bookmarkEnd w:id="670"/>
      <w:bookmarkEnd w:id="671"/>
      <w:bookmarkEnd w:id="672"/>
      <w:bookmarkEnd w:id="673"/>
      <w:bookmarkEnd w:id="674"/>
      <w:r w:rsidRPr="00B531C9">
        <w:rPr>
          <w:b/>
          <w:sz w:val="26"/>
        </w:rPr>
        <w:t xml:space="preserve">: </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sidRPr="00B531C9">
        <w:rPr>
          <w:b/>
          <w:sz w:val="26"/>
        </w:rPr>
        <w:t>Outcomes and planned performanc</w:t>
      </w:r>
      <w:bookmarkEnd w:id="702"/>
      <w:bookmarkEnd w:id="703"/>
      <w:r w:rsidRPr="00B531C9">
        <w:rPr>
          <w:b/>
          <w:sz w:val="26"/>
        </w:rPr>
        <w:t>e</w:t>
      </w:r>
      <w:bookmarkStart w:id="704" w:name="_Toc436624145_6"/>
      <w:bookmarkStart w:id="705" w:name="_Toc436625446_6"/>
      <w:bookmarkStart w:id="706" w:name="_Toc449255766_6"/>
      <w:bookmarkStart w:id="707" w:name="_Toc490972410_6"/>
      <w:bookmarkStart w:id="708" w:name="_Toc491014630_6"/>
      <w:bookmarkStart w:id="709" w:name="_Toc491014772_6"/>
      <w:bookmarkStart w:id="710" w:name="_Toc491014952_6"/>
      <w:bookmarkStart w:id="711" w:name="_Toc491015099_6"/>
      <w:bookmarkStart w:id="712" w:name="_Toc491029243_6"/>
      <w:bookmarkStart w:id="713" w:name="_Toc491030332_6"/>
      <w:bookmarkStart w:id="714" w:name="_Toc491030791_6"/>
      <w:bookmarkStart w:id="715" w:name="_Toc491031354_6"/>
      <w:bookmarkStart w:id="716" w:name="_Toc491031941_6"/>
      <w:bookmarkStart w:id="717" w:name="_Toc491032114_6"/>
      <w:bookmarkStart w:id="718" w:name="_Toc491032222_6"/>
      <w:bookmarkStart w:id="719" w:name="_Toc491032329_6"/>
      <w:bookmarkStart w:id="720" w:name="_Toc491771721_6"/>
      <w:bookmarkStart w:id="721" w:name="_Toc491773296_6"/>
      <w:bookmarkStart w:id="722" w:name="_Toc23559354_6"/>
      <w:bookmarkStart w:id="723" w:name="_Toc23559388_6"/>
      <w:bookmarkStart w:id="724" w:name="_Toc23559675_6"/>
      <w:bookmarkStart w:id="725" w:name="_Toc23560143_6"/>
      <w:bookmarkStart w:id="726" w:name="_Toc23563437_6"/>
      <w:bookmarkStart w:id="727" w:name="_Toc77998689_6"/>
      <w:bookmarkStart w:id="728" w:name="_Toc79406118_6"/>
      <w:bookmarkStart w:id="729" w:name="_Toc79467820_6"/>
      <w:bookmarkStart w:id="730" w:name="_Toc112211967_6"/>
      <w:bookmarkStart w:id="731" w:name="_Toc112212061_6"/>
      <w:bookmarkStart w:id="732" w:name="_Toc112137879_6"/>
      <w:bookmarkStart w:id="733" w:name="_Toc112137901_6"/>
      <w:bookmarkStart w:id="734" w:name="_Toc210646454_6"/>
      <w:bookmarkStart w:id="735" w:name="_Toc210698433_6"/>
      <w:bookmarkStart w:id="736" w:name="_Toc210703215_6"/>
    </w:p>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rsidR="00FD26B4" w:rsidRDefault="00BA7A7F" w:rsidP="00FD26B4">
      <w:r>
        <w:t xml:space="preserve">Government outcomes are the intended results, impacts or consequences of actions by the Government on the Australian community. Commonwealth </w:t>
      </w:r>
      <w:r>
        <w:rPr>
          <w:color w:val="000000"/>
        </w:rPr>
        <w:t xml:space="preserve">programs </w:t>
      </w:r>
      <w:r>
        <w:t xml:space="preserve">are the primary vehicle by which government entities achieve the intended results of their outcome statements. Entities are required to identify the </w:t>
      </w:r>
      <w:r>
        <w:rPr>
          <w:color w:val="000000"/>
        </w:rPr>
        <w:t>programs</w:t>
      </w:r>
      <w:r>
        <w:t xml:space="preserve"> which contribute to government outcomes over the Budget and forward years.</w:t>
      </w:r>
    </w:p>
    <w:p w:rsidR="00FD26B4" w:rsidRDefault="00BA7A7F" w:rsidP="00FD26B4">
      <w:r>
        <w:t xml:space="preserve">Each outcome is described below together with its related </w:t>
      </w:r>
      <w:r>
        <w:rPr>
          <w:color w:val="000000"/>
        </w:rPr>
        <w:t>programs</w:t>
      </w:r>
      <w:r>
        <w:t>. The following provides detailed information on expenses for each outcome and program, further broken down by funding source.</w:t>
      </w:r>
    </w:p>
    <w:p w:rsidR="00FD26B4" w:rsidRDefault="00BA7A7F" w:rsidP="00FD26B4">
      <w:pPr>
        <w:pBdr>
          <w:top w:val="single" w:sz="4" w:space="1" w:color="auto"/>
          <w:left w:val="single" w:sz="4" w:space="4" w:color="auto"/>
          <w:bottom w:val="single" w:sz="4" w:space="1" w:color="auto"/>
          <w:right w:val="single" w:sz="4" w:space="4" w:color="auto"/>
        </w:pBdr>
        <w:spacing w:after="120" w:line="240" w:lineRule="auto"/>
        <w:rPr>
          <w:b/>
        </w:rPr>
      </w:pPr>
      <w:r>
        <w:rPr>
          <w:b/>
        </w:rPr>
        <w:t>Note:</w:t>
      </w:r>
    </w:p>
    <w:p w:rsidR="004646DE" w:rsidRDefault="00BA7A7F" w:rsidP="00B152E4">
      <w:pPr>
        <w:pBdr>
          <w:top w:val="single" w:sz="4" w:space="1" w:color="auto"/>
          <w:left w:val="single" w:sz="4" w:space="4" w:color="auto"/>
          <w:bottom w:val="single" w:sz="4" w:space="1" w:color="auto"/>
          <w:right w:val="single" w:sz="4" w:space="4" w:color="auto"/>
        </w:pBdr>
      </w:pPr>
      <w:r w:rsidRPr="004646DE">
        <w:t xml:space="preserve">Performance reporting requirements in the Portfolio Budget Statements are part of the Commonwealth performance framework established by the </w:t>
      </w:r>
      <w:r w:rsidRPr="004646DE">
        <w:rPr>
          <w:i/>
        </w:rPr>
        <w:t>Public Governance, Performance and Accountability Act 2013</w:t>
      </w:r>
      <w:r w:rsidRPr="004646DE">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rsidR="00B577B7" w:rsidRDefault="00BA7A7F" w:rsidP="00B577B7">
      <w:pPr>
        <w:pBdr>
          <w:top w:val="single" w:sz="4" w:space="1" w:color="auto"/>
          <w:left w:val="single" w:sz="4" w:space="4" w:color="auto"/>
          <w:bottom w:val="single" w:sz="4" w:space="1" w:color="auto"/>
          <w:right w:val="single" w:sz="4" w:space="4" w:color="auto"/>
        </w:pBdr>
        <w:spacing w:after="0"/>
      </w:pPr>
      <w:r>
        <w:t>The most recent corporate plan for the CEFC can be found at:</w:t>
      </w:r>
    </w:p>
    <w:p w:rsidR="00B152E4" w:rsidRDefault="00BA7A7F" w:rsidP="00B152E4">
      <w:pPr>
        <w:pBdr>
          <w:top w:val="single" w:sz="4" w:space="1" w:color="auto"/>
          <w:left w:val="single" w:sz="4" w:space="4" w:color="auto"/>
          <w:bottom w:val="single" w:sz="4" w:space="1" w:color="auto"/>
          <w:right w:val="single" w:sz="4" w:space="4" w:color="auto"/>
        </w:pBdr>
      </w:pPr>
      <w:r w:rsidRPr="0050237E">
        <w:rPr>
          <w:rStyle w:val="Hyperlink"/>
        </w:rPr>
        <w:t>https://www.cefc.com.au/who-we-are/how-we-operate/corporate-plan/</w:t>
      </w:r>
    </w:p>
    <w:p w:rsidR="00B577B7" w:rsidRDefault="00BA7A7F" w:rsidP="00B577B7">
      <w:pPr>
        <w:pBdr>
          <w:top w:val="single" w:sz="4" w:space="1" w:color="auto"/>
          <w:left w:val="single" w:sz="4" w:space="4" w:color="auto"/>
          <w:bottom w:val="single" w:sz="4" w:space="1" w:color="auto"/>
          <w:right w:val="single" w:sz="4" w:space="4" w:color="auto"/>
        </w:pBdr>
        <w:spacing w:after="0"/>
      </w:pPr>
      <w:r>
        <w:t>The most recent annual performance statement can be found at:</w:t>
      </w:r>
    </w:p>
    <w:p w:rsidR="00342049" w:rsidRDefault="00BA7A7F" w:rsidP="00B577B7">
      <w:pPr>
        <w:pBdr>
          <w:top w:val="single" w:sz="4" w:space="1" w:color="auto"/>
          <w:left w:val="single" w:sz="4" w:space="4" w:color="auto"/>
          <w:bottom w:val="single" w:sz="4" w:space="1" w:color="auto"/>
          <w:right w:val="single" w:sz="4" w:space="4" w:color="auto"/>
        </w:pBdr>
        <w:spacing w:after="0"/>
      </w:pPr>
      <w:r>
        <w:t>https://www.cefc.com.au/annual-report-2021/performance</w:t>
      </w:r>
    </w:p>
    <w:p w:rsidR="007D76B1" w:rsidRPr="00FB3A43" w:rsidRDefault="00BA7A7F" w:rsidP="000561EC">
      <w:pPr>
        <w:pStyle w:val="Heading3"/>
        <w:pageBreakBefore/>
        <w:rPr>
          <w:smallCaps w:val="0"/>
          <w:sz w:val="22"/>
          <w:szCs w:val="22"/>
        </w:rPr>
      </w:pPr>
      <w:bookmarkStart w:id="737" w:name="RG_MARKER_11969"/>
      <w:bookmarkStart w:id="738" w:name="RG_MARKER_11960"/>
      <w:bookmarkStart w:id="739" w:name="_Toc210703215_7"/>
      <w:bookmarkStart w:id="740" w:name="_Toc210698433_7"/>
      <w:bookmarkStart w:id="741" w:name="_Toc210646454_7"/>
      <w:bookmarkStart w:id="742" w:name="_Toc112137901_7"/>
      <w:bookmarkStart w:id="743" w:name="_Toc112137879_7"/>
      <w:bookmarkStart w:id="744" w:name="_Toc112212061_7"/>
      <w:bookmarkStart w:id="745" w:name="_Toc112211967_7"/>
      <w:bookmarkStart w:id="746" w:name="_Toc79467820_7"/>
      <w:bookmarkStart w:id="747" w:name="_Toc79406118_7"/>
      <w:bookmarkStart w:id="748" w:name="_Toc77998689_7"/>
      <w:bookmarkStart w:id="749" w:name="_Toc23563437_7"/>
      <w:bookmarkStart w:id="750" w:name="_Toc23560143_7"/>
      <w:bookmarkStart w:id="751" w:name="_Toc23559675_7"/>
      <w:bookmarkStart w:id="752" w:name="_Toc23559388_7"/>
      <w:bookmarkStart w:id="753" w:name="_Toc23559354_7"/>
      <w:bookmarkStart w:id="754" w:name="_Toc491773296_7"/>
      <w:bookmarkStart w:id="755" w:name="_Toc491771721_7"/>
      <w:bookmarkStart w:id="756" w:name="_Toc491032329_7"/>
      <w:bookmarkStart w:id="757" w:name="_Toc491032222_7"/>
      <w:bookmarkStart w:id="758" w:name="_Toc491032114_7"/>
      <w:bookmarkStart w:id="759" w:name="_Toc491031941_7"/>
      <w:bookmarkStart w:id="760" w:name="_Toc491031354_7"/>
      <w:bookmarkStart w:id="761" w:name="_Toc491030791_7"/>
      <w:bookmarkStart w:id="762" w:name="_Toc491030332_7"/>
      <w:bookmarkStart w:id="763" w:name="_Toc491029243_7"/>
      <w:bookmarkStart w:id="764" w:name="_Toc491015099_7"/>
      <w:bookmarkStart w:id="765" w:name="_Toc491014952_7"/>
      <w:bookmarkStart w:id="766" w:name="_Toc491014772_7"/>
      <w:bookmarkStart w:id="767" w:name="_Toc491014630_7"/>
      <w:bookmarkStart w:id="768" w:name="_Toc490972410_7"/>
      <w:bookmarkStart w:id="769" w:name="_Toc449255766_7"/>
      <w:bookmarkStart w:id="770" w:name="_Toc436625446_7"/>
      <w:bookmarkStart w:id="771" w:name="_Toc436624145_7"/>
      <w:r w:rsidRPr="00FB3A43">
        <w:rPr>
          <w:smallCaps w:val="0"/>
          <w:sz w:val="22"/>
          <w:szCs w:val="22"/>
        </w:rPr>
        <w:t>2.1</w:t>
      </w:r>
      <w:bookmarkEnd w:id="737"/>
      <w:bookmarkEnd w:id="738"/>
      <w:r w:rsidRPr="00FB3A43">
        <w:rPr>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253274" w:rsidTr="00F16F0A">
        <w:tc>
          <w:tcPr>
            <w:tcW w:w="7713" w:type="dxa"/>
            <w:tcBorders>
              <w:top w:val="single" w:sz="2" w:space="0" w:color="auto"/>
              <w:left w:val="single" w:sz="2" w:space="0" w:color="auto"/>
              <w:bottom w:val="single" w:sz="2" w:space="0" w:color="auto"/>
              <w:right w:val="single" w:sz="2" w:space="0" w:color="auto"/>
            </w:tcBorders>
            <w:shd w:val="clear" w:color="auto" w:fill="E6E6E6"/>
            <w:hideMark/>
          </w:tcP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rsidR="00F16F0A" w:rsidRDefault="00BA7A7F" w:rsidP="00CE1CCB">
            <w:pPr>
              <w:pStyle w:val="TableColumnHeadingLeft"/>
              <w:keepLines/>
            </w:pPr>
            <w:r>
              <w:rPr>
                <w:color w:val="000000"/>
              </w:rPr>
              <w:t>Outcome 1: Facilitate increased flows of finance into Australia’s clean energy sector, applying commercial rigour to investing in renewable energy, low emissions and energy efficiency technologies, building industry capacity, and disseminating information to industry stakeholders</w:t>
            </w:r>
          </w:p>
        </w:tc>
      </w:tr>
    </w:tbl>
    <w:p w:rsidR="00F16F0A" w:rsidRDefault="00BA7A7F" w:rsidP="000561EC">
      <w:pPr>
        <w:pStyle w:val="Heading4"/>
        <w:spacing w:before="240"/>
        <w:rPr>
          <w:rFonts w:cs="Arial"/>
          <w:sz w:val="20"/>
        </w:rPr>
      </w:pPr>
      <w:r w:rsidRPr="00FB3A43">
        <w:rPr>
          <w:rFonts w:cs="Arial"/>
          <w:sz w:val="20"/>
        </w:rPr>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253274" w:rsidTr="00CF11F2">
        <w:trPr>
          <w:trHeight w:val="113"/>
        </w:trPr>
        <w:tc>
          <w:tcPr>
            <w:tcW w:w="7592" w:type="dxa"/>
            <w:tcBorders>
              <w:top w:val="single" w:sz="4" w:space="0" w:color="auto"/>
              <w:left w:val="single" w:sz="4" w:space="0" w:color="auto"/>
              <w:bottom w:val="dotted" w:sz="4" w:space="0" w:color="auto"/>
              <w:right w:val="single" w:sz="4" w:space="0" w:color="auto"/>
            </w:tcBorders>
            <w:hideMark/>
          </w:tcPr>
          <w:p w:rsidR="00A11312" w:rsidRPr="007800EB" w:rsidRDefault="00BA7A7F" w:rsidP="00CF11F2">
            <w:pPr>
              <w:spacing w:before="60" w:after="60" w:line="240" w:lineRule="auto"/>
              <w:rPr>
                <w:b/>
              </w:rPr>
            </w:pPr>
            <w:r w:rsidRPr="007800EB">
              <w:rPr>
                <w:b/>
              </w:rPr>
              <w:t>Department of Industry, Science, Energy and Resources</w:t>
            </w:r>
          </w:p>
        </w:tc>
      </w:tr>
      <w:tr w:rsidR="00253274" w:rsidTr="00CF11F2">
        <w:trPr>
          <w:trHeight w:val="113"/>
        </w:trPr>
        <w:tc>
          <w:tcPr>
            <w:tcW w:w="7592" w:type="dxa"/>
            <w:tcBorders>
              <w:top w:val="dotted" w:sz="4" w:space="0" w:color="auto"/>
              <w:left w:val="single" w:sz="4" w:space="0" w:color="auto"/>
              <w:bottom w:val="single" w:sz="4" w:space="0" w:color="auto"/>
              <w:right w:val="single" w:sz="4" w:space="0" w:color="auto"/>
            </w:tcBorders>
            <w:hideMark/>
          </w:tcPr>
          <w:p w:rsidR="00A11312" w:rsidRPr="007800EB" w:rsidRDefault="00BA7A7F" w:rsidP="00CF11F2">
            <w:pPr>
              <w:spacing w:before="60" w:after="60" w:line="240" w:lineRule="auto"/>
              <w:rPr>
                <w:b/>
              </w:rPr>
            </w:pPr>
            <w:r w:rsidRPr="007800EB">
              <w:rPr>
                <w:b/>
              </w:rPr>
              <w:t>Programs</w:t>
            </w:r>
          </w:p>
          <w:p w:rsidR="00A11312" w:rsidRPr="007800EB" w:rsidRDefault="00BA7A7F" w:rsidP="00CF11F2">
            <w:pPr>
              <w:keepLines w:val="0"/>
              <w:numPr>
                <w:ilvl w:val="0"/>
                <w:numId w:val="75"/>
              </w:numPr>
              <w:spacing w:before="60" w:after="60" w:line="240" w:lineRule="auto"/>
              <w:ind w:left="714" w:hanging="357"/>
            </w:pPr>
            <w:r w:rsidRPr="007800EB">
              <w:t>Program 2.1 – Reducing Australia’s greenhouse gas emissions</w:t>
            </w:r>
          </w:p>
          <w:p w:rsidR="00A11312" w:rsidRPr="007800EB" w:rsidRDefault="00BA7A7F" w:rsidP="00CF11F2">
            <w:pPr>
              <w:keepLines w:val="0"/>
              <w:numPr>
                <w:ilvl w:val="0"/>
                <w:numId w:val="75"/>
              </w:numPr>
              <w:spacing w:before="60" w:after="60" w:line="240" w:lineRule="auto"/>
              <w:ind w:left="714" w:hanging="357"/>
            </w:pPr>
            <w:r w:rsidRPr="007800EB">
              <w:t>Program 2.2 – Developing clean energy technology</w:t>
            </w:r>
          </w:p>
          <w:p w:rsidR="00A11312" w:rsidRPr="007800EB" w:rsidRDefault="00BA7A7F" w:rsidP="00A11312">
            <w:pPr>
              <w:keepLines w:val="0"/>
              <w:numPr>
                <w:ilvl w:val="0"/>
                <w:numId w:val="75"/>
              </w:numPr>
              <w:spacing w:before="60" w:after="60" w:line="240" w:lineRule="auto"/>
              <w:ind w:left="714" w:hanging="357"/>
            </w:pPr>
            <w:r w:rsidRPr="007800EB">
              <w:t xml:space="preserve">Program 3.1 – </w:t>
            </w:r>
            <w:r>
              <w:t>Supporting reliable, secure and affordable energy</w:t>
            </w:r>
          </w:p>
        </w:tc>
      </w:tr>
      <w:tr w:rsidR="00253274" w:rsidTr="00CF11F2">
        <w:trPr>
          <w:trHeight w:val="113"/>
        </w:trPr>
        <w:tc>
          <w:tcPr>
            <w:tcW w:w="7592" w:type="dxa"/>
            <w:tcBorders>
              <w:top w:val="single" w:sz="4" w:space="0" w:color="auto"/>
              <w:left w:val="single" w:sz="4" w:space="0" w:color="auto"/>
              <w:bottom w:val="single" w:sz="4" w:space="0" w:color="auto"/>
              <w:right w:val="single" w:sz="4" w:space="0" w:color="auto"/>
            </w:tcBorders>
            <w:hideMark/>
          </w:tcPr>
          <w:p w:rsidR="00A11312" w:rsidRPr="007800EB" w:rsidRDefault="00BA7A7F" w:rsidP="00CF11F2">
            <w:pPr>
              <w:spacing w:before="60" w:after="60" w:line="240" w:lineRule="auto"/>
              <w:rPr>
                <w:b/>
              </w:rPr>
            </w:pPr>
            <w:r w:rsidRPr="007800EB">
              <w:rPr>
                <w:b/>
              </w:rPr>
              <w:t>Contribution to Outcome 1 made by linked programs</w:t>
            </w:r>
          </w:p>
          <w:p w:rsidR="00A11312" w:rsidRPr="007800EB" w:rsidRDefault="00BA7A7F" w:rsidP="00CF11F2">
            <w:pPr>
              <w:spacing w:before="60" w:after="60" w:line="240" w:lineRule="auto"/>
            </w:pPr>
            <w:r w:rsidRPr="007800EB">
              <w:t>The Department of Industry, Science, Energy and Resources has responsibility for policies that reduce Australia’s greenhouse gas emissions, contribute to effective global action on climate change, and support technological innovation in clean and renewable energy, through developing and implementing a national response to climate change.</w:t>
            </w:r>
          </w:p>
          <w:p w:rsidR="00A11312" w:rsidRPr="007800EB" w:rsidRDefault="00BA7A7F" w:rsidP="00CF11F2">
            <w:pPr>
              <w:spacing w:before="60" w:after="60" w:line="240" w:lineRule="auto"/>
            </w:pPr>
            <w:r>
              <w:t>The department</w:t>
            </w:r>
            <w:r w:rsidRPr="007800EB">
              <w:t xml:space="preserve"> also support</w:t>
            </w:r>
            <w:r>
              <w:t>s</w:t>
            </w:r>
            <w:r w:rsidRPr="007800EB">
              <w:t xml:space="preserve"> the affordable, reliable, secure and competitive operation of energy markets for the long-term benefit of the Australian community through improving Australia’s energy supply, efficiency, quality, performance and productivity.</w:t>
            </w:r>
          </w:p>
          <w:p w:rsidR="00A11312" w:rsidRPr="007800EB" w:rsidRDefault="00BA7A7F" w:rsidP="00CF11F2">
            <w:pPr>
              <w:spacing w:before="60" w:after="60" w:line="240" w:lineRule="auto"/>
              <w:rPr>
                <w:b/>
              </w:rPr>
            </w:pPr>
            <w:r w:rsidRPr="007800EB">
              <w:t>The Clean Energy Finance Corporation contributes to these programs by facilitating increased flows of finance into the clean energy sector.</w:t>
            </w:r>
          </w:p>
        </w:tc>
      </w:tr>
      <w:tr w:rsidR="00253274" w:rsidTr="000B5057">
        <w:trPr>
          <w:trHeight w:val="113"/>
        </w:trPr>
        <w:tc>
          <w:tcPr>
            <w:tcW w:w="7592" w:type="dxa"/>
            <w:tcBorders>
              <w:top w:val="single" w:sz="4" w:space="0" w:color="auto"/>
              <w:left w:val="single" w:sz="4" w:space="0" w:color="auto"/>
              <w:bottom w:val="dotted" w:sz="4" w:space="0" w:color="auto"/>
              <w:right w:val="single" w:sz="4" w:space="0" w:color="auto"/>
            </w:tcBorders>
            <w:hideMark/>
          </w:tcPr>
          <w:p w:rsidR="00F16F0A" w:rsidRPr="007800EB" w:rsidRDefault="00BA7A7F">
            <w:pPr>
              <w:pStyle w:val="ExampleText0"/>
              <w:spacing w:before="60" w:after="60" w:line="240" w:lineRule="auto"/>
              <w:rPr>
                <w:color w:val="auto"/>
              </w:rPr>
            </w:pPr>
            <w:r w:rsidRPr="007800EB">
              <w:rPr>
                <w:rStyle w:val="ExampletextCharChar"/>
                <w:b/>
                <w:color w:val="auto"/>
              </w:rPr>
              <w:t>Department of Agriculture, Water and the Environment</w:t>
            </w:r>
          </w:p>
        </w:tc>
      </w:tr>
      <w:tr w:rsidR="00253274" w:rsidTr="000B5057">
        <w:trPr>
          <w:trHeight w:val="113"/>
        </w:trPr>
        <w:tc>
          <w:tcPr>
            <w:tcW w:w="7592" w:type="dxa"/>
            <w:tcBorders>
              <w:top w:val="dotted" w:sz="4" w:space="0" w:color="auto"/>
              <w:left w:val="single" w:sz="4" w:space="0" w:color="auto"/>
              <w:bottom w:val="single" w:sz="4" w:space="0" w:color="auto"/>
              <w:right w:val="single" w:sz="4" w:space="0" w:color="auto"/>
            </w:tcBorders>
            <w:hideMark/>
          </w:tcPr>
          <w:p w:rsidR="00F16F0A" w:rsidRPr="007800EB" w:rsidRDefault="00BA7A7F">
            <w:pPr>
              <w:spacing w:before="60" w:after="60" w:line="240" w:lineRule="auto"/>
              <w:rPr>
                <w:rStyle w:val="ExampletextCharChar"/>
                <w:b/>
                <w:i w:val="0"/>
                <w:iCs/>
                <w:color w:val="auto"/>
              </w:rPr>
            </w:pPr>
            <w:r w:rsidRPr="007800EB">
              <w:rPr>
                <w:rStyle w:val="ExampletextCharChar"/>
                <w:b/>
                <w:i w:val="0"/>
                <w:iCs/>
                <w:color w:val="auto"/>
              </w:rPr>
              <w:t>Programs</w:t>
            </w:r>
          </w:p>
          <w:p w:rsidR="00C36C56" w:rsidRPr="007800EB" w:rsidRDefault="00BA7A7F" w:rsidP="000561EC">
            <w:pPr>
              <w:pStyle w:val="ListParagraph"/>
              <w:keepLines/>
              <w:numPr>
                <w:ilvl w:val="0"/>
                <w:numId w:val="76"/>
              </w:numPr>
              <w:spacing w:before="60" w:after="60" w:line="240" w:lineRule="auto"/>
              <w:ind w:left="714" w:hanging="357"/>
              <w:jc w:val="left"/>
              <w:rPr>
                <w:rStyle w:val="ExampletextCharChar"/>
                <w:rFonts w:eastAsiaTheme="minorHAnsi"/>
                <w:i w:val="0"/>
                <w:iCs/>
                <w:color w:val="auto"/>
              </w:rPr>
            </w:pPr>
            <w:r w:rsidRPr="007800EB">
              <w:rPr>
                <w:rStyle w:val="ExampletextCharChar"/>
                <w:rFonts w:eastAsiaTheme="minorHAnsi"/>
                <w:i w:val="0"/>
                <w:iCs/>
                <w:color w:val="auto"/>
              </w:rPr>
              <w:t>Program 1.1 – Sustainable Management of Natural Resources and the Environment</w:t>
            </w:r>
          </w:p>
          <w:p w:rsidR="00F16F0A" w:rsidRPr="007800EB" w:rsidRDefault="00BA7A7F" w:rsidP="000561EC">
            <w:pPr>
              <w:pStyle w:val="ListParagraph"/>
              <w:keepLines/>
              <w:numPr>
                <w:ilvl w:val="0"/>
                <w:numId w:val="76"/>
              </w:numPr>
              <w:spacing w:before="60" w:after="60" w:line="240" w:lineRule="auto"/>
              <w:ind w:left="714" w:hanging="357"/>
              <w:jc w:val="left"/>
              <w:rPr>
                <w:rStyle w:val="ExampletextCharChar"/>
                <w:rFonts w:eastAsiaTheme="minorHAnsi"/>
                <w:i w:val="0"/>
                <w:iCs/>
                <w:color w:val="auto"/>
              </w:rPr>
            </w:pPr>
            <w:r w:rsidRPr="007800EB">
              <w:rPr>
                <w:rStyle w:val="ExampletextCharChar"/>
                <w:rFonts w:eastAsiaTheme="minorHAnsi"/>
                <w:i w:val="0"/>
                <w:iCs/>
                <w:color w:val="auto"/>
              </w:rPr>
              <w:t>Program 1.6 – Management of Hazardous Wastes, Substances and Pollutants</w:t>
            </w:r>
          </w:p>
        </w:tc>
      </w:tr>
      <w:tr w:rsidR="00253274" w:rsidTr="000B5057">
        <w:trPr>
          <w:trHeight w:val="113"/>
        </w:trPr>
        <w:tc>
          <w:tcPr>
            <w:tcW w:w="7592" w:type="dxa"/>
            <w:tcBorders>
              <w:top w:val="single" w:sz="4" w:space="0" w:color="auto"/>
              <w:left w:val="single" w:sz="4" w:space="0" w:color="auto"/>
              <w:bottom w:val="single" w:sz="4" w:space="0" w:color="auto"/>
              <w:right w:val="single" w:sz="4" w:space="0" w:color="auto"/>
            </w:tcBorders>
            <w:hideMark/>
          </w:tcPr>
          <w:p w:rsidR="00F16F0A" w:rsidRPr="007800EB" w:rsidRDefault="00BA7A7F">
            <w:pPr>
              <w:spacing w:before="60" w:after="60" w:line="240" w:lineRule="auto"/>
              <w:rPr>
                <w:rStyle w:val="ExampletextCharChar"/>
                <w:b/>
                <w:i w:val="0"/>
                <w:iCs/>
                <w:color w:val="auto"/>
              </w:rPr>
            </w:pPr>
            <w:r w:rsidRPr="007800EB">
              <w:rPr>
                <w:rStyle w:val="ExampletextCharChar"/>
                <w:b/>
                <w:i w:val="0"/>
                <w:iCs/>
                <w:color w:val="auto"/>
              </w:rPr>
              <w:t>Contribution to Outcome 1 made by linked programs</w:t>
            </w:r>
          </w:p>
          <w:p w:rsidR="00F16F0A" w:rsidRPr="007800EB" w:rsidRDefault="00BA7A7F" w:rsidP="00C36C56">
            <w:pPr>
              <w:spacing w:before="60" w:after="60" w:line="240" w:lineRule="auto"/>
              <w:rPr>
                <w:rStyle w:val="ExampletextCharChar"/>
                <w:b/>
                <w:i w:val="0"/>
                <w:color w:val="auto"/>
              </w:rPr>
            </w:pPr>
            <w:r w:rsidRPr="007800EB">
              <w:t>The Clean Energy Finance Corporation contributes to policies that reduce waste and increase domestic recycling capacity. CEFC makes available funding to the Clean Energy Innovation Fund and Reef Funding Program. Through the Australian Recycling Investment Fund</w:t>
            </w:r>
            <w:r>
              <w:t>,</w:t>
            </w:r>
            <w:r w:rsidRPr="007800EB">
              <w:t xml:space="preserve"> CEFC provides flows of finance into clean energy technologies that support the recycling of waste, in particular wastes that are — or by 1 July 2024 will be — banned for export.</w:t>
            </w:r>
          </w:p>
        </w:tc>
      </w:tr>
    </w:tbl>
    <w:p w:rsidR="007755E3" w:rsidRDefault="00BA7A7F">
      <w:r>
        <w:rPr>
          <w:i/>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253274" w:rsidTr="000B5057">
        <w:trPr>
          <w:trHeight w:val="113"/>
        </w:trPr>
        <w:tc>
          <w:tcPr>
            <w:tcW w:w="7592" w:type="dxa"/>
            <w:tcBorders>
              <w:top w:val="single" w:sz="4" w:space="0" w:color="auto"/>
              <w:left w:val="single" w:sz="4" w:space="0" w:color="auto"/>
              <w:bottom w:val="dotted" w:sz="4" w:space="0" w:color="auto"/>
              <w:right w:val="single" w:sz="4" w:space="0" w:color="auto"/>
            </w:tcBorders>
            <w:hideMark/>
          </w:tcPr>
          <w:p w:rsidR="00F16F0A" w:rsidRPr="007800EB" w:rsidRDefault="00BA7A7F">
            <w:pPr>
              <w:pStyle w:val="ExampleText0"/>
              <w:spacing w:before="60" w:after="60" w:line="240" w:lineRule="auto"/>
              <w:rPr>
                <w:b/>
                <w:i w:val="0"/>
                <w:color w:val="auto"/>
              </w:rPr>
            </w:pPr>
            <w:r w:rsidRPr="007800EB">
              <w:rPr>
                <w:rStyle w:val="ExampletextCharChar"/>
                <w:b/>
                <w:color w:val="auto"/>
              </w:rPr>
              <w:t>Australian Renewable Energy Agency</w:t>
            </w:r>
          </w:p>
        </w:tc>
      </w:tr>
      <w:tr w:rsidR="00253274" w:rsidTr="000B5057">
        <w:trPr>
          <w:trHeight w:val="113"/>
        </w:trPr>
        <w:tc>
          <w:tcPr>
            <w:tcW w:w="7592" w:type="dxa"/>
            <w:tcBorders>
              <w:top w:val="dotted" w:sz="4" w:space="0" w:color="auto"/>
              <w:left w:val="single" w:sz="4" w:space="0" w:color="auto"/>
              <w:bottom w:val="single" w:sz="4" w:space="0" w:color="auto"/>
              <w:right w:val="single" w:sz="4" w:space="0" w:color="auto"/>
            </w:tcBorders>
            <w:hideMark/>
          </w:tcPr>
          <w:p w:rsidR="00F16F0A" w:rsidRPr="007800EB" w:rsidRDefault="00BA7A7F">
            <w:pPr>
              <w:pStyle w:val="ExampleText0"/>
              <w:spacing w:before="60" w:after="60" w:line="240" w:lineRule="auto"/>
              <w:rPr>
                <w:rStyle w:val="ExampletextCharChar"/>
                <w:color w:val="auto"/>
              </w:rPr>
            </w:pPr>
            <w:r w:rsidRPr="007800EB">
              <w:rPr>
                <w:rStyle w:val="ExampletextCharChar"/>
                <w:b/>
                <w:color w:val="auto"/>
              </w:rPr>
              <w:t>Program</w:t>
            </w:r>
          </w:p>
          <w:p w:rsidR="00F16F0A" w:rsidRPr="007800EB" w:rsidRDefault="00BA7A7F" w:rsidP="000622E4">
            <w:pPr>
              <w:keepLines w:val="0"/>
              <w:numPr>
                <w:ilvl w:val="0"/>
                <w:numId w:val="76"/>
              </w:numPr>
              <w:spacing w:before="60" w:after="60" w:line="240" w:lineRule="auto"/>
              <w:rPr>
                <w:rStyle w:val="ExampletextCharChar"/>
                <w:b/>
                <w:i w:val="0"/>
                <w:color w:val="auto"/>
              </w:rPr>
            </w:pPr>
            <w:r w:rsidRPr="007800EB">
              <w:rPr>
                <w:rStyle w:val="ExampletextCharChar"/>
                <w:i w:val="0"/>
                <w:color w:val="auto"/>
              </w:rPr>
              <w:t>Program 1.1 – Australian Renewable Energy Agency</w:t>
            </w:r>
          </w:p>
        </w:tc>
      </w:tr>
      <w:tr w:rsidR="00253274" w:rsidTr="000B5057">
        <w:trPr>
          <w:trHeight w:val="113"/>
        </w:trPr>
        <w:tc>
          <w:tcPr>
            <w:tcW w:w="7592" w:type="dxa"/>
            <w:tcBorders>
              <w:top w:val="single" w:sz="4" w:space="0" w:color="auto"/>
              <w:left w:val="single" w:sz="4" w:space="0" w:color="auto"/>
              <w:bottom w:val="single" w:sz="4" w:space="0" w:color="auto"/>
              <w:right w:val="single" w:sz="4" w:space="0" w:color="auto"/>
            </w:tcBorders>
            <w:hideMark/>
          </w:tcPr>
          <w:p w:rsidR="00F16F0A" w:rsidRPr="007800EB" w:rsidRDefault="00BA7A7F">
            <w:pPr>
              <w:pStyle w:val="ExampleText0"/>
              <w:spacing w:before="60" w:after="60" w:line="240" w:lineRule="auto"/>
              <w:rPr>
                <w:rStyle w:val="ExampletextCharChar"/>
                <w:b/>
                <w:color w:val="auto"/>
              </w:rPr>
            </w:pPr>
            <w:r w:rsidRPr="007800EB">
              <w:rPr>
                <w:rStyle w:val="ExampletextCharChar"/>
                <w:b/>
                <w:color w:val="auto"/>
              </w:rPr>
              <w:t>Contribution to Outcome 1 made by linked program</w:t>
            </w:r>
          </w:p>
          <w:p w:rsidR="00F16F0A" w:rsidRPr="007800EB" w:rsidRDefault="00BA7A7F" w:rsidP="00564718">
            <w:pPr>
              <w:pStyle w:val="ExampleText0"/>
              <w:spacing w:before="60" w:after="60" w:line="240" w:lineRule="auto"/>
              <w:rPr>
                <w:rStyle w:val="ExampletextCharChar"/>
                <w:color w:val="auto"/>
              </w:rPr>
            </w:pPr>
            <w:r w:rsidRPr="007800EB">
              <w:rPr>
                <w:i w:val="0"/>
                <w:color w:val="auto"/>
              </w:rPr>
              <w:t xml:space="preserve">The Clean Energy Innovation Fund is jointly managed by the Corporation and the Australian Renewable Energy Agency, drawing on their complementary experience and expertise. The Clean Energy Innovation Fund has up to </w:t>
            </w:r>
            <w:r>
              <w:rPr>
                <w:i w:val="0"/>
                <w:color w:val="auto"/>
              </w:rPr>
              <w:br/>
            </w:r>
            <w:r w:rsidRPr="007800EB">
              <w:rPr>
                <w:i w:val="0"/>
                <w:color w:val="auto"/>
              </w:rPr>
              <w:t xml:space="preserve">$200 million available for debt and equity investments in emerging clean energy projects and businesses, targeting projects at the later end of the innovation chain while delivering a financial return to taxpayers, in addition to the public good return of improving </w:t>
            </w:r>
            <w:r>
              <w:rPr>
                <w:i w:val="0"/>
                <w:color w:val="auto"/>
              </w:rPr>
              <w:t xml:space="preserve">the </w:t>
            </w:r>
            <w:r w:rsidRPr="007800EB">
              <w:rPr>
                <w:i w:val="0"/>
                <w:color w:val="auto"/>
              </w:rPr>
              <w:t>competitiveness of renewable energy and related technologies.</w:t>
            </w:r>
          </w:p>
        </w:tc>
      </w:tr>
      <w:tr w:rsidR="00253274" w:rsidTr="000B5057">
        <w:trPr>
          <w:trHeight w:val="113"/>
        </w:trPr>
        <w:tc>
          <w:tcPr>
            <w:tcW w:w="7592" w:type="dxa"/>
            <w:tcBorders>
              <w:top w:val="single" w:sz="4" w:space="0" w:color="auto"/>
              <w:left w:val="single" w:sz="4" w:space="0" w:color="auto"/>
              <w:bottom w:val="dotted" w:sz="4" w:space="0" w:color="auto"/>
              <w:right w:val="single" w:sz="4" w:space="0" w:color="auto"/>
            </w:tcBorders>
            <w:hideMark/>
          </w:tcPr>
          <w:p w:rsidR="00F16F0A" w:rsidRPr="007800EB" w:rsidRDefault="00BA7A7F">
            <w:pPr>
              <w:pStyle w:val="ExampleText0"/>
              <w:spacing w:before="60" w:after="60" w:line="240" w:lineRule="auto"/>
              <w:rPr>
                <w:color w:val="auto"/>
              </w:rPr>
            </w:pPr>
            <w:bookmarkStart w:id="772" w:name="_Hlk2006678"/>
            <w:r w:rsidRPr="00FB3A43">
              <w:br w:type="page"/>
            </w:r>
            <w:r w:rsidRPr="007800EB">
              <w:rPr>
                <w:i w:val="0"/>
                <w:color w:val="auto"/>
              </w:rPr>
              <w:br w:type="page"/>
            </w:r>
            <w:r w:rsidRPr="007800EB">
              <w:rPr>
                <w:rStyle w:val="ExampletextCharChar"/>
                <w:b/>
                <w:color w:val="auto"/>
              </w:rPr>
              <w:t>Great Barrier Reef Marine Park Authority</w:t>
            </w:r>
          </w:p>
        </w:tc>
      </w:tr>
      <w:tr w:rsidR="00253274" w:rsidTr="000B5057">
        <w:trPr>
          <w:trHeight w:val="113"/>
        </w:trPr>
        <w:tc>
          <w:tcPr>
            <w:tcW w:w="7592" w:type="dxa"/>
            <w:tcBorders>
              <w:top w:val="dotted" w:sz="4" w:space="0" w:color="auto"/>
              <w:left w:val="single" w:sz="4" w:space="0" w:color="auto"/>
              <w:bottom w:val="single" w:sz="4" w:space="0" w:color="auto"/>
              <w:right w:val="single" w:sz="4" w:space="0" w:color="auto"/>
            </w:tcBorders>
            <w:hideMark/>
          </w:tcPr>
          <w:p w:rsidR="00F16F0A" w:rsidRPr="007800EB" w:rsidRDefault="00BA7A7F">
            <w:pPr>
              <w:spacing w:before="60" w:after="60" w:line="240" w:lineRule="auto"/>
              <w:rPr>
                <w:rStyle w:val="ExampletextCharChar"/>
                <w:b/>
                <w:i w:val="0"/>
                <w:color w:val="auto"/>
              </w:rPr>
            </w:pPr>
            <w:r>
              <w:rPr>
                <w:rStyle w:val="ExampletextCharChar"/>
                <w:b/>
                <w:i w:val="0"/>
                <w:color w:val="auto"/>
              </w:rPr>
              <w:t>Program</w:t>
            </w:r>
          </w:p>
          <w:p w:rsidR="00F16F0A" w:rsidRPr="007800EB" w:rsidRDefault="00BA7A7F" w:rsidP="00E23C88">
            <w:pPr>
              <w:keepLines w:val="0"/>
              <w:numPr>
                <w:ilvl w:val="0"/>
                <w:numId w:val="76"/>
              </w:numPr>
              <w:spacing w:before="60" w:after="60" w:line="240" w:lineRule="auto"/>
              <w:rPr>
                <w:rStyle w:val="ExampletextCharChar"/>
                <w:i w:val="0"/>
                <w:color w:val="auto"/>
              </w:rPr>
            </w:pPr>
            <w:r w:rsidRPr="007800EB">
              <w:rPr>
                <w:rStyle w:val="ExampletextCharChar"/>
                <w:i w:val="0"/>
                <w:color w:val="auto"/>
              </w:rPr>
              <w:t>Program 1.1 – Great Barrier Reef Marine Park Authority</w:t>
            </w:r>
          </w:p>
        </w:tc>
      </w:tr>
      <w:tr w:rsidR="00253274" w:rsidTr="000B5057">
        <w:trPr>
          <w:trHeight w:val="113"/>
        </w:trPr>
        <w:tc>
          <w:tcPr>
            <w:tcW w:w="7592" w:type="dxa"/>
            <w:tcBorders>
              <w:top w:val="single" w:sz="4" w:space="0" w:color="auto"/>
              <w:left w:val="single" w:sz="4" w:space="0" w:color="auto"/>
              <w:bottom w:val="single" w:sz="4" w:space="0" w:color="auto"/>
              <w:right w:val="single" w:sz="4" w:space="0" w:color="auto"/>
            </w:tcBorders>
            <w:hideMark/>
          </w:tcPr>
          <w:p w:rsidR="00F16F0A" w:rsidRPr="007800EB" w:rsidRDefault="00BA7A7F">
            <w:pPr>
              <w:spacing w:before="60" w:after="60" w:line="240" w:lineRule="auto"/>
              <w:rPr>
                <w:rStyle w:val="ExampletextCharChar"/>
                <w:b/>
                <w:i w:val="0"/>
                <w:color w:val="auto"/>
              </w:rPr>
            </w:pPr>
            <w:r w:rsidRPr="007800EB">
              <w:rPr>
                <w:rStyle w:val="ExampletextCharChar"/>
                <w:b/>
                <w:i w:val="0"/>
                <w:color w:val="auto"/>
              </w:rPr>
              <w:t>Contribution to Outcome 1 made by linked program</w:t>
            </w:r>
          </w:p>
          <w:p w:rsidR="00F16F0A" w:rsidRPr="007800EB" w:rsidRDefault="00BA7A7F">
            <w:pPr>
              <w:spacing w:before="60" w:after="60" w:line="240" w:lineRule="auto"/>
              <w:rPr>
                <w:rStyle w:val="ExampletextCharChar"/>
                <w:b/>
                <w:i w:val="0"/>
                <w:color w:val="auto"/>
              </w:rPr>
            </w:pPr>
            <w:r w:rsidRPr="007800EB">
              <w:t xml:space="preserve">The Clean Energy Finance Corporation is making available up to $1 billion of investment finance over 10 years for the Reef Funding Program. The Program invests in clean energy projects delivered in the Great Barrier Reef catchment region. In targeting the financing of clean energy projects and businesses in the region, the Reef Funding Program supports delivery of the Australian and Queensland governments’ </w:t>
            </w:r>
            <w:r w:rsidRPr="007800EB">
              <w:rPr>
                <w:i/>
              </w:rPr>
              <w:t>Reef 2050 Plan</w:t>
            </w:r>
            <w:r w:rsidRPr="007800EB">
              <w:t>.</w:t>
            </w:r>
          </w:p>
        </w:tc>
      </w:tr>
      <w:bookmarkEnd w:id="772"/>
    </w:tbl>
    <w:p w:rsidR="00F16F0A" w:rsidRDefault="00F16F0A" w:rsidP="000B5057">
      <w:pPr>
        <w:keepLines w:val="0"/>
        <w:spacing w:after="200" w:line="276" w:lineRule="auto"/>
        <w:jc w:val="left"/>
        <w:rPr>
          <w:rFonts w:ascii="Arial" w:hAnsi="Arial" w:cs="Arial"/>
          <w:b/>
          <w:vanish/>
        </w:rPr>
      </w:pPr>
    </w:p>
    <w:p w:rsidR="005F792C" w:rsidRDefault="00BA7A7F" w:rsidP="005F792C">
      <w:pPr>
        <w:pStyle w:val="Heading5"/>
        <w:pageBreakBefore/>
        <w:spacing w:before="0" w:after="120" w:line="240" w:lineRule="auto"/>
        <w:rPr>
          <w:rFonts w:ascii="Arial" w:hAnsi="Arial" w:cs="Arial"/>
          <w:b/>
          <w:color w:val="000000"/>
        </w:rPr>
      </w:pPr>
      <w:bookmarkStart w:id="773" w:name="RG_MARKER_12331"/>
      <w:r>
        <w:rPr>
          <w:rFonts w:ascii="Arial" w:hAnsi="Arial" w:cs="Arial"/>
          <w:b/>
          <w:color w:val="000000"/>
        </w:rPr>
        <w:t>Budgeted expenses for Outcome 1</w:t>
      </w:r>
      <w:bookmarkEnd w:id="773"/>
    </w:p>
    <w:p w:rsidR="00996078" w:rsidRPr="00996078" w:rsidRDefault="00BA7A7F" w:rsidP="00996078">
      <w:r w:rsidRPr="00996078">
        <w:t xml:space="preserve">This table shows how much the entity intends to spend (on an accrual basis) on achieving the outcome, broken down by program, </w:t>
      </w:r>
      <w:r>
        <w:t>as well as by d</w:t>
      </w:r>
      <w:r w:rsidRPr="00996078">
        <w:t>epartmental funding sources.</w:t>
      </w:r>
    </w:p>
    <w:p w:rsidR="00996078" w:rsidRPr="00996078" w:rsidRDefault="00BA7A7F" w:rsidP="00996078">
      <w:pPr>
        <w:spacing w:after="20" w:line="240" w:lineRule="auto"/>
        <w:rPr>
          <w:rFonts w:ascii="Arial" w:hAnsi="Arial" w:cs="Arial"/>
          <w:b/>
        </w:rPr>
      </w:pPr>
      <w:r w:rsidRPr="00996078">
        <w:rPr>
          <w:rFonts w:ascii="Arial" w:hAnsi="Arial" w:cs="Arial"/>
          <w:b/>
        </w:rPr>
        <w:t>Table 2.1.1: Budgeted expenses for Outcome 1</w:t>
      </w:r>
    </w:p>
    <w:tbl>
      <w:tblPr>
        <w:tblStyle w:val="CDMRange1"/>
        <w:tblW w:w="7650" w:type="dxa"/>
        <w:tblLayout w:type="fixed"/>
        <w:tblLook w:val="0600" w:firstRow="0" w:lastRow="0" w:firstColumn="0" w:lastColumn="0" w:noHBand="1" w:noVBand="1"/>
      </w:tblPr>
      <w:tblGrid>
        <w:gridCol w:w="3300"/>
        <w:gridCol w:w="870"/>
        <w:gridCol w:w="870"/>
        <w:gridCol w:w="870"/>
        <w:gridCol w:w="870"/>
        <w:gridCol w:w="870"/>
      </w:tblGrid>
      <w:tr w:rsidR="00253274">
        <w:trPr>
          <w:trHeight w:val="675"/>
        </w:trPr>
        <w:tc>
          <w:tcPr>
            <w:tcW w:w="7650"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r>
              <w:rPr>
                <w:rFonts w:ascii="Arial" w:eastAsia="Arial" w:hAnsi="Arial" w:cs="Arial"/>
                <w:color w:val="000000"/>
                <w:sz w:val="16"/>
                <w:szCs w:val="22"/>
                <w:lang w:val="en-US" w:eastAsia="en-US"/>
              </w:rPr>
              <w:t xml:space="preserve"> Facilitate increased flows of finance into Australia's clean energy sector, applying commercial rigour to investing in renewable energy, low emissions and energy efficiency technologies, building industry capacity, and disseminating information to industry stakeholders</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 Estimated actual</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7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2022­23 </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rsidR="00253274" w:rsidRDefault="00253274">
            <w:pPr>
              <w:keepLines w:val="0"/>
              <w:spacing w:after="0" w:line="240" w:lineRule="auto"/>
              <w:jc w:val="right"/>
              <w:rPr>
                <w:rFonts w:ascii="Arial" w:eastAsia="Arial" w:hAnsi="Arial" w:cs="Arial"/>
                <w:color w:val="000000"/>
                <w:sz w:val="16"/>
                <w:szCs w:val="22"/>
                <w:lang w:val="en-US" w:eastAsia="en-US"/>
              </w:rPr>
            </w:pP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5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 Clean Energy Finance Corporation</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 (a)</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7,139</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8,821</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9,053</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8,390</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 in the</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budget year (b)</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79,472</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92,805</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107,053</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95,475</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119,669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Revenues from other independent sources </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47,128</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55,559</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57,331</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60,453</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67,822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133,739</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157,185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173,437</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164,318</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190,510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5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resource type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 (a)</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7,139</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8,821</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9,053</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8,390</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 in the</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budget year (b)</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79,472</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92,805</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107,053</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95,475</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119,669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 sources</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47,128</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55,559</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57,331</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60,453</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67,822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133,739</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157,185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173,437</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164,318</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190,510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3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7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4"/>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150</w:t>
            </w:r>
          </w:p>
        </w:tc>
        <w:tc>
          <w:tcPr>
            <w:tcW w:w="87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bl>
    <w:p w:rsidR="00A569CD" w:rsidRPr="00A569CD" w:rsidRDefault="00BA7A7F" w:rsidP="00723913">
      <w:pPr>
        <w:numPr>
          <w:ilvl w:val="0"/>
          <w:numId w:val="77"/>
        </w:numPr>
        <w:spacing w:after="0" w:line="240" w:lineRule="auto"/>
        <w:contextualSpacing/>
        <w:rPr>
          <w:szCs w:val="22"/>
          <w:lang w:eastAsia="en-US"/>
        </w:rPr>
      </w:pPr>
      <w:r w:rsidRPr="00A569CD">
        <w:rPr>
          <w:rFonts w:ascii="Arial" w:hAnsi="Arial" w:cs="Arial"/>
          <w:sz w:val="16"/>
          <w:szCs w:val="16"/>
          <w:lang w:eastAsia="en-US"/>
        </w:rPr>
        <w:t>Amounts relate to funding for estimated incremental operating expenses associated</w:t>
      </w:r>
      <w:r>
        <w:rPr>
          <w:rFonts w:ascii="Arial" w:hAnsi="Arial" w:cs="Arial"/>
          <w:sz w:val="16"/>
          <w:szCs w:val="16"/>
          <w:lang w:eastAsia="en-US"/>
        </w:rPr>
        <w:t xml:space="preserve"> with the Grid Reliability Fund a</w:t>
      </w:r>
      <w:r w:rsidRPr="00723913">
        <w:rPr>
          <w:rFonts w:ascii="Arial" w:hAnsi="Arial" w:cs="Arial"/>
          <w:sz w:val="16"/>
          <w:szCs w:val="16"/>
          <w:lang w:eastAsia="en-US"/>
        </w:rPr>
        <w:t>nd the Low Emissions Technology Commercialisation Fund.</w:t>
      </w:r>
    </w:p>
    <w:p w:rsidR="007E6680" w:rsidRPr="00256001" w:rsidRDefault="00BA7A7F" w:rsidP="009710B4">
      <w:pPr>
        <w:numPr>
          <w:ilvl w:val="0"/>
          <w:numId w:val="77"/>
        </w:numPr>
        <w:spacing w:after="0" w:line="240" w:lineRule="auto"/>
        <w:contextualSpacing/>
        <w:rPr>
          <w:szCs w:val="22"/>
          <w:lang w:eastAsia="en-US"/>
        </w:rPr>
      </w:pPr>
      <w:r w:rsidRPr="00996078">
        <w:rPr>
          <w:rFonts w:ascii="Arial" w:hAnsi="Arial" w:cs="Arial"/>
          <w:color w:val="000000"/>
          <w:sz w:val="16"/>
          <w:szCs w:val="16"/>
          <w:lang w:eastAsia="en-US"/>
        </w:rPr>
        <w:t xml:space="preserve">Expenses not </w:t>
      </w:r>
      <w:r>
        <w:rPr>
          <w:rFonts w:ascii="Arial" w:hAnsi="Arial" w:cs="Arial"/>
          <w:color w:val="000000"/>
          <w:sz w:val="16"/>
          <w:szCs w:val="16"/>
          <w:lang w:eastAsia="en-US"/>
        </w:rPr>
        <w:t>requiring appropriation in the B</w:t>
      </w:r>
      <w:r w:rsidRPr="00996078">
        <w:rPr>
          <w:rFonts w:ascii="Arial" w:hAnsi="Arial" w:cs="Arial"/>
          <w:color w:val="000000"/>
          <w:sz w:val="16"/>
          <w:szCs w:val="16"/>
          <w:lang w:eastAsia="en-US"/>
        </w:rPr>
        <w:t xml:space="preserve">udget year are non-cash charges in relation to concessional loans, write-down and impairment of assets, depreciation and amortisation and </w:t>
      </w:r>
      <w:r>
        <w:rPr>
          <w:rFonts w:ascii="Arial" w:hAnsi="Arial" w:cs="Arial"/>
          <w:color w:val="000000"/>
          <w:sz w:val="16"/>
          <w:szCs w:val="16"/>
          <w:lang w:eastAsia="en-US"/>
        </w:rPr>
        <w:t>s</w:t>
      </w:r>
      <w:r w:rsidRPr="00996078">
        <w:rPr>
          <w:rFonts w:ascii="Arial" w:hAnsi="Arial" w:cs="Arial"/>
          <w:color w:val="000000"/>
          <w:sz w:val="16"/>
          <w:szCs w:val="16"/>
          <w:lang w:eastAsia="en-US"/>
        </w:rPr>
        <w:t>hare of net loss from associates accounted for u</w:t>
      </w:r>
      <w:r>
        <w:rPr>
          <w:rFonts w:ascii="Arial" w:hAnsi="Arial" w:cs="Arial"/>
          <w:color w:val="000000"/>
          <w:sz w:val="16"/>
          <w:szCs w:val="16"/>
          <w:lang w:eastAsia="en-US"/>
        </w:rPr>
        <w:t>nder the equity method.</w:t>
      </w:r>
    </w:p>
    <w:p w:rsidR="00256001" w:rsidRPr="00256001" w:rsidRDefault="00BA7A7F" w:rsidP="00256001">
      <w:pPr>
        <w:spacing w:after="0" w:line="240" w:lineRule="auto"/>
        <w:contextualSpacing/>
        <w:rPr>
          <w:rFonts w:ascii="Arial" w:hAnsi="Arial" w:cs="Arial"/>
          <w:sz w:val="16"/>
          <w:szCs w:val="16"/>
          <w:lang w:eastAsia="en-US"/>
        </w:rPr>
      </w:pPr>
      <w:r w:rsidRPr="00256001">
        <w:rPr>
          <w:rFonts w:ascii="Arial" w:hAnsi="Arial" w:cs="Arial"/>
          <w:sz w:val="16"/>
          <w:szCs w:val="16"/>
          <w:lang w:eastAsia="en-US"/>
        </w:rPr>
        <w:t>Note: Departmental appropriation splits and totals are indicative estimates and may change in the course of the budget year as government priorities change.</w:t>
      </w:r>
    </w:p>
    <w:p w:rsidR="00D86095" w:rsidRDefault="00BA7A7F" w:rsidP="00581AC3">
      <w:pPr>
        <w:pStyle w:val="TableHeading"/>
        <w:keepLines/>
        <w:pageBreakBefore/>
        <w:spacing w:after="0"/>
      </w:pPr>
      <w:bookmarkStart w:id="774" w:name="RG_MARKER_12225"/>
      <w:r w:rsidRPr="002E3447">
        <w:t>Table 2.1</w:t>
      </w:r>
      <w:bookmarkEnd w:id="774"/>
      <w:r>
        <w:t>.2</w:t>
      </w:r>
      <w:r w:rsidRPr="002E3447">
        <w:t xml:space="preserve">: </w:t>
      </w:r>
      <w:r>
        <w:t xml:space="preserve">Performance measure for </w:t>
      </w:r>
      <w:r w:rsidRPr="002E3447">
        <w:t>Outcome 1</w:t>
      </w:r>
    </w:p>
    <w:p w:rsidR="0086046C" w:rsidRPr="0086046C" w:rsidRDefault="00BA7A7F" w:rsidP="0086046C">
      <w:r>
        <w:t xml:space="preserve">Table 2.1.2 below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53274" w:rsidTr="002C6A9F">
        <w:trPr>
          <w:trHeight w:val="569"/>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86046C" w:rsidRPr="0086046C" w:rsidRDefault="00BA7A7F" w:rsidP="0086046C">
            <w:pPr>
              <w:keepLines w:val="0"/>
              <w:spacing w:before="60" w:after="60" w:line="240" w:lineRule="auto"/>
              <w:jc w:val="left"/>
              <w:rPr>
                <w:rFonts w:ascii="Arial" w:hAnsi="Arial"/>
                <w:b/>
              </w:rPr>
            </w:pPr>
            <w:r w:rsidRPr="00B43356">
              <w:rPr>
                <w:rFonts w:ascii="Arial" w:hAnsi="Arial"/>
                <w:b/>
                <w:color w:val="000000"/>
                <w:lang w:val="x-none" w:eastAsia="x-none"/>
              </w:rPr>
              <w:t xml:space="preserve">Outcome </w:t>
            </w:r>
            <w:r w:rsidRPr="00B43356">
              <w:rPr>
                <w:rFonts w:ascii="Arial" w:hAnsi="Arial"/>
                <w:b/>
                <w:color w:val="000000"/>
                <w:lang w:val="en-US" w:eastAsia="x-none"/>
              </w:rPr>
              <w:t>1</w:t>
            </w:r>
            <w:r w:rsidRPr="00B43356">
              <w:rPr>
                <w:rFonts w:ascii="Arial" w:hAnsi="Arial"/>
                <w:b/>
                <w:lang w:val="en-US"/>
              </w:rPr>
              <w:t xml:space="preserve"> </w:t>
            </w:r>
            <w:r w:rsidRPr="00B43356">
              <w:rPr>
                <w:rFonts w:ascii="Arial" w:hAnsi="Arial"/>
                <w:b/>
              </w:rPr>
              <w:t xml:space="preserve">– </w:t>
            </w:r>
            <w:r w:rsidRPr="00B43356">
              <w:rPr>
                <w:rFonts w:ascii="Arial" w:hAnsi="Arial"/>
                <w:b/>
                <w:bCs/>
                <w:iCs/>
              </w:rPr>
              <w:t>Facilitate increased flows of finance into Australia’s clean energy sector, applying commercial</w:t>
            </w:r>
            <w:r w:rsidRPr="0086046C">
              <w:rPr>
                <w:rFonts w:ascii="Arial" w:hAnsi="Arial"/>
                <w:b/>
                <w:bCs/>
                <w:iCs/>
              </w:rPr>
              <w:t xml:space="preserve"> rigour to investing in renewable energy, low emissions and energy efficiency technologies, building industry capacity, and disseminating infor</w:t>
            </w:r>
            <w:r>
              <w:rPr>
                <w:rFonts w:ascii="Arial" w:hAnsi="Arial"/>
                <w:b/>
                <w:bCs/>
                <w:iCs/>
              </w:rPr>
              <w:t>mation to industry stakeholders</w:t>
            </w:r>
          </w:p>
        </w:tc>
      </w:tr>
      <w:tr w:rsidR="00253274" w:rsidTr="002C6A9F">
        <w:trPr>
          <w:trHeight w:val="522"/>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86046C" w:rsidRPr="0086046C" w:rsidRDefault="00BA7A7F" w:rsidP="00F918B2">
            <w:pPr>
              <w:keepLines w:val="0"/>
              <w:spacing w:before="60" w:after="60" w:line="240" w:lineRule="auto"/>
              <w:jc w:val="left"/>
              <w:rPr>
                <w:rFonts w:ascii="Arial" w:eastAsia="Arial" w:hAnsi="Arial" w:cs="Arial"/>
                <w:b/>
                <w:sz w:val="18"/>
                <w:szCs w:val="22"/>
                <w:lang w:val="en-US" w:eastAsia="en-US"/>
              </w:rPr>
            </w:pPr>
            <w:r w:rsidRPr="0086046C">
              <w:rPr>
                <w:rFonts w:ascii="Arial" w:eastAsia="Calibri" w:hAnsi="Arial" w:cs="Arial"/>
                <w:b/>
                <w:sz w:val="18"/>
                <w:szCs w:val="22"/>
                <w:lang w:val="en-US" w:eastAsia="en-US"/>
              </w:rPr>
              <w:t xml:space="preserve">Program 1.1- </w:t>
            </w:r>
            <w:r w:rsidRPr="0086046C">
              <w:rPr>
                <w:rFonts w:ascii="Arial" w:eastAsia="Arial" w:hAnsi="Arial" w:cs="Arial"/>
                <w:b/>
                <w:sz w:val="18"/>
                <w:szCs w:val="22"/>
                <w:lang w:val="en-US" w:eastAsia="en-US"/>
              </w:rPr>
              <w:t>Clean Energy Finance Corporation</w:t>
            </w:r>
          </w:p>
          <w:p w:rsidR="0086046C" w:rsidRPr="002C6A9F" w:rsidRDefault="00BA7A7F" w:rsidP="00F918B2">
            <w:pPr>
              <w:keepLines w:val="0"/>
              <w:spacing w:before="60" w:after="60" w:line="240" w:lineRule="auto"/>
              <w:jc w:val="left"/>
              <w:rPr>
                <w:rFonts w:ascii="Arial" w:hAnsi="Arial" w:cs="Arial"/>
                <w:sz w:val="16"/>
                <w:szCs w:val="16"/>
                <w:lang w:val="en-US" w:eastAsia="en-US"/>
              </w:rPr>
            </w:pPr>
            <w:r w:rsidRPr="002C6A9F">
              <w:rPr>
                <w:rFonts w:ascii="Arial" w:eastAsia="Calibri" w:hAnsi="Arial" w:cs="Arial"/>
                <w:sz w:val="16"/>
                <w:szCs w:val="16"/>
                <w:lang w:val="en-US" w:eastAsia="en-US"/>
              </w:rPr>
              <w:t>The Clean Energy Finance Corporation’s mission is: “To accelerate Australia’s transformation towards a more competitive economy in a carbon constrained world, by acting as a catalyst to increase investment in emissions reduction” through:</w:t>
            </w:r>
          </w:p>
          <w:p w:rsidR="0086046C" w:rsidRPr="002C6A9F" w:rsidRDefault="00BA7A7F" w:rsidP="0086046C">
            <w:pPr>
              <w:keepLines w:val="0"/>
              <w:numPr>
                <w:ilvl w:val="0"/>
                <w:numId w:val="78"/>
              </w:numPr>
              <w:spacing w:before="60" w:after="60" w:line="240" w:lineRule="auto"/>
              <w:jc w:val="left"/>
              <w:rPr>
                <w:rFonts w:ascii="Arial" w:eastAsia="Calibri" w:hAnsi="Arial"/>
                <w:sz w:val="16"/>
                <w:szCs w:val="16"/>
                <w:lang w:val="en-US" w:eastAsia="en-US"/>
              </w:rPr>
            </w:pPr>
            <w:r w:rsidRPr="002C6A9F">
              <w:rPr>
                <w:rFonts w:ascii="Arial" w:eastAsia="Calibri" w:hAnsi="Arial" w:cs="Arial"/>
                <w:sz w:val="16"/>
                <w:szCs w:val="16"/>
                <w:lang w:val="en-US" w:eastAsia="en-US"/>
              </w:rPr>
              <w:t>Investing directly and indirectly, while also attracting private sector investment into clean energy technologies and projects.</w:t>
            </w:r>
          </w:p>
          <w:p w:rsidR="0086046C" w:rsidRPr="0086046C" w:rsidRDefault="00BA7A7F" w:rsidP="0086046C">
            <w:pPr>
              <w:keepLines w:val="0"/>
              <w:numPr>
                <w:ilvl w:val="0"/>
                <w:numId w:val="78"/>
              </w:numPr>
              <w:spacing w:before="60" w:after="60" w:line="240" w:lineRule="auto"/>
              <w:jc w:val="left"/>
              <w:rPr>
                <w:rFonts w:ascii="Arial" w:eastAsia="Calibri" w:hAnsi="Arial" w:cs="Arial"/>
                <w:sz w:val="18"/>
                <w:szCs w:val="22"/>
                <w:lang w:val="en-US" w:eastAsia="en-US"/>
              </w:rPr>
            </w:pPr>
            <w:r w:rsidRPr="002C6A9F">
              <w:rPr>
                <w:rFonts w:ascii="Arial" w:eastAsia="Calibri" w:hAnsi="Arial" w:cs="Arial"/>
                <w:sz w:val="16"/>
                <w:szCs w:val="16"/>
                <w:lang w:val="en-US" w:eastAsia="en-US"/>
              </w:rPr>
              <w:t>Applying commercial rigour and using financial products and structures to address the barriers inhibiting private sector investment in the sector.</w:t>
            </w:r>
          </w:p>
        </w:tc>
      </w:tr>
      <w:tr w:rsidR="00253274" w:rsidTr="002C6A9F">
        <w:trPr>
          <w:trHeight w:val="694"/>
        </w:trPr>
        <w:tc>
          <w:tcPr>
            <w:tcW w:w="1560" w:type="dxa"/>
            <w:tcBorders>
              <w:top w:val="single" w:sz="4" w:space="0" w:color="auto"/>
              <w:left w:val="single" w:sz="4" w:space="0" w:color="auto"/>
              <w:bottom w:val="double" w:sz="4" w:space="0" w:color="auto"/>
              <w:right w:val="single" w:sz="4" w:space="0" w:color="auto"/>
            </w:tcBorders>
            <w:hideMark/>
          </w:tcPr>
          <w:p w:rsidR="0086046C" w:rsidRPr="0086046C" w:rsidRDefault="00BA7A7F" w:rsidP="0086046C">
            <w:pPr>
              <w:keepLines w:val="0"/>
              <w:tabs>
                <w:tab w:val="left" w:pos="709"/>
              </w:tabs>
              <w:spacing w:before="60"/>
              <w:rPr>
                <w:rFonts w:ascii="Arial" w:hAnsi="Arial" w:cs="Arial"/>
                <w:b/>
                <w:sz w:val="16"/>
                <w:szCs w:val="16"/>
              </w:rPr>
            </w:pPr>
            <w:r w:rsidRPr="0086046C">
              <w:rPr>
                <w:rFonts w:ascii="Arial" w:hAnsi="Arial" w:cs="Arial"/>
                <w:b/>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rsidR="0086046C" w:rsidRPr="0086046C" w:rsidRDefault="00BA7A7F" w:rsidP="002C6A9F">
            <w:pPr>
              <w:keepLines w:val="0"/>
              <w:tabs>
                <w:tab w:val="left" w:pos="709"/>
              </w:tabs>
              <w:spacing w:before="60" w:after="60" w:line="240" w:lineRule="auto"/>
              <w:rPr>
                <w:rFonts w:ascii="Arial" w:hAnsi="Arial" w:cs="Arial"/>
                <w:bCs/>
                <w:sz w:val="16"/>
                <w:szCs w:val="16"/>
              </w:rPr>
            </w:pPr>
            <w:r w:rsidRPr="0086046C">
              <w:rPr>
                <w:rFonts w:ascii="Arial" w:hAnsi="Arial" w:cs="Arial"/>
                <w:bCs/>
                <w:sz w:val="16"/>
                <w:szCs w:val="16"/>
              </w:rPr>
              <w:t>The Corporation helps mobilise investment in renewable energy, low emissions and energy efficiency projects and technologies in Australia, as well as into businesses and services that produce the required inputs. It uses financial products and structures to address the barriers inhibiting investment at the demonstration, commercialisation, and deployment stages of innovation.</w:t>
            </w:r>
          </w:p>
          <w:p w:rsidR="0086046C" w:rsidRPr="0086046C" w:rsidRDefault="00BA7A7F" w:rsidP="002C6A9F">
            <w:pPr>
              <w:keepLines w:val="0"/>
              <w:tabs>
                <w:tab w:val="left" w:pos="709"/>
              </w:tabs>
              <w:spacing w:before="60" w:after="60" w:line="240" w:lineRule="auto"/>
              <w:rPr>
                <w:rFonts w:ascii="Arial" w:hAnsi="Arial" w:cs="Arial"/>
                <w:bCs/>
                <w:sz w:val="16"/>
                <w:szCs w:val="16"/>
              </w:rPr>
            </w:pPr>
            <w:r w:rsidRPr="0086046C">
              <w:rPr>
                <w:rFonts w:ascii="Arial" w:hAnsi="Arial" w:cs="Arial"/>
                <w:bCs/>
                <w:sz w:val="16"/>
                <w:szCs w:val="16"/>
              </w:rPr>
              <w:t>The Corporation works with private sector financiers and project sponsors to facilitate and leverage increased flows of finance into the clean energy sector. In undertaking its investment activities, the Corporation must consider the potential effect on other market participants and the efficient operation of the Australian financial and energy markets.</w:t>
            </w:r>
          </w:p>
          <w:p w:rsidR="0086046C" w:rsidRPr="0086046C" w:rsidRDefault="00BA7A7F" w:rsidP="002C6A9F">
            <w:pPr>
              <w:keepLines w:val="0"/>
              <w:tabs>
                <w:tab w:val="left" w:pos="709"/>
              </w:tabs>
              <w:spacing w:before="60" w:after="60" w:line="240" w:lineRule="auto"/>
              <w:rPr>
                <w:rFonts w:ascii="Arial" w:hAnsi="Arial" w:cs="Arial"/>
                <w:bCs/>
                <w:sz w:val="16"/>
                <w:szCs w:val="16"/>
              </w:rPr>
            </w:pPr>
            <w:r w:rsidRPr="0086046C">
              <w:rPr>
                <w:rFonts w:ascii="Arial" w:hAnsi="Arial" w:cs="Arial"/>
                <w:bCs/>
                <w:sz w:val="16"/>
                <w:szCs w:val="16"/>
              </w:rPr>
              <w:t>The Corporation shares knowledge and expertise with project sponsors, lenders, and the broader industry, helping build capacity within the private sector.</w:t>
            </w:r>
          </w:p>
          <w:p w:rsidR="0086046C" w:rsidRPr="0086046C" w:rsidRDefault="00BA7A7F" w:rsidP="002C6A9F">
            <w:pPr>
              <w:keepLines w:val="0"/>
              <w:tabs>
                <w:tab w:val="left" w:pos="709"/>
              </w:tabs>
              <w:spacing w:before="60" w:after="60" w:line="240" w:lineRule="auto"/>
              <w:rPr>
                <w:rFonts w:ascii="Arial" w:hAnsi="Arial" w:cs="Arial"/>
                <w:bCs/>
                <w:sz w:val="16"/>
                <w:szCs w:val="16"/>
              </w:rPr>
            </w:pPr>
            <w:r w:rsidRPr="0086046C">
              <w:rPr>
                <w:rFonts w:ascii="Arial" w:hAnsi="Arial" w:cs="Arial"/>
                <w:bCs/>
                <w:sz w:val="16"/>
                <w:szCs w:val="16"/>
              </w:rPr>
              <w:t>The Corporation is being directed to focus particular attention on investing debt and equity in:</w:t>
            </w:r>
          </w:p>
          <w:p w:rsidR="0086046C" w:rsidRPr="0086046C" w:rsidRDefault="00BA7A7F" w:rsidP="002C6A9F">
            <w:pPr>
              <w:keepLines w:val="0"/>
              <w:numPr>
                <w:ilvl w:val="0"/>
                <w:numId w:val="79"/>
              </w:numPr>
              <w:tabs>
                <w:tab w:val="left" w:pos="709"/>
              </w:tabs>
              <w:spacing w:before="60" w:after="60" w:line="240" w:lineRule="auto"/>
              <w:contextualSpacing/>
              <w:jc w:val="left"/>
              <w:rPr>
                <w:rFonts w:ascii="Arial" w:eastAsia="Calibri" w:hAnsi="Arial" w:cs="Arial"/>
                <w:bCs/>
                <w:sz w:val="16"/>
                <w:szCs w:val="16"/>
                <w:lang w:val="en-US" w:eastAsia="en-US"/>
              </w:rPr>
            </w:pPr>
            <w:r w:rsidRPr="0086046C">
              <w:rPr>
                <w:rFonts w:ascii="Arial" w:eastAsia="Calibri" w:hAnsi="Arial" w:cs="Arial"/>
                <w:bCs/>
                <w:sz w:val="16"/>
                <w:szCs w:val="16"/>
                <w:lang w:val="en-US" w:eastAsia="en-US"/>
              </w:rPr>
              <w:t>Emerging clean energy projects and businesses that involve technologies that have passed beyond the research and development stages but are not yet established or of sufficient maturity, size or otherwise commercially ready to attract sufficient private sector investment.</w:t>
            </w:r>
          </w:p>
          <w:p w:rsidR="0086046C" w:rsidRPr="0086046C" w:rsidRDefault="00BA7A7F" w:rsidP="002C6A9F">
            <w:pPr>
              <w:keepLines w:val="0"/>
              <w:numPr>
                <w:ilvl w:val="0"/>
                <w:numId w:val="79"/>
              </w:numPr>
              <w:tabs>
                <w:tab w:val="left" w:pos="709"/>
              </w:tabs>
              <w:spacing w:before="60" w:after="60" w:line="240" w:lineRule="auto"/>
              <w:contextualSpacing/>
              <w:jc w:val="left"/>
              <w:rPr>
                <w:rFonts w:ascii="Arial" w:eastAsia="Calibri" w:hAnsi="Arial" w:cs="Arial"/>
                <w:bCs/>
                <w:sz w:val="16"/>
                <w:szCs w:val="16"/>
                <w:lang w:val="en-US" w:eastAsia="en-US"/>
              </w:rPr>
            </w:pPr>
            <w:r w:rsidRPr="0086046C">
              <w:rPr>
                <w:rFonts w:ascii="Arial" w:eastAsia="Calibri" w:hAnsi="Arial" w:cs="Arial"/>
                <w:bCs/>
                <w:sz w:val="16"/>
                <w:szCs w:val="16"/>
                <w:lang w:val="en-US" w:eastAsia="en-US"/>
              </w:rPr>
              <w:t>Renewable energy, low emissions and energy efficiency projects and businesses that improve liveability, accessibility, and productivity of cities</w:t>
            </w:r>
            <w:r>
              <w:rPr>
                <w:rFonts w:ascii="Arial" w:eastAsia="Calibri" w:hAnsi="Arial" w:cs="Arial"/>
                <w:bCs/>
                <w:sz w:val="16"/>
                <w:szCs w:val="16"/>
                <w:lang w:val="en-US" w:eastAsia="en-US"/>
              </w:rPr>
              <w:t>.</w:t>
            </w:r>
          </w:p>
          <w:p w:rsidR="0086046C" w:rsidRPr="0086046C" w:rsidRDefault="00BA7A7F" w:rsidP="002C6A9F">
            <w:pPr>
              <w:keepLines w:val="0"/>
              <w:numPr>
                <w:ilvl w:val="0"/>
                <w:numId w:val="79"/>
              </w:numPr>
              <w:tabs>
                <w:tab w:val="left" w:pos="709"/>
              </w:tabs>
              <w:spacing w:before="60" w:after="60" w:line="240" w:lineRule="auto"/>
              <w:contextualSpacing/>
              <w:jc w:val="left"/>
              <w:rPr>
                <w:rFonts w:ascii="Arial" w:eastAsia="Calibri" w:hAnsi="Arial" w:cs="Arial"/>
                <w:bCs/>
                <w:sz w:val="16"/>
                <w:szCs w:val="16"/>
                <w:lang w:val="en-US" w:eastAsia="en-US"/>
              </w:rPr>
            </w:pPr>
            <w:r w:rsidRPr="0086046C">
              <w:rPr>
                <w:rFonts w:ascii="Arial" w:eastAsia="Calibri" w:hAnsi="Arial" w:cs="Arial"/>
                <w:bCs/>
                <w:sz w:val="16"/>
                <w:szCs w:val="16"/>
                <w:lang w:val="en-US" w:eastAsia="en-US"/>
              </w:rPr>
              <w:t>Clean energy technology projects and businesses that support the delivery of the Government’s Reef 2050 Plan.</w:t>
            </w:r>
          </w:p>
          <w:p w:rsidR="0086046C" w:rsidRDefault="00BA7A7F" w:rsidP="002C6A9F">
            <w:pPr>
              <w:keepLines w:val="0"/>
              <w:numPr>
                <w:ilvl w:val="0"/>
                <w:numId w:val="79"/>
              </w:numPr>
              <w:tabs>
                <w:tab w:val="left" w:pos="709"/>
              </w:tabs>
              <w:spacing w:before="60" w:after="60" w:line="240" w:lineRule="auto"/>
              <w:contextualSpacing/>
              <w:jc w:val="left"/>
              <w:rPr>
                <w:rFonts w:ascii="Arial" w:eastAsia="Calibri" w:hAnsi="Arial" w:cs="Arial"/>
                <w:bCs/>
                <w:sz w:val="16"/>
                <w:szCs w:val="16"/>
                <w:lang w:val="en-US" w:eastAsia="en-US"/>
              </w:rPr>
            </w:pPr>
            <w:r w:rsidRPr="0086046C">
              <w:rPr>
                <w:rFonts w:ascii="Arial" w:eastAsia="Calibri" w:hAnsi="Arial" w:cs="Arial"/>
                <w:bCs/>
                <w:sz w:val="16"/>
                <w:szCs w:val="16"/>
                <w:lang w:val="en-US" w:eastAsia="en-US"/>
              </w:rPr>
              <w:t>Supporting emerging and innovative renewable technologies and energy efficiency, such as large scale solar, storage associated with large and small-scale solar, offshore wind technologies, and energy efficiency technologies for the built environment.</w:t>
            </w:r>
          </w:p>
          <w:p w:rsidR="00215343" w:rsidRPr="0086046C" w:rsidRDefault="00BA7A7F" w:rsidP="002C6A9F">
            <w:pPr>
              <w:keepLines w:val="0"/>
              <w:numPr>
                <w:ilvl w:val="0"/>
                <w:numId w:val="79"/>
              </w:numPr>
              <w:tabs>
                <w:tab w:val="left" w:pos="709"/>
              </w:tabs>
              <w:spacing w:before="60" w:after="60" w:line="240" w:lineRule="auto"/>
              <w:contextualSpacing/>
              <w:jc w:val="left"/>
              <w:rPr>
                <w:rFonts w:ascii="Arial" w:eastAsia="Calibri" w:hAnsi="Arial" w:cs="Arial"/>
                <w:bCs/>
                <w:sz w:val="16"/>
                <w:szCs w:val="16"/>
                <w:lang w:val="en-US" w:eastAsia="en-US"/>
              </w:rPr>
            </w:pPr>
            <w:r>
              <w:rPr>
                <w:rFonts w:ascii="Arial" w:eastAsia="Calibri" w:hAnsi="Arial" w:cs="Arial"/>
                <w:bCs/>
                <w:sz w:val="16"/>
                <w:szCs w:val="16"/>
                <w:lang w:val="en-US" w:eastAsia="en-US"/>
              </w:rPr>
              <w:t>Investments that support reliability and security of electricity supply.</w:t>
            </w:r>
          </w:p>
          <w:p w:rsidR="00B25097" w:rsidRPr="00BD41EC" w:rsidRDefault="00B25097" w:rsidP="00215343">
            <w:pPr>
              <w:keepLines w:val="0"/>
              <w:tabs>
                <w:tab w:val="left" w:pos="709"/>
              </w:tabs>
              <w:spacing w:before="60" w:after="60" w:line="240" w:lineRule="auto"/>
              <w:rPr>
                <w:rFonts w:ascii="Arial" w:hAnsi="Arial" w:cs="Arial"/>
                <w:bCs/>
                <w:sz w:val="4"/>
                <w:szCs w:val="4"/>
              </w:rPr>
            </w:pPr>
          </w:p>
          <w:p w:rsidR="0086046C" w:rsidRDefault="00BA7A7F" w:rsidP="00215343">
            <w:pPr>
              <w:keepLines w:val="0"/>
              <w:tabs>
                <w:tab w:val="left" w:pos="709"/>
              </w:tabs>
              <w:spacing w:before="60" w:after="60" w:line="240" w:lineRule="auto"/>
              <w:rPr>
                <w:rFonts w:ascii="Arial" w:hAnsi="Arial" w:cs="Arial"/>
                <w:bCs/>
                <w:sz w:val="16"/>
                <w:szCs w:val="16"/>
              </w:rPr>
            </w:pPr>
            <w:r w:rsidRPr="0086046C">
              <w:rPr>
                <w:rFonts w:ascii="Arial" w:hAnsi="Arial" w:cs="Arial"/>
                <w:bCs/>
                <w:sz w:val="16"/>
                <w:szCs w:val="16"/>
              </w:rPr>
              <w:t>The Corporation can also provide up to $300m per annum of concessionality in relation to loans issued at below market interest rates and has a limited scope to provide guarantees where appropriate and unavoidable. The Corporation must ensure the total value of guarantees at any time does not exceed 5</w:t>
            </w:r>
            <w:r>
              <w:rPr>
                <w:rFonts w:ascii="Arial" w:hAnsi="Arial" w:cs="Arial"/>
                <w:bCs/>
                <w:sz w:val="16"/>
                <w:szCs w:val="16"/>
              </w:rPr>
              <w:t>%</w:t>
            </w:r>
            <w:r w:rsidRPr="0086046C">
              <w:rPr>
                <w:rFonts w:ascii="Arial" w:hAnsi="Arial" w:cs="Arial"/>
                <w:bCs/>
                <w:sz w:val="16"/>
                <w:szCs w:val="16"/>
              </w:rPr>
              <w:t xml:space="preserve"> of the total amount that has been credited to the Special Account under section 46 of the Act.</w:t>
            </w:r>
          </w:p>
          <w:p w:rsidR="000C5B4E" w:rsidRPr="000C5B4E" w:rsidRDefault="000C5B4E" w:rsidP="002C6A9F">
            <w:pPr>
              <w:keepLines w:val="0"/>
              <w:tabs>
                <w:tab w:val="left" w:pos="709"/>
              </w:tabs>
              <w:spacing w:before="60" w:after="60" w:line="240" w:lineRule="auto"/>
              <w:rPr>
                <w:rFonts w:ascii="Arial" w:hAnsi="Arial" w:cs="Arial"/>
                <w:bCs/>
                <w:sz w:val="6"/>
                <w:szCs w:val="6"/>
              </w:rPr>
            </w:pPr>
          </w:p>
          <w:p w:rsidR="0086046C" w:rsidRPr="0086046C" w:rsidRDefault="00BA7A7F" w:rsidP="002C6A9F">
            <w:pPr>
              <w:keepLines w:val="0"/>
              <w:tabs>
                <w:tab w:val="left" w:pos="709"/>
              </w:tabs>
              <w:spacing w:before="60" w:after="60" w:line="240" w:lineRule="auto"/>
              <w:rPr>
                <w:rFonts w:ascii="Arial" w:hAnsi="Arial" w:cs="Arial"/>
                <w:bCs/>
                <w:sz w:val="16"/>
                <w:szCs w:val="16"/>
              </w:rPr>
            </w:pPr>
            <w:r w:rsidRPr="0086046C">
              <w:rPr>
                <w:rFonts w:ascii="Arial" w:hAnsi="Arial" w:cs="Arial"/>
                <w:bCs/>
                <w:sz w:val="16"/>
                <w:szCs w:val="16"/>
              </w:rPr>
              <w:t>The Corporation is not a grant making organisation. It seeks to generate positive financial returns, and this is expressed in the Investment Mandate as a target portfolio benchmark rate of return. The Corporation therefore makes investments with a commercial approach, based on careful risk assessment and appropriate terms, with an expectation that such investments will be repaid. The Corporation</w:t>
            </w:r>
            <w:r w:rsidRPr="0086046C">
              <w:t xml:space="preserve"> </w:t>
            </w:r>
            <w:r w:rsidRPr="0086046C">
              <w:rPr>
                <w:rFonts w:ascii="Arial" w:hAnsi="Arial" w:cs="Arial"/>
                <w:bCs/>
                <w:sz w:val="16"/>
                <w:szCs w:val="16"/>
              </w:rPr>
              <w:t>undertakes its investment activity responsibly and manages risk to minimise the likelihood of losses.</w:t>
            </w:r>
          </w:p>
        </w:tc>
      </w:tr>
      <w:tr w:rsidR="00253274" w:rsidTr="002C6A9F">
        <w:trPr>
          <w:trHeight w:val="258"/>
        </w:trPr>
        <w:tc>
          <w:tcPr>
            <w:tcW w:w="1560" w:type="dxa"/>
            <w:tcBorders>
              <w:top w:val="double" w:sz="4" w:space="0" w:color="auto"/>
              <w:left w:val="single" w:sz="4" w:space="0" w:color="auto"/>
              <w:bottom w:val="single" w:sz="4" w:space="0" w:color="auto"/>
              <w:right w:val="single" w:sz="4" w:space="0" w:color="auto"/>
            </w:tcBorders>
          </w:tcPr>
          <w:p w:rsidR="0086046C" w:rsidRPr="0086046C" w:rsidRDefault="00BA7A7F" w:rsidP="0086046C">
            <w:pPr>
              <w:keepLines w:val="0"/>
              <w:spacing w:before="60" w:after="60" w:line="240" w:lineRule="auto"/>
              <w:jc w:val="left"/>
              <w:rPr>
                <w:rFonts w:ascii="Arial" w:eastAsia="Calibri" w:hAnsi="Arial" w:cs="Arial"/>
                <w:b/>
                <w:sz w:val="16"/>
                <w:szCs w:val="16"/>
                <w:lang w:val="en-US" w:eastAsia="en-US"/>
              </w:rPr>
            </w:pPr>
            <w:r w:rsidRPr="0086046C">
              <w:rPr>
                <w:rFonts w:ascii="Arial" w:eastAsia="Calibri" w:hAnsi="Arial" w:cs="Arial"/>
                <w:b/>
                <w:sz w:val="16"/>
                <w:szCs w:val="16"/>
                <w:lang w:val="en-US" w:eastAsia="en-US"/>
              </w:rPr>
              <w:t>Year</w:t>
            </w:r>
          </w:p>
        </w:tc>
        <w:tc>
          <w:tcPr>
            <w:tcW w:w="3118" w:type="dxa"/>
            <w:tcBorders>
              <w:top w:val="double" w:sz="4" w:space="0" w:color="auto"/>
              <w:left w:val="single" w:sz="4" w:space="0" w:color="auto"/>
              <w:bottom w:val="single" w:sz="4" w:space="0" w:color="auto"/>
              <w:right w:val="single" w:sz="4" w:space="0" w:color="auto"/>
            </w:tcBorders>
            <w:hideMark/>
          </w:tcPr>
          <w:p w:rsidR="0086046C" w:rsidRPr="0086046C" w:rsidRDefault="00BA7A7F" w:rsidP="0086046C">
            <w:pPr>
              <w:keepLines w:val="0"/>
              <w:spacing w:before="60" w:after="60" w:line="240" w:lineRule="auto"/>
              <w:jc w:val="left"/>
              <w:rPr>
                <w:rFonts w:ascii="Arial" w:eastAsia="Calibri" w:hAnsi="Arial" w:cs="Arial"/>
                <w:b/>
                <w:sz w:val="16"/>
                <w:szCs w:val="16"/>
                <w:lang w:val="en-US" w:eastAsia="en-US"/>
              </w:rPr>
            </w:pPr>
            <w:r w:rsidRPr="0086046C">
              <w:rPr>
                <w:rFonts w:ascii="Arial" w:eastAsia="Calibri" w:hAnsi="Arial" w:cs="Arial"/>
                <w:b/>
                <w:sz w:val="16"/>
                <w:szCs w:val="16"/>
                <w:lang w:val="en-US" w:eastAsia="en-US"/>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86046C" w:rsidRPr="0086046C" w:rsidRDefault="00BA7A7F" w:rsidP="0086046C">
            <w:pPr>
              <w:keepLines w:val="0"/>
              <w:spacing w:before="60" w:after="60" w:line="240" w:lineRule="auto"/>
              <w:jc w:val="left"/>
              <w:rPr>
                <w:rFonts w:ascii="Arial" w:eastAsia="Calibri" w:hAnsi="Arial" w:cs="Arial"/>
                <w:b/>
                <w:sz w:val="16"/>
                <w:szCs w:val="16"/>
                <w:lang w:val="en-US" w:eastAsia="en-US"/>
              </w:rPr>
            </w:pPr>
            <w:r w:rsidRPr="0086046C">
              <w:rPr>
                <w:rFonts w:ascii="Arial" w:eastAsia="Calibri" w:hAnsi="Arial" w:cs="Arial"/>
                <w:b/>
                <w:sz w:val="16"/>
                <w:szCs w:val="16"/>
                <w:lang w:val="en-US" w:eastAsia="en-US"/>
              </w:rPr>
              <w:t>Expected Performance Results</w:t>
            </w:r>
          </w:p>
        </w:tc>
      </w:tr>
      <w:tr w:rsidR="00253274" w:rsidTr="002C6A9F">
        <w:trPr>
          <w:trHeight w:val="642"/>
        </w:trPr>
        <w:tc>
          <w:tcPr>
            <w:tcW w:w="1560" w:type="dxa"/>
            <w:vMerge w:val="restart"/>
            <w:tcBorders>
              <w:top w:val="single" w:sz="4" w:space="0" w:color="auto"/>
              <w:left w:val="single" w:sz="4" w:space="0" w:color="auto"/>
              <w:bottom w:val="single" w:sz="4" w:space="0" w:color="auto"/>
              <w:right w:val="single" w:sz="4" w:space="0" w:color="auto"/>
            </w:tcBorders>
          </w:tcPr>
          <w:p w:rsidR="0086046C" w:rsidRPr="0086046C" w:rsidRDefault="00BA7A7F" w:rsidP="0086046C">
            <w:pPr>
              <w:keepLines w:val="0"/>
              <w:spacing w:before="60" w:after="60" w:line="240" w:lineRule="auto"/>
              <w:jc w:val="left"/>
              <w:rPr>
                <w:rFonts w:ascii="Arial" w:eastAsia="Calibri" w:hAnsi="Arial" w:cs="Arial"/>
                <w:sz w:val="16"/>
                <w:szCs w:val="16"/>
                <w:lang w:val="en-US" w:eastAsia="en-US"/>
              </w:rPr>
            </w:pPr>
            <w:r w:rsidRPr="0086046C">
              <w:rPr>
                <w:rFonts w:ascii="Arial" w:eastAsia="Calibri" w:hAnsi="Arial" w:cs="Arial"/>
                <w:sz w:val="16"/>
                <w:szCs w:val="16"/>
                <w:lang w:val="en-US" w:eastAsia="en-US"/>
              </w:rPr>
              <w:t xml:space="preserve">Current year </w:t>
            </w:r>
          </w:p>
          <w:p w:rsidR="0086046C" w:rsidRPr="0086046C" w:rsidRDefault="00BA7A7F" w:rsidP="0086046C">
            <w:pPr>
              <w:keepLines w:val="0"/>
              <w:spacing w:before="60" w:after="60" w:line="240" w:lineRule="auto"/>
              <w:jc w:val="left"/>
              <w:rPr>
                <w:rFonts w:ascii="Arial" w:eastAsia="Calibri" w:hAnsi="Arial" w:cs="Arial"/>
                <w:sz w:val="16"/>
                <w:szCs w:val="16"/>
                <w:lang w:val="en-US" w:eastAsia="en-US"/>
              </w:rPr>
            </w:pPr>
            <w:r w:rsidRPr="0086046C">
              <w:rPr>
                <w:rFonts w:ascii="Arial" w:eastAsia="Calibri" w:hAnsi="Arial" w:cs="Arial"/>
                <w:sz w:val="16"/>
                <w:szCs w:val="16"/>
                <w:lang w:val="en-US" w:eastAsia="en-US"/>
              </w:rPr>
              <w:t>2021-22</w:t>
            </w:r>
          </w:p>
          <w:p w:rsidR="0086046C" w:rsidRPr="0086046C" w:rsidRDefault="0086046C" w:rsidP="0086046C">
            <w:pPr>
              <w:keepLines w:val="0"/>
              <w:spacing w:before="60" w:after="60" w:line="240" w:lineRule="auto"/>
              <w:jc w:val="left"/>
              <w:rPr>
                <w:rFonts w:ascii="Arial" w:eastAsia="Calibri" w:hAnsi="Arial" w:cs="Arial"/>
                <w:sz w:val="16"/>
                <w:szCs w:val="16"/>
                <w:lang w:val="en-US" w:eastAsia="en-US"/>
              </w:rPr>
            </w:pPr>
          </w:p>
          <w:p w:rsidR="0086046C" w:rsidRPr="0086046C" w:rsidRDefault="0086046C" w:rsidP="0086046C">
            <w:pPr>
              <w:keepLines w:val="0"/>
              <w:spacing w:before="60" w:after="60" w:line="240" w:lineRule="auto"/>
              <w:jc w:val="left"/>
              <w:rPr>
                <w:rFonts w:ascii="Arial" w:eastAsia="Calibri" w:hAnsi="Arial" w:cs="Arial"/>
                <w:sz w:val="16"/>
                <w:szCs w:val="16"/>
                <w:lang w:val="en-US" w:eastAsia="en-US"/>
              </w:rPr>
            </w:pPr>
          </w:p>
          <w:p w:rsidR="0086046C" w:rsidRPr="0086046C" w:rsidRDefault="0086046C" w:rsidP="0086046C">
            <w:pPr>
              <w:keepLines w:val="0"/>
              <w:spacing w:before="60" w:after="60" w:line="240" w:lineRule="auto"/>
              <w:jc w:val="left"/>
              <w:rPr>
                <w:rFonts w:ascii="Arial" w:eastAsia="Calibri" w:hAnsi="Arial" w:cs="Arial"/>
                <w:sz w:val="16"/>
                <w:szCs w:val="16"/>
                <w:lang w:val="en-US" w:eastAsia="en-US"/>
              </w:rPr>
            </w:pPr>
          </w:p>
          <w:p w:rsidR="0086046C" w:rsidRPr="0086046C" w:rsidRDefault="0086046C" w:rsidP="0086046C">
            <w:pPr>
              <w:keepLines w:val="0"/>
              <w:spacing w:before="60" w:after="60" w:line="240" w:lineRule="auto"/>
              <w:jc w:val="left"/>
              <w:rPr>
                <w:rFonts w:ascii="Arial" w:eastAsia="Calibri" w:hAnsi="Arial" w:cs="Arial"/>
                <w:sz w:val="16"/>
                <w:szCs w:val="16"/>
                <w:lang w:val="en-US" w:eastAsia="en-US"/>
              </w:rPr>
            </w:pPr>
          </w:p>
          <w:p w:rsidR="0086046C" w:rsidRPr="0086046C" w:rsidRDefault="0086046C" w:rsidP="0086046C">
            <w:pPr>
              <w:keepLines w:val="0"/>
              <w:spacing w:before="60" w:after="60" w:line="240" w:lineRule="auto"/>
              <w:jc w:val="left"/>
              <w:rPr>
                <w:rFonts w:ascii="Arial" w:eastAsia="Calibri" w:hAnsi="Arial" w:cs="Arial"/>
                <w:sz w:val="16"/>
                <w:szCs w:val="16"/>
                <w:lang w:val="en-US" w:eastAsia="en-US"/>
              </w:rPr>
            </w:pPr>
          </w:p>
          <w:p w:rsidR="0086046C" w:rsidRPr="0086046C" w:rsidRDefault="0086046C" w:rsidP="0086046C">
            <w:pPr>
              <w:keepLines w:val="0"/>
              <w:spacing w:before="60" w:after="60" w:line="240" w:lineRule="auto"/>
              <w:jc w:val="left"/>
              <w:rPr>
                <w:rFonts w:ascii="Arial" w:eastAsia="Calibri" w:hAnsi="Arial" w:cs="Arial"/>
                <w:sz w:val="16"/>
                <w:szCs w:val="16"/>
                <w:lang w:val="en-US" w:eastAsia="en-US"/>
              </w:rPr>
            </w:pPr>
          </w:p>
          <w:p w:rsidR="0086046C" w:rsidRPr="0086046C" w:rsidRDefault="0086046C" w:rsidP="0086046C">
            <w:pPr>
              <w:keepLines w:val="0"/>
              <w:spacing w:before="60" w:after="60" w:line="240" w:lineRule="auto"/>
              <w:jc w:val="left"/>
              <w:rPr>
                <w:rFonts w:ascii="Arial" w:eastAsia="Calibri" w:hAnsi="Arial" w:cs="Arial"/>
                <w:sz w:val="16"/>
                <w:szCs w:val="16"/>
                <w:lang w:val="en-US" w:eastAsia="en-US"/>
              </w:rPr>
            </w:pPr>
          </w:p>
          <w:p w:rsidR="0086046C" w:rsidRPr="0086046C" w:rsidRDefault="0086046C" w:rsidP="0086046C">
            <w:pPr>
              <w:keepLines w:val="0"/>
              <w:spacing w:before="60" w:after="60" w:line="240" w:lineRule="auto"/>
              <w:jc w:val="left"/>
              <w:rPr>
                <w:rFonts w:ascii="Arial" w:eastAsia="Calibri" w:hAnsi="Arial" w:cs="Arial"/>
                <w:sz w:val="16"/>
                <w:szCs w:val="16"/>
                <w:lang w:val="en-US" w:eastAsia="en-US"/>
              </w:rPr>
            </w:pPr>
          </w:p>
          <w:p w:rsidR="0086046C" w:rsidRPr="0086046C" w:rsidRDefault="0086046C" w:rsidP="0086046C">
            <w:pPr>
              <w:keepLines w:val="0"/>
              <w:spacing w:before="60" w:after="60" w:line="240" w:lineRule="auto"/>
              <w:jc w:val="left"/>
              <w:rPr>
                <w:rFonts w:ascii="Arial" w:eastAsia="Calibri" w:hAnsi="Arial" w:cs="Arial"/>
                <w:sz w:val="16"/>
                <w:szCs w:val="16"/>
                <w:lang w:val="en-US" w:eastAsia="en-US"/>
              </w:rPr>
            </w:pPr>
          </w:p>
          <w:p w:rsidR="0086046C" w:rsidRPr="0086046C" w:rsidRDefault="0086046C" w:rsidP="0086046C">
            <w:pPr>
              <w:keepLines w:val="0"/>
              <w:spacing w:before="60" w:after="60" w:line="240" w:lineRule="auto"/>
              <w:jc w:val="left"/>
              <w:rPr>
                <w:rFonts w:ascii="Arial" w:eastAsia="Calibri" w:hAnsi="Arial" w:cs="Arial"/>
                <w:sz w:val="16"/>
                <w:szCs w:val="16"/>
                <w:lang w:val="en-US" w:eastAsia="en-US"/>
              </w:rPr>
            </w:pPr>
          </w:p>
          <w:p w:rsidR="0086046C" w:rsidRPr="0086046C" w:rsidRDefault="0086046C" w:rsidP="0086046C">
            <w:pPr>
              <w:keepLines w:val="0"/>
              <w:spacing w:before="60" w:after="60" w:line="240" w:lineRule="auto"/>
              <w:jc w:val="left"/>
              <w:rPr>
                <w:rFonts w:ascii="Arial" w:eastAsia="Calibri" w:hAnsi="Arial" w:cs="Arial"/>
                <w:sz w:val="16"/>
                <w:szCs w:val="16"/>
                <w:lang w:val="en-US" w:eastAsia="en-US"/>
              </w:rPr>
            </w:pPr>
          </w:p>
          <w:p w:rsidR="0086046C" w:rsidRPr="0086046C" w:rsidRDefault="0086046C" w:rsidP="0086046C">
            <w:pPr>
              <w:keepLines w:val="0"/>
              <w:spacing w:before="60" w:after="60" w:line="240"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rsidR="0086046C" w:rsidRPr="0086046C" w:rsidRDefault="00BA7A7F" w:rsidP="0086046C">
            <w:pPr>
              <w:keepLines w:val="0"/>
              <w:tabs>
                <w:tab w:val="left" w:pos="709"/>
              </w:tabs>
              <w:spacing w:before="60" w:after="60" w:line="240" w:lineRule="auto"/>
              <w:jc w:val="left"/>
              <w:rPr>
                <w:rFonts w:ascii="Arial" w:hAnsi="Arial" w:cs="Arial"/>
                <w:iCs/>
                <w:sz w:val="16"/>
                <w:szCs w:val="16"/>
                <w:bdr w:val="none" w:sz="0" w:space="0" w:color="auto" w:frame="1"/>
              </w:rPr>
            </w:pPr>
            <w:r w:rsidRPr="0086046C">
              <w:rPr>
                <w:rFonts w:ascii="Arial" w:hAnsi="Arial" w:cs="Arial"/>
                <w:iCs/>
                <w:sz w:val="16"/>
                <w:szCs w:val="16"/>
                <w:bdr w:val="none" w:sz="0" w:space="0" w:color="auto" w:frame="1"/>
              </w:rPr>
              <w:t>Be financially sustainable and maintain an investment portfolio that, over the longer term, facilitates emissions reductions, generates positive financial returns within risk appetite.</w:t>
            </w:r>
          </w:p>
          <w:p w:rsidR="0086046C" w:rsidRPr="0086046C" w:rsidRDefault="00BA7A7F" w:rsidP="00412FFD">
            <w:pPr>
              <w:keepLines w:val="0"/>
              <w:tabs>
                <w:tab w:val="left" w:pos="709"/>
              </w:tabs>
              <w:spacing w:before="60" w:after="60" w:line="240" w:lineRule="auto"/>
              <w:jc w:val="left"/>
              <w:rPr>
                <w:rFonts w:ascii="Arial" w:hAnsi="Arial" w:cs="Arial"/>
                <w:sz w:val="16"/>
                <w:szCs w:val="16"/>
                <w:bdr w:val="none" w:sz="0" w:space="0" w:color="auto" w:frame="1"/>
              </w:rPr>
            </w:pPr>
            <w:r w:rsidRPr="0086046C">
              <w:rPr>
                <w:rFonts w:ascii="Arial" w:hAnsi="Arial" w:cs="Arial"/>
                <w:sz w:val="16"/>
                <w:szCs w:val="16"/>
                <w:bdr w:val="none" w:sz="0" w:space="0" w:color="auto" w:frame="1"/>
              </w:rPr>
              <w:t>Free Cash Flows from Operations (FCFO) after implied costs of government funding – ‘paying our way’.</w:t>
            </w:r>
          </w:p>
          <w:p w:rsidR="0086046C" w:rsidRPr="0086046C" w:rsidRDefault="00BA7A7F" w:rsidP="00412FFD">
            <w:pPr>
              <w:keepLines w:val="0"/>
              <w:tabs>
                <w:tab w:val="left" w:pos="709"/>
              </w:tabs>
              <w:spacing w:before="60" w:after="60" w:line="240" w:lineRule="auto"/>
              <w:jc w:val="left"/>
              <w:rPr>
                <w:rFonts w:ascii="Arial" w:hAnsi="Arial" w:cs="Arial"/>
                <w:i/>
                <w:sz w:val="16"/>
                <w:szCs w:val="16"/>
              </w:rPr>
            </w:pPr>
            <w:r w:rsidRPr="0086046C">
              <w:rPr>
                <w:rFonts w:ascii="Arial" w:hAnsi="Arial" w:cs="Arial"/>
                <w:i/>
                <w:iCs/>
                <w:sz w:val="16"/>
                <w:szCs w:val="16"/>
                <w:bdr w:val="none" w:sz="0" w:space="0" w:color="auto" w:frame="1"/>
              </w:rPr>
              <w:t xml:space="preserve">Target: </w:t>
            </w:r>
            <w:r w:rsidRPr="0086046C">
              <w:rPr>
                <w:rFonts w:ascii="Arial" w:hAnsi="Arial" w:cs="Arial"/>
                <w:i/>
                <w:iCs/>
                <w:sz w:val="16"/>
                <w:szCs w:val="16"/>
              </w:rPr>
              <w:t>$20m - $30m</w:t>
            </w:r>
          </w:p>
          <w:p w:rsidR="0086046C" w:rsidRPr="0086046C" w:rsidRDefault="0086046C" w:rsidP="0086046C">
            <w:pPr>
              <w:keepLines w:val="0"/>
              <w:tabs>
                <w:tab w:val="left" w:pos="459"/>
              </w:tabs>
              <w:spacing w:before="60" w:after="60" w:line="240" w:lineRule="auto"/>
              <w:jc w:val="left"/>
              <w:rPr>
                <w:rFonts w:ascii="Arial" w:hAnsi="Arial" w:cs="Arial"/>
                <w:sz w:val="16"/>
                <w:szCs w:val="16"/>
                <w:bdr w:val="none" w:sz="0" w:space="0" w:color="auto" w:frame="1"/>
              </w:rPr>
            </w:pPr>
          </w:p>
          <w:p w:rsidR="0086046C" w:rsidRPr="0086046C" w:rsidRDefault="00BA7A7F" w:rsidP="0086046C">
            <w:pPr>
              <w:keepLines w:val="0"/>
              <w:tabs>
                <w:tab w:val="left" w:pos="459"/>
              </w:tabs>
              <w:spacing w:before="60" w:after="60" w:line="240" w:lineRule="auto"/>
              <w:jc w:val="left"/>
              <w:rPr>
                <w:rFonts w:ascii="Arial" w:hAnsi="Arial" w:cs="Arial"/>
                <w:i/>
                <w:sz w:val="16"/>
                <w:szCs w:val="16"/>
              </w:rPr>
            </w:pPr>
            <w:r w:rsidRPr="0086046C">
              <w:rPr>
                <w:rFonts w:ascii="Arial" w:hAnsi="Arial" w:cs="Arial"/>
                <w:sz w:val="16"/>
                <w:szCs w:val="16"/>
                <w:bdr w:val="none" w:sz="0" w:space="0" w:color="auto" w:frame="1"/>
              </w:rPr>
              <w:t>Total Operating Result adjusted for: (1) GRF and Innovation Fund revaluations, (2) loan modification and concessionality charges and associated unwinds, (3) bond revaluations.</w:t>
            </w:r>
          </w:p>
          <w:p w:rsidR="0086046C" w:rsidRPr="002C6A9F" w:rsidRDefault="00BA7A7F" w:rsidP="002C6A9F">
            <w:pPr>
              <w:keepLines w:val="0"/>
              <w:tabs>
                <w:tab w:val="left" w:pos="709"/>
              </w:tabs>
              <w:spacing w:before="60" w:after="60" w:line="240" w:lineRule="auto"/>
              <w:rPr>
                <w:rFonts w:ascii="Arial" w:hAnsi="Arial" w:cs="Arial"/>
                <w:i/>
                <w:sz w:val="16"/>
                <w:szCs w:val="16"/>
              </w:rPr>
            </w:pPr>
            <w:r w:rsidRPr="0086046C">
              <w:rPr>
                <w:rFonts w:ascii="Arial" w:hAnsi="Arial" w:cs="Arial"/>
                <w:i/>
                <w:sz w:val="16"/>
                <w:szCs w:val="16"/>
              </w:rPr>
              <w:t>Target: $95m - $120m</w:t>
            </w:r>
          </w:p>
        </w:tc>
        <w:tc>
          <w:tcPr>
            <w:tcW w:w="3118" w:type="dxa"/>
            <w:tcBorders>
              <w:top w:val="single" w:sz="4" w:space="0" w:color="auto"/>
              <w:left w:val="single" w:sz="4" w:space="0" w:color="auto"/>
              <w:bottom w:val="single" w:sz="4" w:space="0" w:color="auto"/>
              <w:right w:val="single" w:sz="4" w:space="0" w:color="auto"/>
            </w:tcBorders>
          </w:tcPr>
          <w:p w:rsidR="0086046C" w:rsidRPr="0086046C" w:rsidRDefault="0086046C" w:rsidP="0086046C">
            <w:pPr>
              <w:keepLines w:val="0"/>
              <w:tabs>
                <w:tab w:val="left" w:pos="709"/>
              </w:tabs>
              <w:spacing w:before="60" w:after="60" w:line="240" w:lineRule="auto"/>
              <w:jc w:val="left"/>
              <w:rPr>
                <w:rFonts w:ascii="Arial" w:hAnsi="Arial" w:cs="Arial"/>
                <w:i/>
                <w:color w:val="FF0000"/>
                <w:sz w:val="16"/>
                <w:szCs w:val="16"/>
              </w:rPr>
            </w:pPr>
          </w:p>
          <w:p w:rsidR="0086046C" w:rsidRPr="0086046C" w:rsidRDefault="0086046C" w:rsidP="0086046C">
            <w:pPr>
              <w:keepLines w:val="0"/>
              <w:tabs>
                <w:tab w:val="left" w:pos="709"/>
              </w:tabs>
              <w:spacing w:before="60" w:after="60" w:line="240" w:lineRule="auto"/>
              <w:jc w:val="left"/>
              <w:rPr>
                <w:rFonts w:ascii="Arial" w:hAnsi="Arial" w:cs="Arial"/>
                <w:i/>
                <w:color w:val="FF0000"/>
                <w:sz w:val="16"/>
                <w:szCs w:val="16"/>
              </w:rPr>
            </w:pPr>
          </w:p>
          <w:p w:rsidR="0086046C" w:rsidRPr="0086046C" w:rsidRDefault="0086046C" w:rsidP="0086046C">
            <w:pPr>
              <w:keepLines w:val="0"/>
              <w:tabs>
                <w:tab w:val="left" w:pos="709"/>
              </w:tabs>
              <w:spacing w:before="60" w:after="60" w:line="480" w:lineRule="auto"/>
              <w:jc w:val="left"/>
              <w:rPr>
                <w:rFonts w:ascii="Arial" w:hAnsi="Arial" w:cs="Arial"/>
                <w:sz w:val="16"/>
                <w:szCs w:val="16"/>
                <w:bdr w:val="none" w:sz="0" w:space="0" w:color="auto" w:frame="1"/>
              </w:rPr>
            </w:pPr>
          </w:p>
          <w:p w:rsidR="0086046C" w:rsidRPr="0086046C" w:rsidRDefault="0086046C" w:rsidP="0086046C">
            <w:pPr>
              <w:keepLines w:val="0"/>
              <w:tabs>
                <w:tab w:val="left" w:pos="709"/>
              </w:tabs>
              <w:spacing w:before="60" w:after="60" w:line="480" w:lineRule="auto"/>
              <w:rPr>
                <w:rFonts w:ascii="Arial" w:hAnsi="Arial" w:cs="Arial"/>
                <w:i/>
                <w:sz w:val="16"/>
                <w:szCs w:val="16"/>
              </w:rPr>
            </w:pPr>
          </w:p>
          <w:p w:rsidR="0086046C" w:rsidRPr="0086046C" w:rsidRDefault="0086046C" w:rsidP="0086046C">
            <w:pPr>
              <w:keepLines w:val="0"/>
              <w:tabs>
                <w:tab w:val="left" w:pos="709"/>
              </w:tabs>
              <w:spacing w:before="60" w:after="60" w:line="240" w:lineRule="auto"/>
              <w:rPr>
                <w:rFonts w:ascii="Arial" w:hAnsi="Arial" w:cs="Arial"/>
                <w:i/>
                <w:sz w:val="16"/>
                <w:szCs w:val="16"/>
              </w:rPr>
            </w:pPr>
          </w:p>
          <w:p w:rsidR="0086046C" w:rsidRPr="0086046C" w:rsidRDefault="00BA7A7F" w:rsidP="0086046C">
            <w:pPr>
              <w:keepLines w:val="0"/>
              <w:tabs>
                <w:tab w:val="left" w:pos="709"/>
              </w:tabs>
              <w:spacing w:before="60" w:after="60" w:line="240" w:lineRule="auto"/>
              <w:rPr>
                <w:rFonts w:ascii="Arial" w:hAnsi="Arial" w:cs="Arial"/>
                <w:i/>
                <w:sz w:val="16"/>
                <w:szCs w:val="16"/>
              </w:rPr>
            </w:pPr>
            <w:r w:rsidRPr="0086046C">
              <w:rPr>
                <w:rFonts w:ascii="Arial" w:hAnsi="Arial" w:cs="Arial"/>
                <w:i/>
                <w:sz w:val="16"/>
                <w:szCs w:val="16"/>
              </w:rPr>
              <w:t>$20m - $30m</w:t>
            </w:r>
          </w:p>
          <w:p w:rsidR="0086046C" w:rsidRPr="0086046C" w:rsidRDefault="0086046C" w:rsidP="0086046C">
            <w:pPr>
              <w:keepLines w:val="0"/>
              <w:tabs>
                <w:tab w:val="left" w:pos="709"/>
              </w:tabs>
              <w:spacing w:before="60" w:after="60" w:line="240" w:lineRule="auto"/>
              <w:jc w:val="left"/>
              <w:rPr>
                <w:rFonts w:ascii="Arial" w:hAnsi="Arial" w:cs="Arial"/>
                <w:i/>
                <w:sz w:val="16"/>
                <w:szCs w:val="16"/>
              </w:rPr>
            </w:pPr>
          </w:p>
          <w:p w:rsidR="0086046C" w:rsidRPr="0086046C" w:rsidRDefault="0086046C" w:rsidP="0086046C">
            <w:pPr>
              <w:keepLines w:val="0"/>
              <w:tabs>
                <w:tab w:val="left" w:pos="709"/>
              </w:tabs>
              <w:spacing w:before="60" w:after="60" w:line="240" w:lineRule="auto"/>
              <w:jc w:val="left"/>
              <w:rPr>
                <w:rFonts w:ascii="Arial" w:hAnsi="Arial" w:cs="Arial"/>
                <w:i/>
                <w:sz w:val="16"/>
                <w:szCs w:val="16"/>
              </w:rPr>
            </w:pPr>
          </w:p>
          <w:p w:rsidR="0086046C" w:rsidRPr="0086046C" w:rsidRDefault="0086046C" w:rsidP="0086046C">
            <w:pPr>
              <w:keepLines w:val="0"/>
              <w:tabs>
                <w:tab w:val="left" w:pos="709"/>
              </w:tabs>
              <w:spacing w:before="60" w:after="60" w:line="240" w:lineRule="auto"/>
              <w:jc w:val="left"/>
              <w:rPr>
                <w:rFonts w:ascii="Arial" w:hAnsi="Arial" w:cs="Arial"/>
                <w:i/>
                <w:sz w:val="16"/>
                <w:szCs w:val="16"/>
              </w:rPr>
            </w:pPr>
          </w:p>
          <w:p w:rsidR="0086046C" w:rsidRPr="0086046C" w:rsidRDefault="0086046C" w:rsidP="0086046C">
            <w:pPr>
              <w:keepLines w:val="0"/>
              <w:tabs>
                <w:tab w:val="left" w:pos="709"/>
              </w:tabs>
              <w:spacing w:before="60" w:after="60" w:line="240" w:lineRule="auto"/>
              <w:jc w:val="left"/>
              <w:rPr>
                <w:rFonts w:ascii="Arial" w:hAnsi="Arial" w:cs="Arial"/>
                <w:i/>
                <w:sz w:val="16"/>
                <w:szCs w:val="16"/>
              </w:rPr>
            </w:pPr>
          </w:p>
          <w:p w:rsidR="0086046C" w:rsidRPr="0086046C" w:rsidRDefault="0086046C" w:rsidP="0086046C">
            <w:pPr>
              <w:keepLines w:val="0"/>
              <w:tabs>
                <w:tab w:val="left" w:pos="709"/>
              </w:tabs>
              <w:spacing w:before="60" w:after="60" w:line="240" w:lineRule="auto"/>
              <w:jc w:val="left"/>
              <w:rPr>
                <w:rFonts w:ascii="Arial" w:hAnsi="Arial" w:cs="Arial"/>
                <w:i/>
                <w:sz w:val="16"/>
                <w:szCs w:val="16"/>
              </w:rPr>
            </w:pPr>
          </w:p>
          <w:p w:rsidR="0086046C" w:rsidRPr="002C6A9F" w:rsidRDefault="00BA7A7F" w:rsidP="002C6A9F">
            <w:pPr>
              <w:keepLines w:val="0"/>
              <w:tabs>
                <w:tab w:val="left" w:pos="709"/>
              </w:tabs>
              <w:spacing w:before="60" w:after="60" w:line="240" w:lineRule="auto"/>
              <w:rPr>
                <w:rFonts w:ascii="Arial" w:hAnsi="Arial" w:cs="Arial"/>
                <w:i/>
                <w:sz w:val="16"/>
                <w:szCs w:val="16"/>
              </w:rPr>
            </w:pPr>
            <w:r w:rsidRPr="0086046C">
              <w:rPr>
                <w:rFonts w:ascii="Arial" w:hAnsi="Arial" w:cs="Arial"/>
                <w:i/>
                <w:sz w:val="16"/>
                <w:szCs w:val="16"/>
              </w:rPr>
              <w:t>$115m - $125m</w:t>
            </w:r>
          </w:p>
        </w:tc>
      </w:tr>
      <w:tr w:rsidR="00253274" w:rsidTr="002C6A9F">
        <w:trPr>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46C" w:rsidRPr="0086046C" w:rsidRDefault="0086046C" w:rsidP="0086046C">
            <w:pPr>
              <w:keepLines w:val="0"/>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rsidR="0086046C" w:rsidRPr="0086046C" w:rsidRDefault="00BA7A7F" w:rsidP="0086046C">
            <w:pPr>
              <w:keepLines w:val="0"/>
              <w:tabs>
                <w:tab w:val="left" w:pos="709"/>
              </w:tabs>
              <w:spacing w:before="60" w:after="60" w:line="240" w:lineRule="auto"/>
              <w:jc w:val="left"/>
              <w:rPr>
                <w:rFonts w:ascii="Arial" w:hAnsi="Arial" w:cs="Arial"/>
                <w:iCs/>
                <w:sz w:val="16"/>
                <w:szCs w:val="16"/>
                <w:bdr w:val="none" w:sz="0" w:space="0" w:color="auto" w:frame="1"/>
              </w:rPr>
            </w:pPr>
            <w:r w:rsidRPr="0086046C">
              <w:rPr>
                <w:rFonts w:ascii="Arial" w:hAnsi="Arial" w:cs="Arial"/>
                <w:iCs/>
                <w:sz w:val="16"/>
                <w:szCs w:val="16"/>
                <w:bdr w:val="none" w:sz="0" w:space="0" w:color="auto" w:frame="1"/>
              </w:rPr>
              <w:t>Increase investment in clean energy technologies and infrastructure</w:t>
            </w:r>
            <w:r>
              <w:rPr>
                <w:rFonts w:ascii="Arial" w:hAnsi="Arial" w:cs="Arial"/>
                <w:iCs/>
                <w:sz w:val="16"/>
                <w:szCs w:val="16"/>
                <w:bdr w:val="none" w:sz="0" w:space="0" w:color="auto" w:frame="1"/>
              </w:rPr>
              <w:t>.</w:t>
            </w:r>
          </w:p>
          <w:p w:rsidR="0086046C" w:rsidRPr="0086046C" w:rsidRDefault="0086046C" w:rsidP="0086046C">
            <w:pPr>
              <w:keepLines w:val="0"/>
              <w:tabs>
                <w:tab w:val="left" w:pos="709"/>
              </w:tabs>
              <w:spacing w:before="60" w:after="60" w:line="240" w:lineRule="auto"/>
              <w:jc w:val="left"/>
              <w:rPr>
                <w:rFonts w:ascii="Arial" w:hAnsi="Arial" w:cs="Arial"/>
                <w:iCs/>
                <w:sz w:val="16"/>
                <w:szCs w:val="16"/>
                <w:bdr w:val="none" w:sz="0" w:space="0" w:color="auto" w:frame="1"/>
              </w:rPr>
            </w:pPr>
          </w:p>
          <w:p w:rsidR="0086046C" w:rsidRPr="0086046C" w:rsidRDefault="00BA7A7F" w:rsidP="0086046C">
            <w:pPr>
              <w:keepLines w:val="0"/>
              <w:spacing w:before="60" w:after="60" w:line="240" w:lineRule="auto"/>
              <w:jc w:val="left"/>
              <w:rPr>
                <w:rFonts w:ascii="Arial" w:eastAsia="Calibri" w:hAnsi="Arial" w:cs="Arial"/>
                <w:iCs/>
                <w:sz w:val="16"/>
                <w:szCs w:val="16"/>
                <w:bdr w:val="none" w:sz="0" w:space="0" w:color="auto" w:frame="1"/>
                <w:lang w:val="en-US" w:eastAsia="en-US"/>
              </w:rPr>
            </w:pPr>
            <w:r w:rsidRPr="0086046C">
              <w:rPr>
                <w:rFonts w:ascii="Arial" w:eastAsia="Calibri" w:hAnsi="Arial" w:cs="Arial"/>
                <w:iCs/>
                <w:sz w:val="16"/>
                <w:szCs w:val="16"/>
                <w:bdr w:val="none" w:sz="0" w:space="0" w:color="auto" w:frame="1"/>
                <w:lang w:val="en-US" w:eastAsia="en-US"/>
              </w:rPr>
              <w:t>Commitments to renewable energy, energy efficiency and low emission technology transactions (including grid, Investment Mandate areas of focus and the Technology Roadmap)</w:t>
            </w:r>
          </w:p>
          <w:p w:rsidR="0086046C" w:rsidRPr="002C6A9F" w:rsidRDefault="00BA7A7F" w:rsidP="0086046C">
            <w:pPr>
              <w:keepLines w:val="0"/>
              <w:tabs>
                <w:tab w:val="left" w:pos="709"/>
              </w:tabs>
              <w:spacing w:before="60" w:after="60" w:line="240" w:lineRule="auto"/>
              <w:jc w:val="left"/>
              <w:rPr>
                <w:rFonts w:ascii="Arial" w:hAnsi="Arial" w:cs="Arial"/>
                <w:i/>
                <w:iCs/>
                <w:sz w:val="16"/>
                <w:szCs w:val="16"/>
              </w:rPr>
            </w:pPr>
            <w:r w:rsidRPr="0086046C">
              <w:rPr>
                <w:rFonts w:ascii="Arial" w:hAnsi="Arial" w:cs="Arial"/>
                <w:i/>
                <w:iCs/>
                <w:sz w:val="16"/>
                <w:szCs w:val="16"/>
              </w:rPr>
              <w:t>Target: $1.0bn - $1.5bn</w:t>
            </w:r>
          </w:p>
        </w:tc>
        <w:tc>
          <w:tcPr>
            <w:tcW w:w="3118" w:type="dxa"/>
            <w:tcBorders>
              <w:top w:val="single" w:sz="4" w:space="0" w:color="auto"/>
              <w:left w:val="single" w:sz="4" w:space="0" w:color="auto"/>
              <w:bottom w:val="single" w:sz="4" w:space="0" w:color="auto"/>
              <w:right w:val="single" w:sz="4" w:space="0" w:color="auto"/>
            </w:tcBorders>
          </w:tcPr>
          <w:p w:rsidR="0086046C" w:rsidRPr="0086046C" w:rsidRDefault="0086046C" w:rsidP="0086046C">
            <w:pPr>
              <w:keepLines w:val="0"/>
              <w:tabs>
                <w:tab w:val="left" w:pos="709"/>
              </w:tabs>
              <w:spacing w:before="60" w:after="60" w:line="276" w:lineRule="auto"/>
              <w:jc w:val="left"/>
              <w:rPr>
                <w:rFonts w:ascii="Arial" w:hAnsi="Arial" w:cs="Arial"/>
                <w:i/>
                <w:color w:val="FF0000"/>
                <w:sz w:val="16"/>
                <w:szCs w:val="16"/>
              </w:rPr>
            </w:pPr>
          </w:p>
          <w:p w:rsidR="0086046C" w:rsidRPr="0086046C" w:rsidRDefault="0086046C" w:rsidP="0086046C">
            <w:pPr>
              <w:keepLines w:val="0"/>
              <w:tabs>
                <w:tab w:val="left" w:pos="709"/>
              </w:tabs>
              <w:spacing w:before="60" w:after="60" w:line="360" w:lineRule="auto"/>
              <w:jc w:val="left"/>
              <w:rPr>
                <w:rFonts w:ascii="Arial" w:hAnsi="Arial" w:cs="Arial"/>
                <w:i/>
                <w:color w:val="FF0000"/>
                <w:sz w:val="16"/>
                <w:szCs w:val="16"/>
              </w:rPr>
            </w:pPr>
          </w:p>
          <w:p w:rsidR="0086046C" w:rsidRPr="0086046C" w:rsidRDefault="0086046C" w:rsidP="0086046C">
            <w:pPr>
              <w:keepLines w:val="0"/>
              <w:tabs>
                <w:tab w:val="left" w:pos="709"/>
              </w:tabs>
              <w:spacing w:before="60" w:after="60" w:line="360" w:lineRule="auto"/>
              <w:jc w:val="left"/>
              <w:rPr>
                <w:rFonts w:ascii="Arial" w:hAnsi="Arial" w:cs="Arial"/>
                <w:i/>
                <w:color w:val="FF0000"/>
                <w:sz w:val="16"/>
                <w:szCs w:val="16"/>
              </w:rPr>
            </w:pPr>
          </w:p>
          <w:p w:rsidR="0086046C" w:rsidRPr="0086046C" w:rsidRDefault="0086046C" w:rsidP="0086046C">
            <w:pPr>
              <w:keepLines w:val="0"/>
              <w:tabs>
                <w:tab w:val="left" w:pos="709"/>
              </w:tabs>
              <w:spacing w:before="60" w:after="60" w:line="360" w:lineRule="auto"/>
              <w:jc w:val="left"/>
              <w:rPr>
                <w:rFonts w:ascii="Arial" w:hAnsi="Arial" w:cs="Arial"/>
                <w:i/>
                <w:color w:val="FF0000"/>
                <w:sz w:val="16"/>
                <w:szCs w:val="16"/>
              </w:rPr>
            </w:pPr>
          </w:p>
          <w:p w:rsidR="0086046C" w:rsidRPr="0086046C" w:rsidRDefault="0086046C" w:rsidP="0086046C">
            <w:pPr>
              <w:keepLines w:val="0"/>
              <w:tabs>
                <w:tab w:val="left" w:pos="709"/>
              </w:tabs>
              <w:spacing w:before="60" w:after="60" w:line="360" w:lineRule="auto"/>
              <w:jc w:val="left"/>
              <w:rPr>
                <w:rFonts w:ascii="Arial" w:hAnsi="Arial" w:cs="Arial"/>
                <w:i/>
                <w:color w:val="FF0000"/>
                <w:sz w:val="16"/>
                <w:szCs w:val="16"/>
              </w:rPr>
            </w:pPr>
          </w:p>
          <w:p w:rsidR="0086046C" w:rsidRPr="0086046C" w:rsidRDefault="00BA7A7F" w:rsidP="0086046C">
            <w:pPr>
              <w:keepLines w:val="0"/>
              <w:spacing w:before="60" w:after="60" w:line="360" w:lineRule="auto"/>
              <w:jc w:val="left"/>
              <w:rPr>
                <w:rFonts w:ascii="Arial" w:eastAsia="Calibri" w:hAnsi="Arial"/>
                <w:i/>
                <w:color w:val="0070C0"/>
                <w:sz w:val="16"/>
                <w:szCs w:val="16"/>
                <w:lang w:val="en-US" w:eastAsia="en-US"/>
              </w:rPr>
            </w:pPr>
            <w:r w:rsidRPr="0086046C">
              <w:rPr>
                <w:rFonts w:ascii="Arial" w:eastAsia="Calibri" w:hAnsi="Arial" w:cs="Arial"/>
                <w:i/>
                <w:sz w:val="16"/>
                <w:szCs w:val="16"/>
                <w:lang w:val="en-US" w:eastAsia="en-US"/>
              </w:rPr>
              <w:t>$1.</w:t>
            </w:r>
            <w:r>
              <w:rPr>
                <w:rFonts w:ascii="Arial" w:eastAsia="Calibri" w:hAnsi="Arial" w:cs="Arial"/>
                <w:i/>
                <w:iCs/>
                <w:sz w:val="16"/>
                <w:szCs w:val="16"/>
                <w:lang w:val="en-US" w:eastAsia="en-US"/>
              </w:rPr>
              <w:t>1b</w:t>
            </w:r>
            <w:r>
              <w:rPr>
                <w:rFonts w:ascii="Arial" w:eastAsia="Calibri" w:hAnsi="Arial" w:cs="Arial"/>
                <w:i/>
                <w:sz w:val="16"/>
                <w:szCs w:val="16"/>
                <w:lang w:val="en-US" w:eastAsia="en-US"/>
              </w:rPr>
              <w:t xml:space="preserve"> - $1.5b</w:t>
            </w:r>
          </w:p>
        </w:tc>
      </w:tr>
      <w:tr w:rsidR="00253274" w:rsidTr="002C6A9F">
        <w:trPr>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46C" w:rsidRPr="0086046C" w:rsidRDefault="0086046C" w:rsidP="0086046C">
            <w:pPr>
              <w:keepLines w:val="0"/>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rsidR="0086046C" w:rsidRPr="0086046C" w:rsidRDefault="00BA7A7F" w:rsidP="0086046C">
            <w:pPr>
              <w:keepLines w:val="0"/>
              <w:spacing w:before="60" w:after="60" w:line="240" w:lineRule="auto"/>
              <w:jc w:val="left"/>
              <w:rPr>
                <w:rFonts w:ascii="Arial" w:eastAsia="Calibri" w:hAnsi="Arial" w:cs="Arial"/>
                <w:iCs/>
                <w:sz w:val="16"/>
                <w:szCs w:val="16"/>
                <w:bdr w:val="none" w:sz="0" w:space="0" w:color="auto" w:frame="1"/>
                <w:lang w:val="en-US" w:eastAsia="en-US"/>
              </w:rPr>
            </w:pPr>
            <w:r w:rsidRPr="0086046C">
              <w:rPr>
                <w:rFonts w:ascii="Arial" w:eastAsia="Calibri" w:hAnsi="Arial" w:cs="Arial"/>
                <w:iCs/>
                <w:sz w:val="16"/>
                <w:szCs w:val="16"/>
                <w:bdr w:val="none" w:sz="0" w:space="0" w:color="auto" w:frame="1"/>
                <w:lang w:val="en-US" w:eastAsia="en-US"/>
              </w:rPr>
              <w:t>Carbon emission reduction from FY2022 new investments</w:t>
            </w:r>
            <w:r>
              <w:rPr>
                <w:rFonts w:ascii="Arial" w:eastAsia="Calibri" w:hAnsi="Arial" w:cs="Arial"/>
                <w:iCs/>
                <w:sz w:val="16"/>
                <w:szCs w:val="16"/>
                <w:bdr w:val="none" w:sz="0" w:space="0" w:color="auto" w:frame="1"/>
                <w:lang w:val="en-US" w:eastAsia="en-US"/>
              </w:rPr>
              <w:t>.</w:t>
            </w:r>
          </w:p>
          <w:p w:rsidR="0086046C" w:rsidRPr="002C6A9F" w:rsidRDefault="00BA7A7F" w:rsidP="0086046C">
            <w:pPr>
              <w:keepLines w:val="0"/>
              <w:tabs>
                <w:tab w:val="left" w:pos="709"/>
              </w:tabs>
              <w:spacing w:before="60" w:after="60" w:line="240" w:lineRule="auto"/>
              <w:jc w:val="left"/>
              <w:rPr>
                <w:rFonts w:ascii="Arial" w:hAnsi="Arial" w:cs="Arial"/>
                <w:i/>
                <w:iCs/>
                <w:sz w:val="16"/>
                <w:szCs w:val="16"/>
              </w:rPr>
            </w:pPr>
            <w:r w:rsidRPr="0086046C">
              <w:rPr>
                <w:rFonts w:ascii="Arial" w:hAnsi="Arial" w:cs="Arial"/>
                <w:i/>
                <w:iCs/>
                <w:sz w:val="16"/>
                <w:szCs w:val="16"/>
              </w:rPr>
              <w:t>Target: 0.6MtCO2e p.a. - 1.0MtCO2e p.a.</w:t>
            </w:r>
          </w:p>
        </w:tc>
        <w:tc>
          <w:tcPr>
            <w:tcW w:w="3118" w:type="dxa"/>
            <w:tcBorders>
              <w:top w:val="single" w:sz="4" w:space="0" w:color="auto"/>
              <w:left w:val="single" w:sz="4" w:space="0" w:color="auto"/>
              <w:bottom w:val="single" w:sz="4" w:space="0" w:color="auto"/>
              <w:right w:val="single" w:sz="4" w:space="0" w:color="auto"/>
            </w:tcBorders>
          </w:tcPr>
          <w:p w:rsidR="0086046C" w:rsidRPr="0086046C" w:rsidRDefault="0086046C" w:rsidP="0086046C">
            <w:pPr>
              <w:keepLines w:val="0"/>
              <w:spacing w:before="60" w:after="60" w:line="240" w:lineRule="auto"/>
              <w:jc w:val="left"/>
              <w:rPr>
                <w:rFonts w:ascii="Arial" w:eastAsia="Calibri" w:hAnsi="Arial" w:cs="Arial"/>
                <w:sz w:val="16"/>
                <w:szCs w:val="16"/>
                <w:bdr w:val="none" w:sz="0" w:space="0" w:color="auto" w:frame="1"/>
                <w:lang w:val="en-US" w:eastAsia="en-US"/>
              </w:rPr>
            </w:pPr>
          </w:p>
          <w:p w:rsidR="0086046C" w:rsidRPr="0086046C" w:rsidRDefault="0086046C" w:rsidP="0086046C">
            <w:pPr>
              <w:keepLines w:val="0"/>
              <w:spacing w:before="60" w:after="60" w:line="240" w:lineRule="auto"/>
              <w:jc w:val="left"/>
              <w:rPr>
                <w:rFonts w:ascii="Arial" w:eastAsia="Calibri" w:hAnsi="Arial" w:cs="Arial"/>
                <w:i/>
                <w:iCs/>
                <w:sz w:val="16"/>
                <w:szCs w:val="16"/>
                <w:bdr w:val="none" w:sz="0" w:space="0" w:color="auto" w:frame="1"/>
                <w:lang w:val="en-US" w:eastAsia="en-US"/>
              </w:rPr>
            </w:pPr>
          </w:p>
          <w:p w:rsidR="0086046C" w:rsidRPr="0086046C" w:rsidRDefault="00BA7A7F" w:rsidP="0086046C">
            <w:pPr>
              <w:keepLines w:val="0"/>
              <w:spacing w:before="60" w:after="60" w:line="240" w:lineRule="auto"/>
              <w:jc w:val="left"/>
              <w:rPr>
                <w:rFonts w:ascii="Arial" w:eastAsia="Calibri" w:hAnsi="Arial"/>
                <w:i/>
                <w:iCs/>
                <w:color w:val="0070C0"/>
                <w:sz w:val="16"/>
                <w:szCs w:val="16"/>
                <w:lang w:val="en-US" w:eastAsia="en-US"/>
              </w:rPr>
            </w:pPr>
            <w:r w:rsidRPr="0086046C">
              <w:rPr>
                <w:rFonts w:ascii="Arial" w:eastAsia="Calibri" w:hAnsi="Arial" w:cs="Arial"/>
                <w:i/>
                <w:iCs/>
                <w:sz w:val="16"/>
                <w:szCs w:val="16"/>
                <w:bdr w:val="none" w:sz="0" w:space="0" w:color="auto" w:frame="1"/>
                <w:lang w:val="en-US" w:eastAsia="en-US"/>
              </w:rPr>
              <w:t>1.3MtCO2e</w:t>
            </w:r>
            <w:r w:rsidRPr="0086046C">
              <w:rPr>
                <w:rFonts w:ascii="Arial" w:eastAsia="Calibri" w:hAnsi="Arial" w:cs="Arial"/>
                <w:i/>
                <w:sz w:val="16"/>
                <w:szCs w:val="16"/>
                <w:bdr w:val="none" w:sz="0" w:space="0" w:color="auto" w:frame="1"/>
                <w:lang w:val="en-US" w:eastAsia="en-US"/>
              </w:rPr>
              <w:t xml:space="preserve"> p.a. - 1.</w:t>
            </w:r>
            <w:r w:rsidRPr="0086046C">
              <w:rPr>
                <w:rFonts w:ascii="Arial" w:eastAsia="Calibri" w:hAnsi="Arial" w:cs="Arial"/>
                <w:i/>
                <w:iCs/>
                <w:sz w:val="16"/>
                <w:szCs w:val="16"/>
                <w:bdr w:val="none" w:sz="0" w:space="0" w:color="auto" w:frame="1"/>
                <w:lang w:val="en-US" w:eastAsia="en-US"/>
              </w:rPr>
              <w:t>4MtCO2e</w:t>
            </w:r>
            <w:r w:rsidRPr="0086046C">
              <w:rPr>
                <w:rFonts w:ascii="Arial" w:eastAsia="Calibri" w:hAnsi="Arial" w:cs="Arial"/>
                <w:i/>
                <w:sz w:val="16"/>
                <w:szCs w:val="16"/>
                <w:bdr w:val="none" w:sz="0" w:space="0" w:color="auto" w:frame="1"/>
                <w:lang w:val="en-US" w:eastAsia="en-US"/>
              </w:rPr>
              <w:t xml:space="preserve"> p.a.</w:t>
            </w:r>
          </w:p>
        </w:tc>
      </w:tr>
      <w:tr w:rsidR="00253274" w:rsidTr="002C6A9F">
        <w:trPr>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46C" w:rsidRPr="0086046C" w:rsidRDefault="0086046C" w:rsidP="0086046C">
            <w:pPr>
              <w:keepLines w:val="0"/>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rsidR="0086046C" w:rsidRPr="0086046C" w:rsidRDefault="00BA7A7F" w:rsidP="0086046C">
            <w:pPr>
              <w:keepLines w:val="0"/>
              <w:spacing w:before="60" w:after="60" w:line="240" w:lineRule="auto"/>
              <w:jc w:val="left"/>
              <w:rPr>
                <w:rFonts w:ascii="Arial" w:eastAsia="Calibri" w:hAnsi="Arial" w:cs="Arial"/>
                <w:iCs/>
                <w:sz w:val="16"/>
                <w:szCs w:val="16"/>
                <w:bdr w:val="none" w:sz="0" w:space="0" w:color="auto" w:frame="1"/>
                <w:lang w:val="en-US" w:eastAsia="en-US"/>
              </w:rPr>
            </w:pPr>
            <w:r w:rsidRPr="0086046C">
              <w:rPr>
                <w:rFonts w:ascii="Arial" w:eastAsia="Calibri" w:hAnsi="Arial" w:cs="Arial"/>
                <w:iCs/>
                <w:sz w:val="16"/>
                <w:szCs w:val="16"/>
                <w:bdr w:val="none" w:sz="0" w:space="0" w:color="auto" w:frame="1"/>
                <w:lang w:val="en-US" w:eastAsia="en-US"/>
              </w:rPr>
              <w:t>Increase private sector capital flowing to the Australian clean energy sector and attract new investor classes into the sector.</w:t>
            </w:r>
          </w:p>
          <w:p w:rsidR="0086046C" w:rsidRPr="002C6A9F" w:rsidRDefault="00BA7A7F" w:rsidP="0086046C">
            <w:pPr>
              <w:keepLines w:val="0"/>
              <w:tabs>
                <w:tab w:val="left" w:pos="709"/>
              </w:tabs>
              <w:spacing w:before="60" w:after="60" w:line="240" w:lineRule="auto"/>
              <w:jc w:val="left"/>
              <w:rPr>
                <w:rFonts w:ascii="Arial" w:hAnsi="Arial" w:cs="Arial"/>
                <w:i/>
                <w:iCs/>
                <w:sz w:val="16"/>
                <w:szCs w:val="16"/>
              </w:rPr>
            </w:pPr>
            <w:r w:rsidRPr="0086046C">
              <w:rPr>
                <w:rFonts w:ascii="Arial" w:hAnsi="Arial" w:cs="Arial"/>
                <w:i/>
                <w:iCs/>
                <w:sz w:val="16"/>
                <w:szCs w:val="16"/>
              </w:rPr>
              <w:t>Target: 2.5:1 - 3:1</w:t>
            </w:r>
          </w:p>
        </w:tc>
        <w:tc>
          <w:tcPr>
            <w:tcW w:w="3118" w:type="dxa"/>
            <w:tcBorders>
              <w:top w:val="single" w:sz="4" w:space="0" w:color="auto"/>
              <w:left w:val="single" w:sz="4" w:space="0" w:color="auto"/>
              <w:bottom w:val="single" w:sz="4" w:space="0" w:color="auto"/>
              <w:right w:val="single" w:sz="4" w:space="0" w:color="auto"/>
            </w:tcBorders>
          </w:tcPr>
          <w:p w:rsidR="0086046C" w:rsidRPr="0086046C" w:rsidRDefault="0086046C" w:rsidP="0086046C">
            <w:pPr>
              <w:keepLines w:val="0"/>
              <w:spacing w:before="60" w:after="60" w:line="240" w:lineRule="auto"/>
              <w:jc w:val="left"/>
              <w:rPr>
                <w:rFonts w:ascii="Arial" w:eastAsia="Calibri" w:hAnsi="Arial" w:cs="Arial"/>
                <w:i/>
                <w:sz w:val="16"/>
                <w:szCs w:val="16"/>
                <w:bdr w:val="none" w:sz="0" w:space="0" w:color="auto" w:frame="1"/>
                <w:lang w:val="en-US" w:eastAsia="en-US"/>
              </w:rPr>
            </w:pPr>
          </w:p>
          <w:p w:rsidR="0086046C" w:rsidRPr="0086046C" w:rsidRDefault="0086046C" w:rsidP="0086046C">
            <w:pPr>
              <w:keepLines w:val="0"/>
              <w:spacing w:before="60" w:after="60" w:line="240" w:lineRule="auto"/>
              <w:jc w:val="left"/>
              <w:rPr>
                <w:rFonts w:ascii="Arial" w:eastAsia="Calibri" w:hAnsi="Arial" w:cs="Arial"/>
                <w:i/>
                <w:sz w:val="16"/>
                <w:szCs w:val="16"/>
                <w:bdr w:val="none" w:sz="0" w:space="0" w:color="auto" w:frame="1"/>
                <w:lang w:val="en-US" w:eastAsia="en-US"/>
              </w:rPr>
            </w:pPr>
          </w:p>
          <w:p w:rsidR="0086046C" w:rsidRPr="0086046C" w:rsidRDefault="0086046C" w:rsidP="0086046C">
            <w:pPr>
              <w:keepLines w:val="0"/>
              <w:spacing w:before="60" w:after="60" w:line="240" w:lineRule="auto"/>
              <w:jc w:val="left"/>
              <w:rPr>
                <w:rFonts w:ascii="Arial" w:eastAsia="Calibri" w:hAnsi="Arial" w:cs="Arial"/>
                <w:i/>
                <w:sz w:val="16"/>
                <w:szCs w:val="16"/>
                <w:bdr w:val="none" w:sz="0" w:space="0" w:color="auto" w:frame="1"/>
                <w:lang w:val="en-US" w:eastAsia="en-US"/>
              </w:rPr>
            </w:pPr>
          </w:p>
          <w:p w:rsidR="0086046C" w:rsidRPr="0086046C" w:rsidRDefault="00BA7A7F" w:rsidP="0086046C">
            <w:pPr>
              <w:keepLines w:val="0"/>
              <w:spacing w:before="60" w:after="60" w:line="240" w:lineRule="auto"/>
              <w:jc w:val="left"/>
              <w:rPr>
                <w:rFonts w:ascii="Arial" w:eastAsia="Calibri" w:hAnsi="Arial"/>
                <w:i/>
                <w:color w:val="0070C0"/>
                <w:sz w:val="16"/>
                <w:szCs w:val="16"/>
                <w:lang w:val="en-US" w:eastAsia="en-US"/>
              </w:rPr>
            </w:pPr>
            <w:r w:rsidRPr="0086046C">
              <w:rPr>
                <w:rFonts w:ascii="Arial" w:eastAsia="Calibri" w:hAnsi="Arial" w:cs="Arial"/>
                <w:i/>
                <w:sz w:val="16"/>
                <w:szCs w:val="16"/>
                <w:bdr w:val="none" w:sz="0" w:space="0" w:color="auto" w:frame="1"/>
                <w:lang w:val="en-US" w:eastAsia="en-US"/>
              </w:rPr>
              <w:t>2.5:1 - 3:1</w:t>
            </w:r>
          </w:p>
        </w:tc>
      </w:tr>
      <w:tr w:rsidR="00253274" w:rsidTr="002C6A9F">
        <w:trPr>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46C" w:rsidRPr="0086046C" w:rsidRDefault="0086046C" w:rsidP="0086046C">
            <w:pPr>
              <w:keepLines w:val="0"/>
              <w:spacing w:after="0" w:line="240" w:lineRule="auto"/>
              <w:jc w:val="left"/>
              <w:rPr>
                <w:rFonts w:ascii="Arial" w:hAnsi="Arial" w:cs="Arial"/>
                <w:sz w:val="16"/>
                <w:szCs w:val="16"/>
              </w:rPr>
            </w:pPr>
          </w:p>
        </w:tc>
        <w:tc>
          <w:tcPr>
            <w:tcW w:w="3118" w:type="dxa"/>
            <w:tcBorders>
              <w:top w:val="dotted" w:sz="4" w:space="0" w:color="auto"/>
              <w:left w:val="single" w:sz="4" w:space="0" w:color="auto"/>
              <w:bottom w:val="single" w:sz="4" w:space="0" w:color="auto"/>
              <w:right w:val="single" w:sz="4" w:space="0" w:color="auto"/>
            </w:tcBorders>
          </w:tcPr>
          <w:p w:rsidR="0086046C" w:rsidRPr="0086046C" w:rsidRDefault="00BA7A7F" w:rsidP="0086046C">
            <w:pPr>
              <w:keepLines w:val="0"/>
              <w:spacing w:before="60" w:after="60" w:line="240" w:lineRule="auto"/>
              <w:jc w:val="left"/>
              <w:rPr>
                <w:rFonts w:ascii="Arial" w:eastAsia="Calibri" w:hAnsi="Arial" w:cs="Arial"/>
                <w:iCs/>
                <w:sz w:val="16"/>
                <w:szCs w:val="16"/>
                <w:bdr w:val="none" w:sz="0" w:space="0" w:color="auto" w:frame="1"/>
                <w:lang w:val="en-US" w:eastAsia="en-US"/>
              </w:rPr>
            </w:pPr>
            <w:r w:rsidRPr="0086046C">
              <w:rPr>
                <w:rFonts w:ascii="Arial" w:eastAsia="Calibri" w:hAnsi="Arial" w:cs="Arial"/>
                <w:iCs/>
                <w:sz w:val="16"/>
                <w:szCs w:val="16"/>
                <w:bdr w:val="none" w:sz="0" w:space="0" w:color="auto" w:frame="1"/>
                <w:lang w:val="en-US" w:eastAsia="en-US"/>
              </w:rPr>
              <w:t>Amount of new capital leveraged / unlocked that invests in Australian clean energy technology, business model or financial structures / products for the first time</w:t>
            </w:r>
            <w:r>
              <w:rPr>
                <w:rFonts w:ascii="Arial" w:eastAsia="Calibri" w:hAnsi="Arial" w:cs="Arial"/>
                <w:iCs/>
                <w:sz w:val="16"/>
                <w:szCs w:val="16"/>
                <w:bdr w:val="none" w:sz="0" w:space="0" w:color="auto" w:frame="1"/>
                <w:lang w:val="en-US" w:eastAsia="en-US"/>
              </w:rPr>
              <w:t>.</w:t>
            </w:r>
          </w:p>
          <w:p w:rsidR="0086046C" w:rsidRPr="002C6A9F" w:rsidRDefault="00BA7A7F" w:rsidP="002C6A9F">
            <w:pPr>
              <w:keepLines w:val="0"/>
              <w:tabs>
                <w:tab w:val="left" w:pos="709"/>
              </w:tabs>
              <w:spacing w:before="60" w:after="60" w:line="240" w:lineRule="auto"/>
              <w:jc w:val="left"/>
              <w:rPr>
                <w:rFonts w:ascii="Arial" w:hAnsi="Arial" w:cs="Arial"/>
                <w:i/>
                <w:iCs/>
                <w:sz w:val="16"/>
                <w:szCs w:val="16"/>
              </w:rPr>
            </w:pPr>
            <w:r w:rsidRPr="0086046C">
              <w:rPr>
                <w:rFonts w:ascii="Arial" w:hAnsi="Arial" w:cs="Arial"/>
                <w:i/>
                <w:iCs/>
                <w:sz w:val="16"/>
                <w:szCs w:val="16"/>
              </w:rPr>
              <w:t>Target: $250m – $400m</w:t>
            </w:r>
          </w:p>
        </w:tc>
        <w:tc>
          <w:tcPr>
            <w:tcW w:w="3118" w:type="dxa"/>
            <w:tcBorders>
              <w:top w:val="dotted" w:sz="4" w:space="0" w:color="auto"/>
              <w:left w:val="single" w:sz="4" w:space="0" w:color="auto"/>
              <w:bottom w:val="single" w:sz="4" w:space="0" w:color="auto"/>
              <w:right w:val="single" w:sz="4" w:space="0" w:color="auto"/>
            </w:tcBorders>
          </w:tcPr>
          <w:p w:rsidR="0086046C" w:rsidRPr="0086046C" w:rsidRDefault="0086046C" w:rsidP="0086046C">
            <w:pPr>
              <w:keepLines w:val="0"/>
              <w:spacing w:before="60" w:after="60" w:line="240" w:lineRule="auto"/>
              <w:jc w:val="left"/>
              <w:rPr>
                <w:rFonts w:ascii="Arial" w:eastAsia="Calibri" w:hAnsi="Arial" w:cs="Arial"/>
                <w:i/>
                <w:sz w:val="16"/>
                <w:szCs w:val="16"/>
                <w:bdr w:val="none" w:sz="0" w:space="0" w:color="auto" w:frame="1"/>
                <w:lang w:val="en-US" w:eastAsia="en-US"/>
              </w:rPr>
            </w:pPr>
          </w:p>
          <w:p w:rsidR="0086046C" w:rsidRPr="0086046C" w:rsidRDefault="0086046C" w:rsidP="0086046C">
            <w:pPr>
              <w:keepLines w:val="0"/>
              <w:spacing w:before="60" w:after="60" w:line="240" w:lineRule="auto"/>
              <w:jc w:val="left"/>
              <w:rPr>
                <w:rFonts w:ascii="Arial" w:eastAsia="Calibri" w:hAnsi="Arial" w:cs="Arial"/>
                <w:i/>
                <w:sz w:val="16"/>
                <w:szCs w:val="16"/>
                <w:bdr w:val="none" w:sz="0" w:space="0" w:color="auto" w:frame="1"/>
                <w:lang w:val="en-US" w:eastAsia="en-US"/>
              </w:rPr>
            </w:pPr>
          </w:p>
          <w:p w:rsidR="0086046C" w:rsidRPr="0086046C" w:rsidRDefault="0086046C" w:rsidP="0086046C">
            <w:pPr>
              <w:keepLines w:val="0"/>
              <w:spacing w:before="60" w:after="60" w:line="240" w:lineRule="auto"/>
              <w:jc w:val="left"/>
              <w:rPr>
                <w:rFonts w:ascii="Arial" w:eastAsia="Calibri" w:hAnsi="Arial" w:cs="Arial"/>
                <w:i/>
                <w:sz w:val="16"/>
                <w:szCs w:val="16"/>
                <w:bdr w:val="none" w:sz="0" w:space="0" w:color="auto" w:frame="1"/>
                <w:lang w:val="en-US" w:eastAsia="en-US"/>
              </w:rPr>
            </w:pPr>
          </w:p>
          <w:p w:rsidR="0086046C" w:rsidRPr="0086046C" w:rsidRDefault="0086046C" w:rsidP="0086046C">
            <w:pPr>
              <w:keepLines w:val="0"/>
              <w:spacing w:before="60" w:after="60" w:line="240" w:lineRule="auto"/>
              <w:jc w:val="left"/>
              <w:rPr>
                <w:rFonts w:ascii="Arial" w:eastAsia="Calibri" w:hAnsi="Arial" w:cs="Arial"/>
                <w:i/>
                <w:sz w:val="16"/>
                <w:szCs w:val="16"/>
                <w:bdr w:val="none" w:sz="0" w:space="0" w:color="auto" w:frame="1"/>
                <w:lang w:val="en-US" w:eastAsia="en-US"/>
              </w:rPr>
            </w:pPr>
          </w:p>
          <w:p w:rsidR="0086046C" w:rsidRPr="0086046C" w:rsidRDefault="00BA7A7F" w:rsidP="002C6A9F">
            <w:pPr>
              <w:keepLines w:val="0"/>
              <w:spacing w:before="60" w:after="60" w:line="240" w:lineRule="auto"/>
              <w:jc w:val="left"/>
              <w:rPr>
                <w:rFonts w:ascii="Arial" w:eastAsia="Calibri" w:hAnsi="Arial" w:cs="Arial"/>
                <w:i/>
                <w:sz w:val="16"/>
                <w:szCs w:val="16"/>
                <w:bdr w:val="none" w:sz="0" w:space="0" w:color="auto" w:frame="1"/>
                <w:lang w:val="en-US" w:eastAsia="en-US"/>
              </w:rPr>
            </w:pPr>
            <w:r w:rsidRPr="0086046C">
              <w:rPr>
                <w:rFonts w:ascii="Arial" w:eastAsia="Calibri" w:hAnsi="Arial" w:cs="Arial"/>
                <w:i/>
                <w:sz w:val="16"/>
                <w:szCs w:val="16"/>
                <w:bdr w:val="none" w:sz="0" w:space="0" w:color="auto" w:frame="1"/>
                <w:lang w:val="en-US" w:eastAsia="en-US"/>
              </w:rPr>
              <w:t>$300m – $400m</w:t>
            </w:r>
          </w:p>
        </w:tc>
      </w:tr>
    </w:tbl>
    <w:p w:rsidR="00B25097" w:rsidRDefault="00BA7A7F">
      <w: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53274" w:rsidTr="002C6A9F">
        <w:trPr>
          <w:trHeight w:val="100"/>
        </w:trPr>
        <w:tc>
          <w:tcPr>
            <w:tcW w:w="1560" w:type="dxa"/>
            <w:tcBorders>
              <w:top w:val="single" w:sz="4" w:space="0" w:color="auto"/>
              <w:left w:val="single" w:sz="4" w:space="0" w:color="auto"/>
              <w:bottom w:val="dotted" w:sz="4" w:space="0" w:color="auto"/>
              <w:right w:val="single" w:sz="4" w:space="0" w:color="auto"/>
            </w:tcBorders>
          </w:tcPr>
          <w:p w:rsidR="0086046C" w:rsidRPr="0086046C" w:rsidRDefault="00BA7A7F" w:rsidP="0086046C">
            <w:pPr>
              <w:keepLines w:val="0"/>
              <w:spacing w:before="60" w:after="60" w:line="240" w:lineRule="auto"/>
              <w:jc w:val="left"/>
              <w:rPr>
                <w:rFonts w:ascii="Arial" w:eastAsia="Calibri" w:hAnsi="Arial" w:cs="Arial"/>
                <w:b/>
                <w:sz w:val="16"/>
                <w:szCs w:val="16"/>
                <w:lang w:val="en-US" w:eastAsia="en-US"/>
              </w:rPr>
            </w:pPr>
            <w:r w:rsidRPr="0086046C">
              <w:rPr>
                <w:rFonts w:ascii="Arial" w:eastAsia="Calibri" w:hAnsi="Arial" w:cs="Arial"/>
                <w:b/>
                <w:sz w:val="16"/>
                <w:szCs w:val="16"/>
                <w:lang w:val="en-US" w:eastAsia="en-US"/>
              </w:rPr>
              <w:t>Year</w:t>
            </w:r>
          </w:p>
        </w:tc>
        <w:tc>
          <w:tcPr>
            <w:tcW w:w="3118" w:type="dxa"/>
            <w:tcBorders>
              <w:top w:val="single" w:sz="4" w:space="0" w:color="auto"/>
              <w:left w:val="single" w:sz="4" w:space="0" w:color="auto"/>
              <w:bottom w:val="single" w:sz="4" w:space="0" w:color="auto"/>
              <w:right w:val="single" w:sz="4" w:space="0" w:color="auto"/>
            </w:tcBorders>
            <w:hideMark/>
          </w:tcPr>
          <w:p w:rsidR="0086046C" w:rsidRPr="0086046C" w:rsidRDefault="00BA7A7F" w:rsidP="0086046C">
            <w:pPr>
              <w:keepLines w:val="0"/>
              <w:spacing w:before="60" w:after="60" w:line="240" w:lineRule="auto"/>
              <w:jc w:val="left"/>
              <w:rPr>
                <w:rFonts w:ascii="Arial" w:eastAsia="Calibri" w:hAnsi="Arial" w:cs="Arial"/>
                <w:b/>
                <w:sz w:val="16"/>
                <w:szCs w:val="16"/>
                <w:lang w:val="en-US" w:eastAsia="en-US"/>
              </w:rPr>
            </w:pPr>
            <w:r w:rsidRPr="0086046C">
              <w:rPr>
                <w:rFonts w:ascii="Arial" w:eastAsia="Calibri" w:hAnsi="Arial" w:cs="Arial"/>
                <w:b/>
                <w:sz w:val="16"/>
                <w:szCs w:val="16"/>
                <w:lang w:val="en-US" w:eastAsia="en-US"/>
              </w:rPr>
              <w:t>Performance measures</w:t>
            </w:r>
          </w:p>
        </w:tc>
        <w:tc>
          <w:tcPr>
            <w:tcW w:w="3118" w:type="dxa"/>
            <w:tcBorders>
              <w:top w:val="single" w:sz="4" w:space="0" w:color="auto"/>
              <w:left w:val="single" w:sz="4" w:space="0" w:color="auto"/>
              <w:bottom w:val="single" w:sz="4" w:space="0" w:color="auto"/>
              <w:right w:val="single" w:sz="4" w:space="0" w:color="auto"/>
            </w:tcBorders>
            <w:hideMark/>
          </w:tcPr>
          <w:p w:rsidR="0086046C" w:rsidRPr="0086046C" w:rsidRDefault="00BA7A7F" w:rsidP="0086046C">
            <w:pPr>
              <w:keepLines w:val="0"/>
              <w:spacing w:before="60" w:after="60" w:line="240" w:lineRule="auto"/>
              <w:jc w:val="left"/>
              <w:rPr>
                <w:rFonts w:ascii="Arial" w:eastAsia="Calibri" w:hAnsi="Arial" w:cs="Arial"/>
                <w:b/>
                <w:sz w:val="16"/>
                <w:szCs w:val="16"/>
                <w:lang w:val="en-US" w:eastAsia="en-US"/>
              </w:rPr>
            </w:pPr>
            <w:r w:rsidRPr="0086046C">
              <w:rPr>
                <w:rFonts w:ascii="Arial" w:eastAsia="Calibri" w:hAnsi="Arial" w:cs="Arial"/>
                <w:b/>
                <w:sz w:val="16"/>
                <w:szCs w:val="16"/>
                <w:lang w:val="en-US" w:eastAsia="en-US"/>
              </w:rPr>
              <w:t>Planned Performance Results</w:t>
            </w:r>
          </w:p>
        </w:tc>
      </w:tr>
      <w:tr w:rsidR="00253274" w:rsidTr="003007EA">
        <w:trPr>
          <w:trHeight w:val="2925"/>
        </w:trPr>
        <w:tc>
          <w:tcPr>
            <w:tcW w:w="1560" w:type="dxa"/>
            <w:vMerge w:val="restart"/>
            <w:tcBorders>
              <w:top w:val="single" w:sz="4" w:space="0" w:color="auto"/>
              <w:left w:val="single" w:sz="4" w:space="0" w:color="auto"/>
              <w:right w:val="single" w:sz="4" w:space="0" w:color="auto"/>
            </w:tcBorders>
            <w:hideMark/>
          </w:tcPr>
          <w:p w:rsidR="00BA4789" w:rsidRDefault="00BA7A7F" w:rsidP="00BA4789">
            <w:pPr>
              <w:keepLines w:val="0"/>
              <w:spacing w:before="60" w:after="60" w:line="240"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Budget Year </w:t>
            </w:r>
          </w:p>
          <w:p w:rsidR="00D8571F" w:rsidRPr="0086046C" w:rsidRDefault="00BA7A7F" w:rsidP="00BA4789">
            <w:pPr>
              <w:keepLines w:val="0"/>
              <w:spacing w:before="60" w:after="60" w:line="240" w:lineRule="auto"/>
              <w:jc w:val="left"/>
              <w:rPr>
                <w:rFonts w:ascii="Arial" w:eastAsia="Calibri" w:hAnsi="Arial" w:cs="Arial"/>
                <w:sz w:val="18"/>
                <w:lang w:val="en-US" w:eastAsia="en-US"/>
              </w:rPr>
            </w:pPr>
            <w:r>
              <w:rPr>
                <w:rFonts w:ascii="Arial" w:eastAsia="Calibri" w:hAnsi="Arial" w:cs="Arial"/>
                <w:sz w:val="16"/>
                <w:szCs w:val="16"/>
                <w:lang w:val="en-US" w:eastAsia="en-US"/>
              </w:rPr>
              <w:t>2022-23</w:t>
            </w:r>
          </w:p>
        </w:tc>
        <w:tc>
          <w:tcPr>
            <w:tcW w:w="3118" w:type="dxa"/>
            <w:tcBorders>
              <w:top w:val="single" w:sz="4" w:space="0" w:color="auto"/>
              <w:left w:val="single" w:sz="4" w:space="0" w:color="auto"/>
              <w:bottom w:val="single" w:sz="4" w:space="0" w:color="auto"/>
              <w:right w:val="single" w:sz="4" w:space="0" w:color="auto"/>
            </w:tcBorders>
          </w:tcPr>
          <w:p w:rsidR="00D8571F" w:rsidRPr="0086046C" w:rsidRDefault="00BA7A7F" w:rsidP="0086046C">
            <w:pPr>
              <w:keepLines w:val="0"/>
              <w:tabs>
                <w:tab w:val="left" w:pos="709"/>
              </w:tabs>
              <w:spacing w:before="60" w:after="60" w:line="240" w:lineRule="auto"/>
              <w:jc w:val="left"/>
              <w:rPr>
                <w:rFonts w:ascii="Arial" w:hAnsi="Arial" w:cs="Arial"/>
                <w:iCs/>
                <w:sz w:val="16"/>
                <w:szCs w:val="16"/>
                <w:bdr w:val="none" w:sz="0" w:space="0" w:color="auto" w:frame="1"/>
              </w:rPr>
            </w:pPr>
            <w:r w:rsidRPr="0086046C">
              <w:rPr>
                <w:rFonts w:ascii="Arial" w:hAnsi="Arial" w:cs="Arial"/>
                <w:iCs/>
                <w:sz w:val="16"/>
                <w:szCs w:val="16"/>
                <w:bdr w:val="none" w:sz="0" w:space="0" w:color="auto" w:frame="1"/>
              </w:rPr>
              <w:t>Be financially sustainable and maintain an investment portfolio that, over the longer term, facilitates emissions reductions, generates positive financial returns within risk appetite.</w:t>
            </w:r>
          </w:p>
          <w:p w:rsidR="00D8571F" w:rsidRPr="0086046C" w:rsidRDefault="00BA7A7F" w:rsidP="0086046C">
            <w:pPr>
              <w:keepLines w:val="0"/>
              <w:numPr>
                <w:ilvl w:val="0"/>
                <w:numId w:val="80"/>
              </w:numPr>
              <w:tabs>
                <w:tab w:val="left" w:pos="459"/>
              </w:tabs>
              <w:spacing w:before="60" w:after="60" w:line="240" w:lineRule="auto"/>
              <w:ind w:left="357" w:hanging="357"/>
              <w:jc w:val="left"/>
              <w:rPr>
                <w:rFonts w:ascii="Arial" w:hAnsi="Arial" w:cs="Arial"/>
                <w:i/>
                <w:sz w:val="16"/>
                <w:szCs w:val="16"/>
              </w:rPr>
            </w:pPr>
            <w:r w:rsidRPr="0086046C">
              <w:rPr>
                <w:rFonts w:ascii="Arial" w:hAnsi="Arial" w:cs="Arial"/>
                <w:sz w:val="16"/>
                <w:szCs w:val="16"/>
                <w:bdr w:val="none" w:sz="0" w:space="0" w:color="auto" w:frame="1"/>
              </w:rPr>
              <w:t>Free Cash Flows from Operations (FCFO) after implied costs of government funding – ‘paying our way’.</w:t>
            </w:r>
          </w:p>
          <w:p w:rsidR="00D8571F" w:rsidRPr="002C6A9F" w:rsidRDefault="00BA7A7F" w:rsidP="0086046C">
            <w:pPr>
              <w:keepLines w:val="0"/>
              <w:numPr>
                <w:ilvl w:val="0"/>
                <w:numId w:val="80"/>
              </w:numPr>
              <w:tabs>
                <w:tab w:val="left" w:pos="459"/>
              </w:tabs>
              <w:spacing w:before="60" w:after="60" w:line="240" w:lineRule="auto"/>
              <w:ind w:left="357" w:hanging="357"/>
              <w:jc w:val="left"/>
              <w:rPr>
                <w:rFonts w:ascii="Arial" w:hAnsi="Arial" w:cs="Arial"/>
                <w:i/>
                <w:sz w:val="16"/>
                <w:szCs w:val="16"/>
              </w:rPr>
            </w:pPr>
            <w:r w:rsidRPr="0086046C">
              <w:rPr>
                <w:rFonts w:ascii="Arial" w:hAnsi="Arial" w:cs="Arial"/>
                <w:sz w:val="16"/>
                <w:szCs w:val="16"/>
                <w:bdr w:val="none" w:sz="0" w:space="0" w:color="auto" w:frame="1"/>
              </w:rPr>
              <w:t>Total Operating Result adjusted for: (1) GRF, LETCF and Innovation Fund revaluations, (2) loan modification and concessionality charges and associated unwinds, (3) bond revaluations.</w:t>
            </w:r>
          </w:p>
        </w:tc>
        <w:tc>
          <w:tcPr>
            <w:tcW w:w="3118" w:type="dxa"/>
            <w:tcBorders>
              <w:top w:val="single" w:sz="4" w:space="0" w:color="auto"/>
              <w:left w:val="single" w:sz="4" w:space="0" w:color="auto"/>
              <w:bottom w:val="single" w:sz="4" w:space="0" w:color="auto"/>
              <w:right w:val="single" w:sz="4" w:space="0" w:color="auto"/>
            </w:tcBorders>
          </w:tcPr>
          <w:p w:rsidR="00D8571F" w:rsidRPr="0086046C" w:rsidRDefault="00D8571F" w:rsidP="0086046C">
            <w:pPr>
              <w:keepLines w:val="0"/>
              <w:tabs>
                <w:tab w:val="left" w:pos="709"/>
              </w:tabs>
              <w:spacing w:before="60" w:after="60" w:line="240" w:lineRule="auto"/>
              <w:jc w:val="left"/>
              <w:rPr>
                <w:rFonts w:ascii="Arial" w:hAnsi="Arial" w:cs="Arial"/>
                <w:i/>
                <w:color w:val="FF0000"/>
                <w:sz w:val="16"/>
                <w:szCs w:val="16"/>
                <w:highlight w:val="yellow"/>
              </w:rPr>
            </w:pPr>
          </w:p>
          <w:p w:rsidR="00D8571F" w:rsidRPr="0086046C" w:rsidRDefault="00D8571F" w:rsidP="0086046C">
            <w:pPr>
              <w:keepLines w:val="0"/>
              <w:tabs>
                <w:tab w:val="left" w:pos="709"/>
              </w:tabs>
              <w:spacing w:before="60" w:after="60" w:line="240" w:lineRule="auto"/>
              <w:jc w:val="left"/>
              <w:rPr>
                <w:rFonts w:ascii="Arial" w:hAnsi="Arial" w:cs="Arial"/>
                <w:i/>
                <w:color w:val="FF0000"/>
                <w:sz w:val="16"/>
                <w:szCs w:val="16"/>
                <w:highlight w:val="yellow"/>
              </w:rPr>
            </w:pPr>
          </w:p>
          <w:p w:rsidR="00D8571F" w:rsidRPr="0086046C" w:rsidRDefault="00D8571F" w:rsidP="0086046C">
            <w:pPr>
              <w:keepLines w:val="0"/>
              <w:tabs>
                <w:tab w:val="left" w:pos="709"/>
              </w:tabs>
              <w:spacing w:before="60" w:after="60" w:line="240" w:lineRule="auto"/>
              <w:jc w:val="left"/>
              <w:rPr>
                <w:rFonts w:ascii="Arial" w:hAnsi="Arial" w:cs="Arial"/>
                <w:i/>
                <w:color w:val="FF0000"/>
                <w:sz w:val="16"/>
                <w:szCs w:val="16"/>
                <w:highlight w:val="yellow"/>
              </w:rPr>
            </w:pPr>
          </w:p>
          <w:p w:rsidR="00D8571F" w:rsidRPr="0086046C" w:rsidRDefault="00D8571F" w:rsidP="0086046C">
            <w:pPr>
              <w:keepLines w:val="0"/>
              <w:tabs>
                <w:tab w:val="left" w:pos="709"/>
              </w:tabs>
              <w:spacing w:before="60" w:after="60" w:line="240" w:lineRule="auto"/>
              <w:jc w:val="left"/>
              <w:rPr>
                <w:rFonts w:ascii="Arial" w:hAnsi="Arial" w:cs="Arial"/>
                <w:i/>
                <w:color w:val="FF0000"/>
                <w:sz w:val="16"/>
                <w:szCs w:val="16"/>
                <w:highlight w:val="yellow"/>
              </w:rPr>
            </w:pPr>
          </w:p>
          <w:p w:rsidR="00D8571F" w:rsidRPr="0086046C" w:rsidRDefault="00D8571F" w:rsidP="0086046C">
            <w:pPr>
              <w:keepLines w:val="0"/>
              <w:tabs>
                <w:tab w:val="left" w:pos="709"/>
              </w:tabs>
              <w:spacing w:before="60" w:after="60" w:line="240" w:lineRule="auto"/>
              <w:jc w:val="left"/>
              <w:rPr>
                <w:rFonts w:ascii="Arial" w:hAnsi="Arial" w:cs="Arial"/>
                <w:i/>
                <w:color w:val="FF0000"/>
                <w:sz w:val="16"/>
                <w:szCs w:val="16"/>
                <w:highlight w:val="yellow"/>
              </w:rPr>
            </w:pPr>
          </w:p>
          <w:p w:rsidR="00D8571F" w:rsidRPr="0086046C" w:rsidRDefault="00D8571F" w:rsidP="0086046C">
            <w:pPr>
              <w:keepLines w:val="0"/>
              <w:tabs>
                <w:tab w:val="left" w:pos="709"/>
              </w:tabs>
              <w:spacing w:before="60" w:after="60" w:line="240" w:lineRule="auto"/>
              <w:jc w:val="left"/>
              <w:rPr>
                <w:rFonts w:ascii="Arial" w:hAnsi="Arial" w:cs="Arial"/>
                <w:i/>
                <w:color w:val="FF0000"/>
                <w:sz w:val="16"/>
                <w:szCs w:val="16"/>
                <w:highlight w:val="yellow"/>
              </w:rPr>
            </w:pPr>
          </w:p>
          <w:p w:rsidR="00D8571F" w:rsidRPr="0086046C" w:rsidRDefault="00BA7A7F" w:rsidP="0086046C">
            <w:pPr>
              <w:keepLines w:val="0"/>
              <w:tabs>
                <w:tab w:val="left" w:pos="709"/>
              </w:tabs>
              <w:spacing w:before="60" w:after="60" w:line="240" w:lineRule="auto"/>
              <w:rPr>
                <w:rFonts w:ascii="Arial" w:hAnsi="Arial" w:cs="Arial"/>
                <w:i/>
                <w:sz w:val="16"/>
                <w:szCs w:val="16"/>
              </w:rPr>
            </w:pPr>
            <w:r w:rsidRPr="0086046C">
              <w:rPr>
                <w:rFonts w:ascii="Arial" w:hAnsi="Arial" w:cs="Arial"/>
                <w:i/>
                <w:sz w:val="16"/>
                <w:szCs w:val="16"/>
              </w:rPr>
              <w:t>&gt;</w:t>
            </w:r>
            <w:r>
              <w:rPr>
                <w:rFonts w:ascii="Arial" w:hAnsi="Arial" w:cs="Arial"/>
                <w:i/>
                <w:sz w:val="16"/>
                <w:szCs w:val="16"/>
              </w:rPr>
              <w:t xml:space="preserve"> </w:t>
            </w:r>
            <w:r w:rsidRPr="0086046C">
              <w:rPr>
                <w:rFonts w:ascii="Arial" w:hAnsi="Arial" w:cs="Arial"/>
                <w:i/>
                <w:sz w:val="16"/>
                <w:szCs w:val="16"/>
              </w:rPr>
              <w:t xml:space="preserve">$0m </w:t>
            </w:r>
          </w:p>
          <w:p w:rsidR="00D8571F" w:rsidRPr="0086046C" w:rsidRDefault="00D8571F" w:rsidP="0086046C">
            <w:pPr>
              <w:keepLines w:val="0"/>
              <w:tabs>
                <w:tab w:val="left" w:pos="709"/>
              </w:tabs>
              <w:spacing w:before="60" w:after="60" w:line="240" w:lineRule="auto"/>
              <w:jc w:val="left"/>
              <w:rPr>
                <w:rFonts w:ascii="Arial" w:hAnsi="Arial" w:cs="Arial"/>
                <w:i/>
                <w:sz w:val="16"/>
                <w:szCs w:val="16"/>
              </w:rPr>
            </w:pPr>
          </w:p>
          <w:p w:rsidR="00D8571F" w:rsidRPr="0086046C" w:rsidRDefault="00D8571F" w:rsidP="0086046C">
            <w:pPr>
              <w:keepLines w:val="0"/>
              <w:tabs>
                <w:tab w:val="left" w:pos="709"/>
              </w:tabs>
              <w:spacing w:before="60" w:after="60" w:line="240" w:lineRule="auto"/>
              <w:jc w:val="left"/>
              <w:rPr>
                <w:rFonts w:ascii="Arial" w:hAnsi="Arial" w:cs="Arial"/>
                <w:i/>
                <w:sz w:val="16"/>
                <w:szCs w:val="16"/>
              </w:rPr>
            </w:pPr>
          </w:p>
          <w:p w:rsidR="00D8571F" w:rsidRPr="0086046C" w:rsidRDefault="00D8571F" w:rsidP="0086046C">
            <w:pPr>
              <w:keepLines w:val="0"/>
              <w:tabs>
                <w:tab w:val="left" w:pos="709"/>
              </w:tabs>
              <w:spacing w:before="60" w:after="60" w:line="240" w:lineRule="auto"/>
              <w:jc w:val="left"/>
              <w:rPr>
                <w:rFonts w:ascii="Arial" w:hAnsi="Arial" w:cs="Arial"/>
                <w:i/>
                <w:sz w:val="16"/>
                <w:szCs w:val="16"/>
              </w:rPr>
            </w:pPr>
          </w:p>
          <w:p w:rsidR="00D8571F" w:rsidRPr="0086046C" w:rsidRDefault="00BA7A7F" w:rsidP="0086046C">
            <w:pPr>
              <w:keepLines w:val="0"/>
              <w:tabs>
                <w:tab w:val="left" w:pos="709"/>
              </w:tabs>
              <w:spacing w:before="60" w:after="60" w:line="240" w:lineRule="auto"/>
              <w:rPr>
                <w:rFonts w:ascii="Arial" w:hAnsi="Arial" w:cs="Arial"/>
                <w:i/>
                <w:sz w:val="16"/>
                <w:szCs w:val="16"/>
              </w:rPr>
            </w:pPr>
            <w:r w:rsidRPr="0086046C">
              <w:rPr>
                <w:rFonts w:ascii="Arial" w:hAnsi="Arial" w:cs="Arial"/>
                <w:i/>
                <w:sz w:val="16"/>
                <w:szCs w:val="16"/>
              </w:rPr>
              <w:t>$100m - $120m</w:t>
            </w:r>
          </w:p>
          <w:p w:rsidR="00D8571F" w:rsidRPr="0086046C" w:rsidRDefault="00D8571F" w:rsidP="0086046C">
            <w:pPr>
              <w:keepLines w:val="0"/>
              <w:spacing w:before="60" w:after="60" w:line="240" w:lineRule="auto"/>
              <w:jc w:val="left"/>
              <w:rPr>
                <w:rFonts w:ascii="Arial" w:eastAsia="Calibri" w:hAnsi="Arial" w:cs="Arial"/>
                <w:i/>
                <w:color w:val="0070C0"/>
                <w:sz w:val="18"/>
                <w:szCs w:val="18"/>
                <w:highlight w:val="yellow"/>
                <w:lang w:val="en-US" w:eastAsia="en-US"/>
              </w:rPr>
            </w:pPr>
          </w:p>
        </w:tc>
      </w:tr>
      <w:tr w:rsidR="00253274" w:rsidTr="003007EA">
        <w:trPr>
          <w:trHeight w:val="100"/>
        </w:trPr>
        <w:tc>
          <w:tcPr>
            <w:tcW w:w="0" w:type="auto"/>
            <w:vMerge/>
            <w:tcBorders>
              <w:left w:val="single" w:sz="4" w:space="0" w:color="auto"/>
              <w:right w:val="single" w:sz="4" w:space="0" w:color="auto"/>
            </w:tcBorders>
            <w:vAlign w:val="center"/>
            <w:hideMark/>
          </w:tcPr>
          <w:p w:rsidR="00D8571F" w:rsidRPr="0086046C" w:rsidRDefault="00D8571F" w:rsidP="0086046C">
            <w:pPr>
              <w:keepLines w:val="0"/>
              <w:spacing w:after="0" w:line="240" w:lineRule="auto"/>
              <w:jc w:val="left"/>
              <w:rPr>
                <w:rFonts w:ascii="Arial" w:hAnsi="Arial" w:cs="Arial"/>
                <w:sz w:val="18"/>
              </w:rPr>
            </w:pPr>
          </w:p>
        </w:tc>
        <w:tc>
          <w:tcPr>
            <w:tcW w:w="3118" w:type="dxa"/>
            <w:tcBorders>
              <w:top w:val="single" w:sz="4" w:space="0" w:color="auto"/>
              <w:left w:val="single" w:sz="4" w:space="0" w:color="auto"/>
              <w:bottom w:val="single" w:sz="4" w:space="0" w:color="auto"/>
              <w:right w:val="single" w:sz="4" w:space="0" w:color="auto"/>
            </w:tcBorders>
            <w:hideMark/>
          </w:tcPr>
          <w:p w:rsidR="00D8571F" w:rsidRPr="0086046C" w:rsidRDefault="00BA7A7F" w:rsidP="0086046C">
            <w:pPr>
              <w:keepLines w:val="0"/>
              <w:tabs>
                <w:tab w:val="left" w:pos="709"/>
              </w:tabs>
              <w:spacing w:before="60" w:after="60" w:line="240" w:lineRule="auto"/>
              <w:jc w:val="left"/>
              <w:rPr>
                <w:rFonts w:ascii="Arial" w:hAnsi="Arial" w:cs="Arial"/>
                <w:iCs/>
                <w:sz w:val="16"/>
                <w:szCs w:val="16"/>
                <w:bdr w:val="none" w:sz="0" w:space="0" w:color="auto" w:frame="1"/>
              </w:rPr>
            </w:pPr>
            <w:r w:rsidRPr="0086046C">
              <w:rPr>
                <w:rFonts w:ascii="Arial" w:hAnsi="Arial" w:cs="Arial"/>
                <w:iCs/>
                <w:sz w:val="16"/>
                <w:szCs w:val="16"/>
                <w:bdr w:val="none" w:sz="0" w:space="0" w:color="auto" w:frame="1"/>
              </w:rPr>
              <w:t>Increase investment in clean energy technologies and infrastructure</w:t>
            </w:r>
            <w:r>
              <w:rPr>
                <w:rFonts w:ascii="Arial" w:hAnsi="Arial" w:cs="Arial"/>
                <w:iCs/>
                <w:sz w:val="16"/>
                <w:szCs w:val="16"/>
                <w:bdr w:val="none" w:sz="0" w:space="0" w:color="auto" w:frame="1"/>
              </w:rPr>
              <w:t>.</w:t>
            </w:r>
          </w:p>
          <w:p w:rsidR="00D8571F" w:rsidRPr="0086046C" w:rsidRDefault="00BA7A7F" w:rsidP="0086046C">
            <w:pPr>
              <w:keepLines w:val="0"/>
              <w:spacing w:before="60" w:after="60" w:line="240" w:lineRule="auto"/>
              <w:jc w:val="left"/>
              <w:rPr>
                <w:rFonts w:ascii="Arial" w:eastAsia="Calibri" w:hAnsi="Arial"/>
                <w:i/>
                <w:color w:val="0070C0"/>
                <w:sz w:val="18"/>
                <w:lang w:val="en-US" w:eastAsia="en-US"/>
              </w:rPr>
            </w:pPr>
            <w:r w:rsidRPr="0086046C">
              <w:rPr>
                <w:rFonts w:ascii="Arial" w:eastAsia="Calibri" w:hAnsi="Arial" w:cs="Arial"/>
                <w:iCs/>
                <w:sz w:val="16"/>
                <w:szCs w:val="16"/>
                <w:bdr w:val="none" w:sz="0" w:space="0" w:color="auto" w:frame="1"/>
                <w:lang w:val="en-US" w:eastAsia="en-US"/>
              </w:rPr>
              <w:t>Commitments to renewable energy, energy efficiency and low emission technology transactions (including grid, Investment Mandate areas of focus and the Technology Roadmap)</w:t>
            </w:r>
            <w:r>
              <w:rPr>
                <w:rFonts w:ascii="Arial" w:eastAsia="Calibri" w:hAnsi="Arial" w:cs="Arial"/>
                <w:iCs/>
                <w:sz w:val="16"/>
                <w:szCs w:val="16"/>
                <w:bdr w:val="none" w:sz="0" w:space="0" w:color="auto" w:frame="1"/>
                <w:lang w:val="en-US" w:eastAsia="en-US"/>
              </w:rPr>
              <w:t>.</w:t>
            </w:r>
          </w:p>
        </w:tc>
        <w:tc>
          <w:tcPr>
            <w:tcW w:w="3118" w:type="dxa"/>
            <w:tcBorders>
              <w:top w:val="single" w:sz="4" w:space="0" w:color="auto"/>
              <w:left w:val="single" w:sz="4" w:space="0" w:color="auto"/>
              <w:bottom w:val="single" w:sz="4" w:space="0" w:color="auto"/>
              <w:right w:val="single" w:sz="4" w:space="0" w:color="auto"/>
            </w:tcBorders>
          </w:tcPr>
          <w:p w:rsidR="00D8571F" w:rsidRPr="0086046C" w:rsidRDefault="00D8571F" w:rsidP="0086046C">
            <w:pPr>
              <w:keepLines w:val="0"/>
              <w:tabs>
                <w:tab w:val="left" w:pos="709"/>
              </w:tabs>
              <w:spacing w:before="60" w:after="60" w:line="240" w:lineRule="auto"/>
              <w:jc w:val="left"/>
              <w:rPr>
                <w:rFonts w:ascii="Arial" w:hAnsi="Arial" w:cs="Arial"/>
                <w:i/>
                <w:color w:val="FF0000"/>
                <w:sz w:val="16"/>
                <w:szCs w:val="16"/>
                <w:highlight w:val="yellow"/>
              </w:rPr>
            </w:pPr>
          </w:p>
          <w:p w:rsidR="00D8571F" w:rsidRPr="0086046C" w:rsidRDefault="00D8571F" w:rsidP="0086046C">
            <w:pPr>
              <w:keepLines w:val="0"/>
              <w:tabs>
                <w:tab w:val="left" w:pos="709"/>
              </w:tabs>
              <w:spacing w:before="60" w:after="60" w:line="240" w:lineRule="auto"/>
              <w:jc w:val="left"/>
              <w:rPr>
                <w:rFonts w:ascii="Arial" w:hAnsi="Arial" w:cs="Arial"/>
                <w:i/>
                <w:color w:val="FF0000"/>
                <w:sz w:val="16"/>
                <w:szCs w:val="16"/>
                <w:highlight w:val="yellow"/>
              </w:rPr>
            </w:pPr>
          </w:p>
          <w:p w:rsidR="00D8571F" w:rsidRPr="0086046C" w:rsidRDefault="00BA7A7F" w:rsidP="0086046C">
            <w:pPr>
              <w:keepLines w:val="0"/>
              <w:tabs>
                <w:tab w:val="left" w:pos="709"/>
              </w:tabs>
              <w:spacing w:before="60" w:after="60" w:line="240" w:lineRule="auto"/>
              <w:jc w:val="left"/>
              <w:rPr>
                <w:rFonts w:ascii="Arial" w:hAnsi="Arial" w:cs="Arial"/>
                <w:i/>
                <w:sz w:val="16"/>
                <w:szCs w:val="16"/>
              </w:rPr>
            </w:pPr>
            <w:r>
              <w:rPr>
                <w:rFonts w:ascii="Arial" w:hAnsi="Arial" w:cs="Arial"/>
                <w:i/>
                <w:sz w:val="16"/>
                <w:szCs w:val="16"/>
              </w:rPr>
              <w:t>$1.0b - $1.5b</w:t>
            </w:r>
          </w:p>
          <w:p w:rsidR="00D8571F" w:rsidRPr="0086046C" w:rsidRDefault="00D8571F" w:rsidP="0086046C">
            <w:pPr>
              <w:keepLines w:val="0"/>
              <w:spacing w:before="60" w:after="60" w:line="240" w:lineRule="auto"/>
              <w:jc w:val="left"/>
              <w:rPr>
                <w:rFonts w:ascii="Arial" w:eastAsia="Calibri" w:hAnsi="Arial" w:cs="Arial"/>
                <w:i/>
                <w:color w:val="0070C0"/>
                <w:sz w:val="18"/>
                <w:szCs w:val="18"/>
                <w:highlight w:val="yellow"/>
                <w:lang w:val="en-US" w:eastAsia="en-US"/>
              </w:rPr>
            </w:pPr>
          </w:p>
        </w:tc>
      </w:tr>
      <w:tr w:rsidR="00253274" w:rsidTr="003007EA">
        <w:trPr>
          <w:trHeight w:val="100"/>
        </w:trPr>
        <w:tc>
          <w:tcPr>
            <w:tcW w:w="0" w:type="auto"/>
            <w:vMerge/>
            <w:tcBorders>
              <w:left w:val="single" w:sz="4" w:space="0" w:color="auto"/>
              <w:right w:val="single" w:sz="4" w:space="0" w:color="auto"/>
            </w:tcBorders>
            <w:vAlign w:val="center"/>
            <w:hideMark/>
          </w:tcPr>
          <w:p w:rsidR="00D8571F" w:rsidRPr="0086046C" w:rsidRDefault="00D8571F" w:rsidP="0086046C">
            <w:pPr>
              <w:keepLines w:val="0"/>
              <w:spacing w:after="0" w:line="240" w:lineRule="auto"/>
              <w:jc w:val="left"/>
              <w:rPr>
                <w:rFonts w:ascii="Arial" w:hAnsi="Arial" w:cs="Arial"/>
                <w:sz w:val="18"/>
              </w:rPr>
            </w:pPr>
          </w:p>
        </w:tc>
        <w:tc>
          <w:tcPr>
            <w:tcW w:w="3118" w:type="dxa"/>
            <w:tcBorders>
              <w:top w:val="single" w:sz="4" w:space="0" w:color="auto"/>
              <w:left w:val="single" w:sz="4" w:space="0" w:color="auto"/>
              <w:bottom w:val="single" w:sz="4" w:space="0" w:color="auto"/>
              <w:right w:val="single" w:sz="4" w:space="0" w:color="auto"/>
            </w:tcBorders>
            <w:hideMark/>
          </w:tcPr>
          <w:p w:rsidR="00D8571F" w:rsidRPr="0086046C" w:rsidRDefault="00BA7A7F" w:rsidP="0086046C">
            <w:pPr>
              <w:keepLines w:val="0"/>
              <w:spacing w:before="60" w:after="60" w:line="240" w:lineRule="auto"/>
              <w:jc w:val="left"/>
              <w:rPr>
                <w:rFonts w:ascii="Arial" w:eastAsia="Calibri" w:hAnsi="Arial"/>
                <w:i/>
                <w:color w:val="0070C0"/>
                <w:sz w:val="18"/>
                <w:lang w:val="en-US" w:eastAsia="en-US"/>
              </w:rPr>
            </w:pPr>
            <w:r w:rsidRPr="0086046C">
              <w:rPr>
                <w:rFonts w:ascii="Arial" w:eastAsia="Calibri" w:hAnsi="Arial" w:cs="Arial"/>
                <w:iCs/>
                <w:sz w:val="16"/>
                <w:szCs w:val="16"/>
                <w:bdr w:val="none" w:sz="0" w:space="0" w:color="auto" w:frame="1"/>
                <w:lang w:val="en-US" w:eastAsia="en-US"/>
              </w:rPr>
              <w:t>Carbon emission reduction from FY2023 new investments</w:t>
            </w:r>
            <w:r>
              <w:rPr>
                <w:rFonts w:ascii="Arial" w:eastAsia="Calibri" w:hAnsi="Arial" w:cs="Arial"/>
                <w:iCs/>
                <w:sz w:val="16"/>
                <w:szCs w:val="16"/>
                <w:bdr w:val="none" w:sz="0" w:space="0" w:color="auto" w:frame="1"/>
                <w:lang w:val="en-US" w:eastAsia="en-US"/>
              </w:rPr>
              <w:t>.</w:t>
            </w:r>
          </w:p>
        </w:tc>
        <w:tc>
          <w:tcPr>
            <w:tcW w:w="3118" w:type="dxa"/>
            <w:tcBorders>
              <w:top w:val="single" w:sz="4" w:space="0" w:color="auto"/>
              <w:left w:val="single" w:sz="4" w:space="0" w:color="auto"/>
              <w:bottom w:val="single" w:sz="4" w:space="0" w:color="auto"/>
              <w:right w:val="single" w:sz="4" w:space="0" w:color="auto"/>
            </w:tcBorders>
            <w:hideMark/>
          </w:tcPr>
          <w:p w:rsidR="00D8571F" w:rsidRPr="0086046C" w:rsidRDefault="00BA7A7F" w:rsidP="0086046C">
            <w:pPr>
              <w:keepLines w:val="0"/>
              <w:spacing w:before="60" w:after="60" w:line="240" w:lineRule="auto"/>
              <w:jc w:val="left"/>
              <w:rPr>
                <w:rFonts w:ascii="Arial" w:eastAsia="Calibri" w:hAnsi="Arial" w:cs="Arial"/>
                <w:i/>
                <w:color w:val="0070C0"/>
                <w:sz w:val="18"/>
                <w:szCs w:val="22"/>
                <w:highlight w:val="yellow"/>
                <w:lang w:val="en-US" w:eastAsia="en-US"/>
              </w:rPr>
            </w:pPr>
            <w:r w:rsidRPr="0086046C">
              <w:rPr>
                <w:rFonts w:ascii="Arial" w:eastAsia="Calibri" w:hAnsi="Arial" w:cs="Arial"/>
                <w:sz w:val="16"/>
                <w:szCs w:val="16"/>
                <w:bdr w:val="none" w:sz="0" w:space="0" w:color="auto" w:frame="1"/>
                <w:lang w:val="en-US" w:eastAsia="en-US"/>
              </w:rPr>
              <w:t>0.6MtCO2e p.a. - 0.8MtCO2e p.a.</w:t>
            </w:r>
          </w:p>
        </w:tc>
      </w:tr>
      <w:tr w:rsidR="00253274" w:rsidTr="003007EA">
        <w:trPr>
          <w:trHeight w:val="100"/>
        </w:trPr>
        <w:tc>
          <w:tcPr>
            <w:tcW w:w="0" w:type="auto"/>
            <w:vMerge/>
            <w:tcBorders>
              <w:left w:val="single" w:sz="4" w:space="0" w:color="auto"/>
              <w:right w:val="single" w:sz="4" w:space="0" w:color="auto"/>
            </w:tcBorders>
            <w:vAlign w:val="center"/>
            <w:hideMark/>
          </w:tcPr>
          <w:p w:rsidR="00D8571F" w:rsidRPr="0086046C" w:rsidRDefault="00D8571F" w:rsidP="0086046C">
            <w:pPr>
              <w:keepLines w:val="0"/>
              <w:spacing w:after="0" w:line="240" w:lineRule="auto"/>
              <w:jc w:val="left"/>
              <w:rPr>
                <w:rFonts w:ascii="Arial" w:hAnsi="Arial" w:cs="Arial"/>
                <w:sz w:val="18"/>
              </w:rPr>
            </w:pPr>
          </w:p>
        </w:tc>
        <w:tc>
          <w:tcPr>
            <w:tcW w:w="3118" w:type="dxa"/>
            <w:tcBorders>
              <w:top w:val="single" w:sz="4" w:space="0" w:color="auto"/>
              <w:left w:val="single" w:sz="4" w:space="0" w:color="auto"/>
              <w:bottom w:val="single" w:sz="4" w:space="0" w:color="auto"/>
              <w:right w:val="single" w:sz="4" w:space="0" w:color="auto"/>
            </w:tcBorders>
            <w:hideMark/>
          </w:tcPr>
          <w:p w:rsidR="00D8571F" w:rsidRPr="0086046C" w:rsidRDefault="00BA7A7F" w:rsidP="0086046C">
            <w:pPr>
              <w:keepLines w:val="0"/>
              <w:spacing w:before="60" w:after="60" w:line="240" w:lineRule="auto"/>
              <w:jc w:val="left"/>
              <w:rPr>
                <w:rFonts w:ascii="Arial" w:eastAsia="Calibri" w:hAnsi="Arial" w:cs="Arial"/>
                <w:i/>
                <w:color w:val="0070C0"/>
                <w:sz w:val="18"/>
                <w:szCs w:val="22"/>
                <w:lang w:val="en-US" w:eastAsia="en-US"/>
              </w:rPr>
            </w:pPr>
            <w:r w:rsidRPr="0086046C">
              <w:rPr>
                <w:rFonts w:ascii="Arial" w:eastAsia="Calibri" w:hAnsi="Arial" w:cs="Arial"/>
                <w:iCs/>
                <w:sz w:val="16"/>
                <w:szCs w:val="16"/>
                <w:bdr w:val="none" w:sz="0" w:space="0" w:color="auto" w:frame="1"/>
                <w:lang w:val="en-US" w:eastAsia="en-US"/>
              </w:rPr>
              <w:t>Increase private sector capital flowing to the Australian clean energy sector and attract new investor classes into the sector.</w:t>
            </w:r>
          </w:p>
        </w:tc>
        <w:tc>
          <w:tcPr>
            <w:tcW w:w="3118" w:type="dxa"/>
            <w:tcBorders>
              <w:top w:val="single" w:sz="4" w:space="0" w:color="auto"/>
              <w:left w:val="single" w:sz="4" w:space="0" w:color="auto"/>
              <w:bottom w:val="single" w:sz="4" w:space="0" w:color="auto"/>
              <w:right w:val="single" w:sz="4" w:space="0" w:color="auto"/>
            </w:tcBorders>
            <w:hideMark/>
          </w:tcPr>
          <w:p w:rsidR="00D8571F" w:rsidRPr="0086046C" w:rsidRDefault="00BA7A7F" w:rsidP="0086046C">
            <w:pPr>
              <w:keepLines w:val="0"/>
              <w:spacing w:before="60" w:after="60" w:line="240" w:lineRule="auto"/>
              <w:jc w:val="left"/>
              <w:rPr>
                <w:rFonts w:ascii="Arial" w:eastAsia="Calibri" w:hAnsi="Arial" w:cs="Arial"/>
                <w:i/>
                <w:color w:val="0070C0"/>
                <w:sz w:val="18"/>
                <w:szCs w:val="22"/>
                <w:highlight w:val="yellow"/>
                <w:lang w:val="en-US" w:eastAsia="en-US"/>
              </w:rPr>
            </w:pPr>
            <w:r w:rsidRPr="0086046C">
              <w:rPr>
                <w:rFonts w:ascii="Arial" w:eastAsia="Calibri" w:hAnsi="Arial" w:cs="Arial"/>
                <w:i/>
                <w:sz w:val="16"/>
                <w:szCs w:val="16"/>
                <w:bdr w:val="none" w:sz="0" w:space="0" w:color="auto" w:frame="1"/>
                <w:lang w:val="en-US" w:eastAsia="en-US"/>
              </w:rPr>
              <w:t>2.5:1 - 3:1</w:t>
            </w:r>
          </w:p>
        </w:tc>
      </w:tr>
      <w:tr w:rsidR="00253274" w:rsidTr="003007EA">
        <w:trPr>
          <w:trHeight w:val="100"/>
        </w:trPr>
        <w:tc>
          <w:tcPr>
            <w:tcW w:w="0" w:type="auto"/>
            <w:vMerge/>
            <w:tcBorders>
              <w:left w:val="single" w:sz="4" w:space="0" w:color="auto"/>
              <w:bottom w:val="single" w:sz="4" w:space="0" w:color="auto"/>
              <w:right w:val="single" w:sz="4" w:space="0" w:color="auto"/>
            </w:tcBorders>
            <w:vAlign w:val="center"/>
          </w:tcPr>
          <w:p w:rsidR="00D8571F" w:rsidRPr="0086046C" w:rsidRDefault="00D8571F" w:rsidP="0086046C">
            <w:pPr>
              <w:keepLines w:val="0"/>
              <w:spacing w:after="0" w:line="240" w:lineRule="auto"/>
              <w:jc w:val="left"/>
              <w:rPr>
                <w:rFonts w:ascii="Arial" w:hAnsi="Arial" w:cs="Arial"/>
                <w:sz w:val="18"/>
              </w:rPr>
            </w:pPr>
          </w:p>
        </w:tc>
        <w:tc>
          <w:tcPr>
            <w:tcW w:w="3118" w:type="dxa"/>
            <w:tcBorders>
              <w:top w:val="single" w:sz="4" w:space="0" w:color="auto"/>
              <w:left w:val="single" w:sz="4" w:space="0" w:color="auto"/>
              <w:bottom w:val="single" w:sz="4" w:space="0" w:color="auto"/>
              <w:right w:val="single" w:sz="4" w:space="0" w:color="auto"/>
            </w:tcBorders>
          </w:tcPr>
          <w:p w:rsidR="00D8571F" w:rsidRPr="00BE0C42" w:rsidRDefault="00BA7A7F" w:rsidP="0086046C">
            <w:pPr>
              <w:keepLines w:val="0"/>
              <w:spacing w:before="60" w:after="60" w:line="240" w:lineRule="auto"/>
              <w:jc w:val="left"/>
              <w:rPr>
                <w:rFonts w:ascii="Arial" w:eastAsia="Calibri" w:hAnsi="Arial" w:cs="Arial"/>
                <w:i/>
                <w:iCs/>
                <w:sz w:val="16"/>
                <w:szCs w:val="16"/>
                <w:bdr w:val="none" w:sz="0" w:space="0" w:color="auto" w:frame="1"/>
                <w:lang w:val="en-US" w:eastAsia="en-US"/>
              </w:rPr>
            </w:pPr>
            <w:r w:rsidRPr="00BE0C42">
              <w:rPr>
                <w:rFonts w:ascii="Arial" w:eastAsia="Calibri" w:hAnsi="Arial" w:cs="Arial"/>
                <w:i/>
                <w:sz w:val="16"/>
                <w:szCs w:val="16"/>
                <w:bdr w:val="none" w:sz="0" w:space="0" w:color="auto" w:frame="1"/>
                <w:lang w:val="en-US" w:eastAsia="en-US"/>
              </w:rPr>
              <w:t>Expected to be updated if the Grid Reliability Fund and the Low Emissions Technology Commercialisation Fund are legislated and to reflect consequential investment mandate directions anticipated to be received during 2021-22.</w:t>
            </w:r>
          </w:p>
        </w:tc>
        <w:tc>
          <w:tcPr>
            <w:tcW w:w="3118" w:type="dxa"/>
            <w:tcBorders>
              <w:top w:val="single" w:sz="4" w:space="0" w:color="auto"/>
              <w:left w:val="single" w:sz="4" w:space="0" w:color="auto"/>
              <w:bottom w:val="single" w:sz="4" w:space="0" w:color="auto"/>
              <w:right w:val="single" w:sz="4" w:space="0" w:color="auto"/>
            </w:tcBorders>
          </w:tcPr>
          <w:p w:rsidR="00D8571F" w:rsidRPr="0086046C" w:rsidRDefault="00D8571F" w:rsidP="0086046C">
            <w:pPr>
              <w:keepLines w:val="0"/>
              <w:spacing w:before="60" w:after="60" w:line="240" w:lineRule="auto"/>
              <w:jc w:val="left"/>
              <w:rPr>
                <w:rFonts w:ascii="Arial" w:eastAsia="Calibri" w:hAnsi="Arial" w:cs="Arial"/>
                <w:i/>
                <w:sz w:val="16"/>
                <w:szCs w:val="16"/>
                <w:bdr w:val="none" w:sz="0" w:space="0" w:color="auto" w:frame="1"/>
                <w:lang w:val="en-US" w:eastAsia="en-US"/>
              </w:rPr>
            </w:pPr>
          </w:p>
        </w:tc>
      </w:tr>
      <w:tr w:rsidR="00253274" w:rsidTr="002C6A9F">
        <w:trPr>
          <w:trHeight w:val="491"/>
        </w:trPr>
        <w:tc>
          <w:tcPr>
            <w:tcW w:w="1560" w:type="dxa"/>
            <w:tcBorders>
              <w:top w:val="dotted" w:sz="4" w:space="0" w:color="auto"/>
              <w:left w:val="single" w:sz="4" w:space="0" w:color="auto"/>
              <w:bottom w:val="dotted" w:sz="4" w:space="0" w:color="auto"/>
              <w:right w:val="single" w:sz="4" w:space="0" w:color="auto"/>
            </w:tcBorders>
            <w:hideMark/>
          </w:tcPr>
          <w:p w:rsidR="0086046C" w:rsidRDefault="00BA7A7F" w:rsidP="00BA4789">
            <w:pPr>
              <w:keepLines w:val="0"/>
              <w:spacing w:before="60" w:after="60" w:line="240"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Forward Estimates</w:t>
            </w:r>
          </w:p>
          <w:p w:rsidR="00BA4789" w:rsidRPr="0086046C" w:rsidRDefault="00BA7A7F" w:rsidP="00BA4789">
            <w:pPr>
              <w:keepLines w:val="0"/>
              <w:spacing w:before="60" w:after="60" w:line="240" w:lineRule="auto"/>
              <w:jc w:val="left"/>
              <w:rPr>
                <w:rFonts w:ascii="Arial" w:eastAsia="Calibri" w:hAnsi="Arial" w:cs="Arial"/>
                <w:b/>
                <w:sz w:val="18"/>
                <w:lang w:val="en-US" w:eastAsia="en-US"/>
              </w:rPr>
            </w:pPr>
            <w:r>
              <w:rPr>
                <w:rFonts w:ascii="Arial" w:eastAsia="Calibri" w:hAnsi="Arial" w:cs="Arial"/>
                <w:sz w:val="16"/>
                <w:szCs w:val="16"/>
                <w:lang w:val="en-US" w:eastAsia="en-US"/>
              </w:rPr>
              <w:t>2023-26</w:t>
            </w:r>
          </w:p>
        </w:tc>
        <w:tc>
          <w:tcPr>
            <w:tcW w:w="3118" w:type="dxa"/>
            <w:tcBorders>
              <w:top w:val="single" w:sz="4" w:space="0" w:color="auto"/>
              <w:left w:val="single" w:sz="4" w:space="0" w:color="auto"/>
              <w:bottom w:val="dotted" w:sz="4" w:space="0" w:color="auto"/>
              <w:right w:val="single" w:sz="4" w:space="0" w:color="auto"/>
            </w:tcBorders>
            <w:hideMark/>
          </w:tcPr>
          <w:p w:rsidR="0086046C" w:rsidRPr="00D8571F" w:rsidRDefault="00BA7A7F" w:rsidP="0086046C">
            <w:pPr>
              <w:keepLines w:val="0"/>
              <w:spacing w:before="60" w:after="60" w:line="240" w:lineRule="auto"/>
              <w:jc w:val="left"/>
              <w:rPr>
                <w:rFonts w:ascii="Arial" w:eastAsia="Calibri" w:hAnsi="Arial" w:cs="Arial"/>
                <w:iCs/>
                <w:sz w:val="16"/>
                <w:szCs w:val="16"/>
                <w:bdr w:val="none" w:sz="0" w:space="0" w:color="auto" w:frame="1"/>
                <w:lang w:val="en-US" w:eastAsia="en-US"/>
              </w:rPr>
            </w:pPr>
            <w:r w:rsidRPr="00D8571F">
              <w:rPr>
                <w:rFonts w:ascii="Arial" w:eastAsia="Calibri" w:hAnsi="Arial" w:cs="Arial"/>
                <w:iCs/>
                <w:sz w:val="16"/>
                <w:szCs w:val="16"/>
                <w:bdr w:val="none" w:sz="0" w:space="0" w:color="auto" w:frame="1"/>
                <w:lang w:val="en-US" w:eastAsia="en-US"/>
              </w:rPr>
              <w:t>As per 2022-23.</w:t>
            </w:r>
          </w:p>
          <w:p w:rsidR="00D8571F" w:rsidRPr="00390D77" w:rsidRDefault="00BA7A7F" w:rsidP="0086046C">
            <w:pPr>
              <w:keepLines w:val="0"/>
              <w:spacing w:before="60" w:after="60" w:line="240" w:lineRule="auto"/>
              <w:jc w:val="left"/>
              <w:rPr>
                <w:rFonts w:ascii="Arial" w:eastAsia="Calibri" w:hAnsi="Arial" w:cs="Arial"/>
                <w:i/>
                <w:iCs/>
                <w:sz w:val="16"/>
                <w:szCs w:val="16"/>
                <w:bdr w:val="none" w:sz="0" w:space="0" w:color="auto" w:frame="1"/>
                <w:lang w:val="en-US" w:eastAsia="en-US"/>
              </w:rPr>
            </w:pPr>
            <w:r w:rsidRPr="00390D77">
              <w:rPr>
                <w:rFonts w:ascii="Arial" w:eastAsia="Calibri" w:hAnsi="Arial" w:cs="Arial"/>
                <w:i/>
                <w:sz w:val="16"/>
                <w:szCs w:val="16"/>
                <w:bdr w:val="none" w:sz="0" w:space="0" w:color="auto" w:frame="1"/>
                <w:lang w:val="en-US" w:eastAsia="en-US"/>
              </w:rPr>
              <w:t>Expected to be updated if the Grid Reliability Fund and the Low Emissions Technology Commercialisation Fund are legislated and to reflect consequential investment mandate directions anticipated to be received during 2021-22.</w:t>
            </w:r>
          </w:p>
        </w:tc>
        <w:tc>
          <w:tcPr>
            <w:tcW w:w="3118" w:type="dxa"/>
            <w:tcBorders>
              <w:top w:val="single" w:sz="4" w:space="0" w:color="auto"/>
              <w:left w:val="single" w:sz="4" w:space="0" w:color="auto"/>
              <w:bottom w:val="dotted" w:sz="4" w:space="0" w:color="auto"/>
              <w:right w:val="single" w:sz="4" w:space="0" w:color="auto"/>
            </w:tcBorders>
          </w:tcPr>
          <w:p w:rsidR="0086046C" w:rsidRPr="005074BC" w:rsidRDefault="0086046C" w:rsidP="0086046C">
            <w:pPr>
              <w:keepLines w:val="0"/>
              <w:spacing w:before="60" w:after="60" w:line="240" w:lineRule="auto"/>
              <w:jc w:val="left"/>
              <w:rPr>
                <w:rFonts w:ascii="Arial" w:eastAsia="Calibri" w:hAnsi="Arial" w:cs="Arial"/>
                <w:i/>
                <w:color w:val="0070C0"/>
                <w:sz w:val="15"/>
                <w:szCs w:val="15"/>
                <w:lang w:val="en-US" w:eastAsia="en-US"/>
              </w:rPr>
            </w:pPr>
          </w:p>
        </w:tc>
      </w:tr>
      <w:tr w:rsidR="00253274" w:rsidTr="002C6A9F">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86046C" w:rsidRPr="0086046C" w:rsidRDefault="00BA7A7F" w:rsidP="0086046C">
            <w:pPr>
              <w:keepLines w:val="0"/>
              <w:spacing w:before="60" w:after="60" w:line="240" w:lineRule="auto"/>
              <w:jc w:val="left"/>
              <w:rPr>
                <w:rFonts w:ascii="Arial" w:eastAsia="Cambria" w:hAnsi="Arial"/>
                <w:bCs/>
                <w:iCs/>
                <w:color w:val="0070C0"/>
                <w:spacing w:val="-6"/>
                <w:sz w:val="16"/>
                <w:szCs w:val="16"/>
                <w:lang w:val="x-none" w:eastAsia="en-US"/>
              </w:rPr>
            </w:pPr>
            <w:r w:rsidRPr="0086046C">
              <w:rPr>
                <w:rFonts w:ascii="Arial" w:eastAsia="Calibri" w:hAnsi="Arial" w:cs="Arial"/>
                <w:sz w:val="16"/>
                <w:szCs w:val="16"/>
                <w:lang w:val="en-US" w:eastAsia="en-US"/>
              </w:rPr>
              <w:t>Material changes to Program 1.1 resulting from 2022-23 Budget Measures:</w:t>
            </w:r>
            <w:r w:rsidRPr="0086046C">
              <w:rPr>
                <w:rFonts w:ascii="Cambria" w:eastAsia="Cambria" w:hAnsi="Cambria"/>
                <w:bCs/>
                <w:iCs/>
                <w:color w:val="2E74B5"/>
                <w:spacing w:val="-6"/>
                <w:sz w:val="16"/>
                <w:szCs w:val="16"/>
                <w:lang w:val="x-none" w:eastAsia="en-US"/>
              </w:rPr>
              <w:t xml:space="preserve"> </w:t>
            </w:r>
            <w:r w:rsidRPr="0086046C">
              <w:rPr>
                <w:rFonts w:ascii="Arial" w:eastAsia="Calibri" w:hAnsi="Arial" w:cs="Arial"/>
                <w:sz w:val="18"/>
                <w:szCs w:val="22"/>
                <w:lang w:val="en-US" w:eastAsia="en-US"/>
              </w:rPr>
              <w:t>Nil</w:t>
            </w:r>
          </w:p>
        </w:tc>
      </w:tr>
    </w:tbl>
    <w:p w:rsidR="005B2053" w:rsidRPr="00EB0C5F" w:rsidRDefault="00BA7A7F" w:rsidP="00EB0C5F">
      <w:pPr>
        <w:pStyle w:val="Heading2"/>
        <w:pageBreakBefore/>
        <w:spacing w:after="120"/>
        <w:rPr>
          <w:b/>
          <w:sz w:val="26"/>
          <w:szCs w:val="26"/>
        </w:rPr>
      </w:pPr>
      <w:bookmarkStart w:id="775" w:name="RG_MARKER_11870"/>
      <w:bookmarkStart w:id="776" w:name="RG_MARKER_11972"/>
      <w:bookmarkStart w:id="777" w:name="RG_MARKER_12147"/>
      <w:r w:rsidRPr="00EB0C5F">
        <w:rPr>
          <w:b/>
          <w:sz w:val="26"/>
          <w:szCs w:val="26"/>
        </w:rPr>
        <w:t>Section 3</w:t>
      </w:r>
      <w:bookmarkStart w:id="778" w:name="_Toc449255782_3"/>
      <w:bookmarkStart w:id="779" w:name="_Toc446237038_3"/>
      <w:bookmarkStart w:id="780" w:name="_Toc436625460_3"/>
      <w:bookmarkStart w:id="781" w:name="_Toc436624159_3"/>
      <w:bookmarkEnd w:id="775"/>
      <w:bookmarkEnd w:id="776"/>
      <w:bookmarkEnd w:id="777"/>
      <w:r w:rsidRPr="00EB0C5F">
        <w:rPr>
          <w:b/>
          <w:sz w:val="26"/>
          <w:szCs w:val="26"/>
        </w:rPr>
        <w:t>: Budgeted financial statements</w:t>
      </w:r>
      <w:bookmarkEnd w:id="778"/>
      <w:bookmarkEnd w:id="779"/>
      <w:bookmarkEnd w:id="780"/>
      <w:bookmarkEnd w:id="781"/>
    </w:p>
    <w:p w:rsidR="0036372A" w:rsidRPr="0036372A" w:rsidRDefault="00BA7A7F" w:rsidP="0036372A">
      <w:r w:rsidRPr="0036372A">
        <w:t>Section 3 presents budgeted financial statements which provide a comprehensive snapshot</w:t>
      </w:r>
      <w:r>
        <w:t xml:space="preserve"> of entity finances for the 2022-23 B</w:t>
      </w:r>
      <w:r w:rsidRPr="0036372A">
        <w:t>udget year, including the impact of budget measures and resourcing on financial statements.</w:t>
      </w:r>
    </w:p>
    <w:p w:rsidR="005B2053" w:rsidRPr="00EB0C5F" w:rsidRDefault="00BA7A7F" w:rsidP="005B2053">
      <w:pPr>
        <w:pStyle w:val="Heading3"/>
        <w:rPr>
          <w:smallCaps w:val="0"/>
          <w:sz w:val="22"/>
          <w:szCs w:val="22"/>
        </w:rPr>
      </w:pPr>
      <w:bookmarkStart w:id="782" w:name="_Toc210703218_3"/>
      <w:bookmarkStart w:id="783" w:name="_Toc190682533_3"/>
      <w:bookmarkStart w:id="784" w:name="_Toc190682316_3"/>
      <w:r w:rsidRPr="00EB0C5F">
        <w:rPr>
          <w:smallCaps w:val="0"/>
          <w:sz w:val="22"/>
          <w:szCs w:val="22"/>
        </w:rPr>
        <w:t>3.1</w:t>
      </w:r>
      <w:r w:rsidRPr="00EB0C5F">
        <w:rPr>
          <w:smallCaps w:val="0"/>
          <w:sz w:val="22"/>
          <w:szCs w:val="22"/>
        </w:rPr>
        <w:tab/>
        <w:t>Budgeted financial statements</w:t>
      </w:r>
      <w:bookmarkEnd w:id="782"/>
      <w:bookmarkEnd w:id="783"/>
      <w:bookmarkEnd w:id="784"/>
    </w:p>
    <w:p w:rsidR="0000614C" w:rsidRPr="00EB0C5F" w:rsidRDefault="00BA7A7F" w:rsidP="0000614C">
      <w:pPr>
        <w:pStyle w:val="Heading4"/>
        <w:rPr>
          <w:sz w:val="20"/>
        </w:rPr>
      </w:pPr>
      <w:r w:rsidRPr="00EB0C5F">
        <w:rPr>
          <w:sz w:val="20"/>
        </w:rPr>
        <w:t>3.1.1</w:t>
      </w:r>
      <w:r w:rsidRPr="00EB0C5F">
        <w:rPr>
          <w:sz w:val="20"/>
        </w:rPr>
        <w:tab/>
        <w:t>Differences between entity resourcing and financial statements</w:t>
      </w:r>
    </w:p>
    <w:p w:rsidR="009E55A6" w:rsidRPr="00DC351C" w:rsidRDefault="00BA7A7F" w:rsidP="00DC351C">
      <w:pPr>
        <w:spacing w:after="160"/>
      </w:pPr>
      <w:r w:rsidRPr="009E55A6">
        <w:t>The Corporation incurs significant non-cash expenses and income which give rise to a significant difference between the financial information presented in the budgeted financial statements and the underlying cash impact of its operations.</w:t>
      </w:r>
    </w:p>
    <w:p w:rsidR="009E55A6" w:rsidRPr="00DC351C" w:rsidRDefault="00BA7A7F" w:rsidP="00DC351C">
      <w:pPr>
        <w:spacing w:after="160"/>
      </w:pPr>
      <w:r w:rsidRPr="009E55A6">
        <w:t>Table 3.1 Comprehensive income statement (showing net cost of services) includes a reconciliation of the impact of non-cash concessionality income and charges and write</w:t>
      </w:r>
      <w:r w:rsidR="002C3702">
        <w:t xml:space="preserve"> </w:t>
      </w:r>
      <w:r w:rsidRPr="009E55A6">
        <w:t>down and impairment of assets.  Table 3.4 Budgeted departmental statement of cash flows also shows the net cash from operating activities which is significantly higher than the surplus sh</w:t>
      </w:r>
      <w:r>
        <w:t>own in Table 3.1 Comprehensive income s</w:t>
      </w:r>
      <w:r w:rsidRPr="009E55A6">
        <w:t>tatement.</w:t>
      </w:r>
    </w:p>
    <w:p w:rsidR="0000614C" w:rsidRPr="00EB0C5F" w:rsidRDefault="00BA7A7F" w:rsidP="009E55A6">
      <w:pPr>
        <w:pStyle w:val="Heading4"/>
        <w:rPr>
          <w:sz w:val="20"/>
        </w:rPr>
      </w:pPr>
      <w:r w:rsidRPr="00EB0C5F">
        <w:rPr>
          <w:sz w:val="20"/>
        </w:rPr>
        <w:t>3.1.2</w:t>
      </w:r>
      <w:r w:rsidRPr="00EB0C5F">
        <w:rPr>
          <w:sz w:val="20"/>
        </w:rPr>
        <w:tab/>
        <w:t>Explanatory notes and analysis of budgeted financial statements</w:t>
      </w:r>
    </w:p>
    <w:p w:rsidR="009E55A6" w:rsidRPr="009E55A6" w:rsidRDefault="00BA7A7F" w:rsidP="009E55A6">
      <w:pPr>
        <w:spacing w:after="160"/>
      </w:pPr>
      <w:r w:rsidRPr="009E55A6">
        <w:t xml:space="preserve">The financial statements, included in Tables 3.1 to 3.6 have been prepared in accordance with the requirements of the </w:t>
      </w:r>
      <w:r w:rsidRPr="00CF52A0">
        <w:rPr>
          <w:i/>
        </w:rPr>
        <w:t>Public Governance, Performance and Accountability Act 2013</w:t>
      </w:r>
      <w:r w:rsidRPr="009E55A6">
        <w:t>, the Public Governance, Performance and Accountabi</w:t>
      </w:r>
      <w:r>
        <w:t xml:space="preserve">lity (Financial Reporting) Rule </w:t>
      </w:r>
      <w:r w:rsidRPr="009E55A6">
        <w:t>2015, Australian Accounting Standards issued by the Australian Accounting Standards Board and the Department of Finance guidance for the preparation of financial statements (noting additional disclosure of the reconciliation of the impact of the significant non-cash income and charges is not required by Australian Accounting Standards).</w:t>
      </w:r>
    </w:p>
    <w:p w:rsidR="009E55A6" w:rsidRPr="00110AA5" w:rsidRDefault="00BA7A7F" w:rsidP="009E55A6">
      <w:pPr>
        <w:spacing w:after="160"/>
      </w:pPr>
      <w:r w:rsidRPr="009E55A6">
        <w:t xml:space="preserve">Forward estimates are prepared on the basis of accounting standards currently in </w:t>
      </w:r>
      <w:r w:rsidRPr="00110AA5">
        <w:t xml:space="preserve">force.  Adoption of new accounting standards </w:t>
      </w:r>
      <w:r>
        <w:t xml:space="preserve">may </w:t>
      </w:r>
      <w:r w:rsidRPr="00110AA5">
        <w:t xml:space="preserve">impact the measurement and classification of certain assets, liabilities and expenses in future periods.  </w:t>
      </w:r>
    </w:p>
    <w:p w:rsidR="00250511" w:rsidRPr="00110AA5" w:rsidRDefault="00BA7A7F" w:rsidP="009E55A6">
      <w:pPr>
        <w:spacing w:after="160"/>
      </w:pPr>
      <w:r w:rsidRPr="00110AA5">
        <w:t xml:space="preserve">The financial report has been prepared on an accrual basis and is prepared in accordance with the historical cost convention. </w:t>
      </w:r>
      <w:r w:rsidR="00110AA5" w:rsidRPr="00110AA5">
        <w:br w:type="page"/>
      </w:r>
    </w:p>
    <w:p w:rsidR="00250511" w:rsidRPr="00110AA5" w:rsidRDefault="00BA7A7F" w:rsidP="00250511">
      <w:pPr>
        <w:pStyle w:val="BodyText"/>
        <w:rPr>
          <w:rFonts w:ascii="Arial" w:hAnsi="Arial" w:cs="Arial"/>
          <w:b/>
        </w:rPr>
      </w:pPr>
      <w:r w:rsidRPr="00110AA5">
        <w:rPr>
          <w:rFonts w:ascii="Arial" w:hAnsi="Arial" w:cs="Arial"/>
          <w:b/>
        </w:rPr>
        <w:t>Notes to the budgeted financial statements</w:t>
      </w:r>
    </w:p>
    <w:p w:rsidR="009E55A6" w:rsidRPr="00110AA5" w:rsidRDefault="00BA7A7F" w:rsidP="009E55A6">
      <w:pPr>
        <w:spacing w:after="160"/>
      </w:pPr>
      <w:r w:rsidRPr="00110AA5">
        <w:t>The budget statements and estimated forward years should be read taking into account the following matters:</w:t>
      </w:r>
    </w:p>
    <w:p w:rsidR="009E55A6" w:rsidRPr="00110AA5" w:rsidRDefault="00BA7A7F" w:rsidP="009E55A6">
      <w:pPr>
        <w:spacing w:after="160"/>
        <w:rPr>
          <w:i/>
        </w:rPr>
      </w:pPr>
      <w:r w:rsidRPr="00110AA5">
        <w:rPr>
          <w:i/>
        </w:rPr>
        <w:t>Interest rates</w:t>
      </w:r>
    </w:p>
    <w:p w:rsidR="009E55A6" w:rsidRPr="00236A89" w:rsidRDefault="00BA7A7F" w:rsidP="00236A89">
      <w:pPr>
        <w:pStyle w:val="ExampleText0"/>
        <w:spacing w:after="160"/>
        <w:jc w:val="both"/>
        <w:rPr>
          <w:i w:val="0"/>
          <w:color w:val="auto"/>
        </w:rPr>
      </w:pPr>
      <w:r>
        <w:rPr>
          <w:i w:val="0"/>
          <w:color w:val="auto"/>
        </w:rPr>
        <w:t>The Corporation is in the business of making loans and is therefore impacted significantly by movements in market interest rates. Market rates of interest have dropped significantly over the last few years, and this has resulted in (a) a number of CEFC financed projects being refinanced at lower market-based rates of interest, some of which have been refinanced by the private sector (particularly those that have been de-risked through completion of construction) and some of which the CEFC has refinanced, and (b) lower rates of return (income) in new investments (both debt and equity). Although market interest rates have begun to increase recently, any resulting increase in CEFC’s revenue is delayed due to the significant portion of the Corporation’s existing interest-bearing investments earning fixed interest rates.</w:t>
      </w:r>
    </w:p>
    <w:p w:rsidR="009E55A6" w:rsidRPr="00110AA5" w:rsidRDefault="00BA7A7F" w:rsidP="009E55A6">
      <w:pPr>
        <w:spacing w:after="160"/>
        <w:rPr>
          <w:i/>
        </w:rPr>
      </w:pPr>
      <w:r w:rsidRPr="00110AA5">
        <w:rPr>
          <w:i/>
        </w:rPr>
        <w:t>Concession loan discount</w:t>
      </w:r>
    </w:p>
    <w:p w:rsidR="009E55A6" w:rsidRPr="00110AA5" w:rsidRDefault="00BA7A7F" w:rsidP="009E55A6">
      <w:pPr>
        <w:spacing w:after="160"/>
      </w:pPr>
      <w:r>
        <w:t>S</w:t>
      </w:r>
      <w:r w:rsidRPr="00110AA5">
        <w:t xml:space="preserve">ome of </w:t>
      </w:r>
      <w:r>
        <w:t xml:space="preserve">the loans </w:t>
      </w:r>
      <w:r w:rsidRPr="00110AA5">
        <w:t xml:space="preserve">which </w:t>
      </w:r>
      <w:r>
        <w:t xml:space="preserve">the Corporation makes </w:t>
      </w:r>
      <w:r w:rsidRPr="00110AA5">
        <w:t>may be at a discount to the prevailing market equivalent rates or terms (or, in the absence of equivalent market rates or terms, an estimate of these). For each debt investment, the Corporation attempts to maximise its return and provide only the level of discount from market rates/terms that is required to ensure the project proceeds. This may involve the Corporation taking a position that is not generally offered by other market participants (for e</w:t>
      </w:r>
      <w:r>
        <w:t xml:space="preserve">xample, longer term fixed rate </w:t>
      </w:r>
      <w:r w:rsidRPr="00110AA5">
        <w:t>debt or subordinated</w:t>
      </w:r>
      <w:r>
        <w:t xml:space="preserve"> </w:t>
      </w:r>
      <w:r w:rsidRPr="00110AA5">
        <w:t xml:space="preserve">debt) at rates that may be below those that an equivalent market participant would demand if it were to participate in this market. </w:t>
      </w:r>
    </w:p>
    <w:p w:rsidR="009E55A6" w:rsidRPr="00110AA5" w:rsidRDefault="00BA7A7F" w:rsidP="009E55A6">
      <w:pPr>
        <w:spacing w:after="160"/>
      </w:pPr>
      <w:r w:rsidRPr="00110AA5">
        <w:t>The Corporation is required to record a non-cash charge referred to as a concessional loan discount in relation to any such loans and it is a matter of judgment as to the market equ</w:t>
      </w:r>
      <w:r w:rsidR="00110AA5">
        <w:t xml:space="preserve">ivalent rate used to ascertain </w:t>
      </w:r>
      <w:r w:rsidRPr="00110AA5">
        <w:t>the extent of the implicit discount attached to the loan.</w:t>
      </w:r>
    </w:p>
    <w:p w:rsidR="009E55A6" w:rsidRPr="00110AA5" w:rsidRDefault="00BA7A7F" w:rsidP="009E55A6">
      <w:pPr>
        <w:spacing w:after="160"/>
      </w:pPr>
      <w:r w:rsidRPr="00110AA5">
        <w:t>Concessionality is made available on an individual transaction basis through longer tenor or lower cost of finance or by absorbing additional risk. The Corporation sets terms on a case-by-case basis, lending at the rate that is commercially reasonable and on the least generous terms possible for the project to proceed (that is, as close to market terms as possible).</w:t>
      </w:r>
    </w:p>
    <w:p w:rsidR="00110AA5" w:rsidRPr="00110AA5" w:rsidRDefault="00BA7A7F">
      <w:pPr>
        <w:keepLines w:val="0"/>
        <w:spacing w:after="200" w:line="276" w:lineRule="auto"/>
        <w:jc w:val="left"/>
        <w:rPr>
          <w:i/>
        </w:rPr>
      </w:pPr>
      <w:r w:rsidRPr="00110AA5">
        <w:rPr>
          <w:i/>
        </w:rPr>
        <w:br w:type="page"/>
      </w:r>
    </w:p>
    <w:p w:rsidR="009E55A6" w:rsidRPr="00110AA5" w:rsidRDefault="00BA7A7F" w:rsidP="009E55A6">
      <w:pPr>
        <w:spacing w:after="160"/>
        <w:rPr>
          <w:i/>
        </w:rPr>
      </w:pPr>
      <w:r w:rsidRPr="00110AA5">
        <w:rPr>
          <w:i/>
        </w:rPr>
        <w:t>Impairment</w:t>
      </w:r>
    </w:p>
    <w:p w:rsidR="009E55A6" w:rsidRPr="00110AA5" w:rsidRDefault="00BA7A7F" w:rsidP="00110AA5">
      <w:pPr>
        <w:pStyle w:val="ListParagraph"/>
        <w:keepLines/>
        <w:numPr>
          <w:ilvl w:val="0"/>
          <w:numId w:val="81"/>
        </w:numPr>
        <w:spacing w:after="160" w:line="276" w:lineRule="auto"/>
        <w:jc w:val="left"/>
        <w:rPr>
          <w:rFonts w:eastAsia="Times New Roman" w:cs="Times New Roman"/>
          <w:sz w:val="20"/>
          <w:szCs w:val="20"/>
          <w:lang w:val="en-AU"/>
        </w:rPr>
      </w:pPr>
      <w:r w:rsidRPr="00110AA5">
        <w:rPr>
          <w:rFonts w:eastAsia="Times New Roman" w:cs="Times New Roman"/>
          <w:sz w:val="20"/>
          <w:szCs w:val="20"/>
          <w:lang w:val="en-AU"/>
        </w:rPr>
        <w:t>Loans</w:t>
      </w:r>
    </w:p>
    <w:p w:rsidR="009E55A6" w:rsidRPr="00110AA5" w:rsidRDefault="00BA7A7F" w:rsidP="009E55A6">
      <w:pPr>
        <w:spacing w:after="160"/>
      </w:pPr>
      <w:r w:rsidRPr="00110AA5">
        <w:t>The Corporation is required to ascertain the extent to which its portfolio of loans is likely to be recoverable. Given the Corporation is in the business of lending and earning a margin it takes credit risk and it is appropriate to provision for expected credit losses. As the Corporation’s portfolio is mainly senior, secured debt and secured project finance facilities, and there have been limited specific impairments identified to date, a statistical probability of default must be used in accordance with AASB9 to determine the level of appropriate provisioning. The forecast impairment charge is a provision determined as reasonable and appropriate when looking at the risks within the Corporation’s current loans and</w:t>
      </w:r>
      <w:r>
        <w:t>,</w:t>
      </w:r>
      <w:r w:rsidRPr="00110AA5">
        <w:t xml:space="preserve"> in particular</w:t>
      </w:r>
      <w:r>
        <w:t>,</w:t>
      </w:r>
      <w:r w:rsidRPr="00110AA5">
        <w:t xml:space="preserve"> the current environment faced by the borrowers.</w:t>
      </w:r>
    </w:p>
    <w:p w:rsidR="009E55A6" w:rsidRPr="00110AA5" w:rsidRDefault="00BA7A7F" w:rsidP="00110AA5">
      <w:pPr>
        <w:pStyle w:val="ListParagraph"/>
        <w:keepLines/>
        <w:numPr>
          <w:ilvl w:val="0"/>
          <w:numId w:val="81"/>
        </w:numPr>
        <w:spacing w:after="160" w:line="276" w:lineRule="auto"/>
        <w:jc w:val="left"/>
        <w:rPr>
          <w:rFonts w:eastAsia="Times New Roman" w:cs="Times New Roman"/>
          <w:sz w:val="20"/>
          <w:szCs w:val="20"/>
          <w:lang w:val="en-AU"/>
        </w:rPr>
      </w:pPr>
      <w:r w:rsidRPr="00110AA5">
        <w:rPr>
          <w:rFonts w:eastAsia="Times New Roman" w:cs="Times New Roman"/>
          <w:sz w:val="20"/>
          <w:szCs w:val="20"/>
          <w:lang w:val="en-AU"/>
        </w:rPr>
        <w:t>Equity Investments</w:t>
      </w:r>
    </w:p>
    <w:p w:rsidR="009E55A6" w:rsidRPr="00110AA5" w:rsidRDefault="00BA7A7F" w:rsidP="009E55A6">
      <w:pPr>
        <w:spacing w:after="160"/>
      </w:pPr>
      <w:r w:rsidRPr="00110AA5">
        <w:t>The Corporation carries its equity investments at fair value. Since the adoption of AASB9 – Financial Instruments effective 1 July 2018, any reduction in these fair values is required to be recorded as a charge to the income statement. The Corporation is, among other things, in the business of investing equity in early-stage clean energy technology entities under the Clean Energy Innovation Fund. The performance of the Innovation Fund portfolio will reflect the nature, status and lifecycle of the underlying investments and the Corporation expects that a number of these investments will become impaired over the period covered b</w:t>
      </w:r>
      <w:r>
        <w:t xml:space="preserve">y these financial statements. </w:t>
      </w:r>
      <w:r w:rsidRPr="00110AA5">
        <w:t>This is consistent with the design of the Clean Energy Innovation Fund as essentially a venture capital-style offering, where perhaps 40 per cent of investments are expected to fail, 40 per cent expected to yield average returns and the remaining 20 per cent expected to outperform. It is envisaged that the outperforming investments in the Clean Energy Innovation Fund will therefore cover, and ideally exceed, any investment losses – enabling the Fund to meet or exceed its performance benchmark return of the 5-year government bond rate +1 per cent per annum.</w:t>
      </w:r>
    </w:p>
    <w:p w:rsidR="009E55A6" w:rsidRPr="00110AA5" w:rsidRDefault="00BA7A7F" w:rsidP="009E55A6">
      <w:pPr>
        <w:spacing w:after="160"/>
      </w:pPr>
      <w:r w:rsidRPr="00110AA5">
        <w:t>The Corporation is also in the business of investing in equity in more mature companies, businesses and projects. In some situations it may be necessary for the Corporation</w:t>
      </w:r>
      <w:r>
        <w:t xml:space="preserve"> to take a lower rate of return</w:t>
      </w:r>
      <w:r w:rsidRPr="00110AA5">
        <w:t xml:space="preserve"> than the risk of the project would indicate is appropri</w:t>
      </w:r>
      <w:r>
        <w:t xml:space="preserve">ate for a commercial investor. </w:t>
      </w:r>
      <w:r w:rsidRPr="00110AA5">
        <w:t>For example, this may be a subordinated return or a period of lower returns in the early years of a project. The Corporation does this in limited situations, and only when it is necessary to ensure the project proceeds, as this will trigger a write-down in the fair value of the Corporation’s equity investment.</w:t>
      </w:r>
    </w:p>
    <w:p w:rsidR="00110AA5" w:rsidRPr="00110AA5" w:rsidRDefault="00BA7A7F">
      <w:pPr>
        <w:keepLines w:val="0"/>
        <w:spacing w:after="200" w:line="276" w:lineRule="auto"/>
        <w:jc w:val="left"/>
        <w:rPr>
          <w:i/>
        </w:rPr>
      </w:pPr>
      <w:r w:rsidRPr="00110AA5">
        <w:rPr>
          <w:i/>
        </w:rPr>
        <w:br w:type="page"/>
      </w:r>
    </w:p>
    <w:p w:rsidR="009E55A6" w:rsidRPr="00110AA5" w:rsidRDefault="00BA7A7F" w:rsidP="009E55A6">
      <w:pPr>
        <w:spacing w:after="160"/>
        <w:rPr>
          <w:i/>
        </w:rPr>
      </w:pPr>
      <w:r w:rsidRPr="00110AA5">
        <w:rPr>
          <w:i/>
        </w:rPr>
        <w:t>Variability in forecasts</w:t>
      </w:r>
    </w:p>
    <w:p w:rsidR="009E55A6" w:rsidRPr="00110AA5" w:rsidRDefault="00BA7A7F" w:rsidP="009E55A6">
      <w:pPr>
        <w:spacing w:after="160"/>
      </w:pPr>
      <w:r>
        <w:t>The responsible m</w:t>
      </w:r>
      <w:r w:rsidRPr="00110AA5">
        <w:t xml:space="preserve">inisters give guidance to the Board in relation to the performance of the Corporation’s investment function in the form of an Investment Mandate issued under subsection 64(1) of the CEFC Act. The current Investment Mandate, the Investment Mandate Direction 2020, became effective on 2 May 2020 and was issued by the </w:t>
      </w:r>
      <w:r>
        <w:t xml:space="preserve">then </w:t>
      </w:r>
      <w:r w:rsidRPr="00110AA5">
        <w:t xml:space="preserve">Hon Angus Taylor MP, Minister for Energy and Emissions Reduction, and Senator the Hon Mathias Cormann, the then Minister for Finance. This Investment Mandate includes specific areas of focus. These areas of focus have direct implication on the likely rate of return that is achievable in the portfolio, the amount of risk that the Corporation will be incurring across its portfolio and the variability of earnings from period to period.  </w:t>
      </w:r>
    </w:p>
    <w:p w:rsidR="009E55A6" w:rsidRPr="00110AA5" w:rsidRDefault="00BA7A7F" w:rsidP="009E55A6">
      <w:pPr>
        <w:spacing w:after="160"/>
      </w:pPr>
      <w:r w:rsidRPr="00110AA5">
        <w:t>For example, the Clean Energy Innovation Fund will likely result in a greater proportion of equity investments than the Corporation’s core portfolio.  Similarly, the focus of both the Innovation Fund and Advancing Hydrogen Fund on emerging clean energy projects and businesses that involve technologies that have passed beyond the research and development stages, but are not yet established or of sufficient maturity, size or otherwise commercially ready to attract sufficient private sector investment, will expose the Corporation to a greater risk of loss on individual investments and is likely to result in a greater variability in returns between reporting periods. The Australian Government is conscious of the risks inherent in investing in earlier stage technologies and acknowledges that in practice this will involve some short-term volatility in the Corporation’s returns, including the possibility of losses in some years. See also the discussion on the Clean Energy Innovation Fund in the section on “Impairments” above.</w:t>
      </w:r>
    </w:p>
    <w:p w:rsidR="004B68CB" w:rsidRPr="00110AA5" w:rsidRDefault="00BA7A7F" w:rsidP="009E55A6">
      <w:pPr>
        <w:spacing w:after="160"/>
      </w:pPr>
      <w:r w:rsidRPr="00110AA5">
        <w:t>Investments in the Grid Reliability Fund (once established) will also likely require considerable concession or a subordination of returns which will result in either impairment or a write-down in the fair value o</w:t>
      </w:r>
      <w:r>
        <w:t xml:space="preserve">f the investment at inception. </w:t>
      </w:r>
      <w:r w:rsidRPr="00110AA5">
        <w:t>As these projects will be large and infrequent, the precise timing of when they will trigger a concessional charge or write-down in their fair value is not possible to predict with any degree of certainty and are likely to result in significant fluctuations between periods.</w:t>
      </w:r>
    </w:p>
    <w:p w:rsidR="006B6EF0" w:rsidRPr="00A44053" w:rsidRDefault="00BA7A7F" w:rsidP="00A44053">
      <w:pPr>
        <w:pStyle w:val="Heading3"/>
        <w:pageBreakBefore/>
        <w:spacing w:before="360" w:after="120"/>
        <w:rPr>
          <w:rFonts w:ascii="Arial Bold" w:hAnsi="Arial Bold"/>
          <w:smallCaps w:val="0"/>
          <w:sz w:val="22"/>
          <w:szCs w:val="22"/>
        </w:rPr>
      </w:pPr>
      <w:bookmarkStart w:id="785" w:name="RG_MARKER_11974"/>
      <w:bookmarkStart w:id="786" w:name="RG_MARKER_12177"/>
      <w:r w:rsidRPr="00A44053">
        <w:rPr>
          <w:rFonts w:ascii="Arial Bold" w:hAnsi="Arial Bold"/>
          <w:smallCaps w:val="0"/>
          <w:sz w:val="22"/>
          <w:szCs w:val="22"/>
        </w:rPr>
        <w:t>3.2</w:t>
      </w:r>
      <w:bookmarkEnd w:id="785"/>
      <w:bookmarkEnd w:id="786"/>
      <w:r w:rsidRPr="00A44053">
        <w:rPr>
          <w:rFonts w:ascii="Arial Bold" w:hAnsi="Arial Bold"/>
          <w:smallCaps w:val="0"/>
          <w:sz w:val="22"/>
          <w:szCs w:val="22"/>
        </w:rPr>
        <w:tab/>
        <w:t>Budgeted financial statements tables</w:t>
      </w:r>
    </w:p>
    <w:p w:rsidR="005E7F55" w:rsidRDefault="00BA7A7F" w:rsidP="005E7F55">
      <w:pPr>
        <w:pStyle w:val="TableHeading"/>
        <w:keepLines/>
        <w:spacing w:before="0" w:after="0"/>
      </w:pPr>
      <w:r>
        <w:t>Table 3.1: Comprehensive income statement (showing net cost of services) for the period ended 30 June</w:t>
      </w:r>
    </w:p>
    <w:tbl>
      <w:tblPr>
        <w:tblStyle w:val="CDMRange1"/>
        <w:tblW w:w="7560" w:type="dxa"/>
        <w:tblLayout w:type="fixed"/>
        <w:tblLook w:val="0600" w:firstRow="0" w:lastRow="0" w:firstColumn="0" w:lastColumn="0" w:noHBand="1" w:noVBand="1"/>
      </w:tblPr>
      <w:tblGrid>
        <w:gridCol w:w="3435"/>
        <w:gridCol w:w="825"/>
        <w:gridCol w:w="825"/>
        <w:gridCol w:w="825"/>
        <w:gridCol w:w="825"/>
        <w:gridCol w:w="825"/>
      </w:tblGrid>
      <w:tr w:rsidR="00253274">
        <w:trPr>
          <w:trHeight w:val="883"/>
        </w:trPr>
        <w:tc>
          <w:tcPr>
            <w:tcW w:w="3435"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38,817</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43,140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44,241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46,301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48,169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15,440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21,219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22,127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22,532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22,662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3,972</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5,555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5,303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5,239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Concessional loan discount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35,000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42,854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66,708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46,708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56,708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financing costs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40,500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44,396</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35,042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43,528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56,763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35"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133,739</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157,185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173,437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164,318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190,510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3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Unwind of concessional loan discount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12,261</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13,748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16,201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17,091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21,744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147,619</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146,051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153,134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157,224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162,483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30,320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38,789</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41,888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43,868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47,633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190,200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198,588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211,223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218,183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231,860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Fair Value Gain on Investments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41,000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41,000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231,200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198,588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211,223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218,183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231,860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43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97,461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41,403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37,786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53,865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41,350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7,139</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8,821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9,053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8,390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43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104,600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50,224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46,839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62,255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44,369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435"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104,600</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50,224</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46,839</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62,255</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44,369</w:t>
            </w:r>
          </w:p>
        </w:tc>
      </w:tr>
    </w:tbl>
    <w:p w:rsidR="00E02CEF" w:rsidRDefault="00BA7A7F">
      <w:pPr>
        <w:keepLines w:val="0"/>
        <w:spacing w:after="200" w:line="276" w:lineRule="auto"/>
        <w:jc w:val="left"/>
        <w:rPr>
          <w:rFonts w:ascii="Arial" w:hAnsi="Arial"/>
          <w:b/>
          <w:bdr w:val="none" w:sz="0" w:space="0" w:color="auto" w:frame="1"/>
        </w:rPr>
      </w:pPr>
      <w:r>
        <w:rPr>
          <w:bdr w:val="none" w:sz="0" w:space="0" w:color="auto" w:frame="1"/>
        </w:rPr>
        <w:br w:type="page"/>
      </w:r>
    </w:p>
    <w:p w:rsidR="00E02CEF" w:rsidRDefault="00BA7A7F" w:rsidP="00E02CEF">
      <w:pPr>
        <w:pStyle w:val="TableHeading"/>
        <w:keepLines/>
        <w:spacing w:before="0" w:after="0"/>
      </w:pPr>
      <w:r>
        <w:t>Table 3.1: Comprehensive income statement (showing net cost of services) for the period ended 30 June (continued)</w:t>
      </w:r>
    </w:p>
    <w:p w:rsidR="004A3F48" w:rsidRDefault="004A3F48" w:rsidP="00A44053">
      <w:pPr>
        <w:spacing w:after="0" w:line="240" w:lineRule="auto"/>
        <w:ind w:left="142" w:hanging="142"/>
        <w:rPr>
          <w:rStyle w:val="Hyperlink"/>
        </w:rPr>
      </w:pPr>
    </w:p>
    <w:tbl>
      <w:tblPr>
        <w:tblStyle w:val="CDMRange2"/>
        <w:tblW w:w="7560" w:type="dxa"/>
        <w:tblLayout w:type="fixed"/>
        <w:tblLook w:val="0600" w:firstRow="0" w:lastRow="0" w:firstColumn="0" w:lastColumn="0" w:noHBand="1" w:noVBand="1"/>
      </w:tblPr>
      <w:tblGrid>
        <w:gridCol w:w="3435"/>
        <w:gridCol w:w="825"/>
        <w:gridCol w:w="825"/>
        <w:gridCol w:w="825"/>
        <w:gridCol w:w="825"/>
        <w:gridCol w:w="825"/>
      </w:tblGrid>
      <w:tr w:rsidR="00253274">
        <w:trPr>
          <w:trHeight w:hRule="exact" w:val="225"/>
        </w:trPr>
        <w:tc>
          <w:tcPr>
            <w:tcW w:w="7560" w:type="dxa"/>
            <w:gridSpan w:val="6"/>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3435"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435" w:type="dxa"/>
            <w:tcBorders>
              <w:top w:val="nil"/>
              <w:left w:val="nil"/>
              <w:bottom w:val="nil"/>
              <w:right w:val="nil"/>
              <w:tl2br w:val="nil"/>
              <w:tr2bl w:val="nil"/>
            </w:tcBorders>
            <w:shd w:val="clear" w:color="auto" w:fill="auto"/>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p w:rsidR="00253274" w:rsidRDefault="00253274">
            <w:pPr>
              <w:spacing w:after="0" w:line="240" w:lineRule="auto"/>
              <w:jc w:val="lef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104,600</w:t>
            </w:r>
          </w:p>
        </w:tc>
        <w:tc>
          <w:tcPr>
            <w:tcW w:w="82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50,224</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46,839</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62,255</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44,369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43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b/>
                <w:color w:val="000000"/>
                <w:sz w:val="16"/>
              </w:rPr>
              <w:t xml:space="preserve">   </w:t>
            </w:r>
            <w:r>
              <w:rPr>
                <w:rFonts w:ascii="Arial" w:eastAsia="Arial" w:hAnsi="Arial" w:cs="Arial"/>
                <w:color w:val="000000"/>
                <w:sz w:val="16"/>
              </w:rPr>
              <w:t>plus: depreciation/amortisation expenses</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for ROU assets (a)</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2,051</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2,555</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2,373</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2,363</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3,165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3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(1,960)</w:t>
            </w:r>
          </w:p>
        </w:tc>
        <w:tc>
          <w:tcPr>
            <w:tcW w:w="82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(2,499)</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(2,357)</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(2,431)</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(2,388)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35" w:type="dxa"/>
            <w:tcBorders>
              <w:top w:val="nil"/>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 (Deficit)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104,691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50,280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46,855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62,187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45,146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43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7560" w:type="dxa"/>
            <w:gridSpan w:val="6"/>
            <w:tcBorders>
              <w:top w:val="nil"/>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the impact of significant non-cash concessionality income and charges and fair value adjustments</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435" w:type="dxa"/>
            <w:tcBorders>
              <w:top w:val="dotted" w:sz="2" w:space="0" w:color="000000"/>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104,600</w:t>
            </w:r>
          </w:p>
        </w:tc>
        <w:tc>
          <w:tcPr>
            <w:tcW w:w="825" w:type="dxa"/>
            <w:tcBorders>
              <w:top w:val="dotted" w:sz="2" w:space="0" w:color="000000"/>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50,224</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46,839</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62,255</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44,369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343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b/>
                <w:color w:val="000000"/>
                <w:sz w:val="16"/>
              </w:rPr>
              <w:t>Add</w:t>
            </w:r>
            <w:r>
              <w:rPr>
                <w:rFonts w:ascii="Arial" w:eastAsia="Arial" w:hAnsi="Arial" w:cs="Arial"/>
                <w:color w:val="000000"/>
                <w:sz w:val="16"/>
              </w:rPr>
              <w:t xml:space="preserve"> concessional loan discount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35,000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42,854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66,708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46,708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56,708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43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b/>
                <w:color w:val="000000"/>
                <w:sz w:val="16"/>
              </w:rPr>
              <w:t>Less</w:t>
            </w:r>
            <w:r>
              <w:rPr>
                <w:rFonts w:ascii="Arial" w:eastAsia="Arial" w:hAnsi="Arial" w:cs="Arial"/>
                <w:color w:val="000000"/>
                <w:sz w:val="16"/>
              </w:rPr>
              <w:t xml:space="preserve"> unwind of concessional loan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discount</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(12,261)</w:t>
            </w:r>
          </w:p>
        </w:tc>
        <w:tc>
          <w:tcPr>
            <w:tcW w:w="82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(13,748)</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(16,201)</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(17,091)</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(21,744)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3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Net non-cash concessionality impact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22,739</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29,106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50,507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29,617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34,964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43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b/>
                <w:color w:val="000000"/>
                <w:sz w:val="16"/>
              </w:rPr>
              <w:t xml:space="preserve">Add </w:t>
            </w:r>
            <w:r w:rsidR="00D662CF">
              <w:rPr>
                <w:rFonts w:ascii="Arial" w:eastAsia="Arial" w:hAnsi="Arial" w:cs="Arial"/>
                <w:color w:val="000000"/>
                <w:sz w:val="16"/>
              </w:rPr>
              <w:t>write-down and impair</w:t>
            </w:r>
            <w:r>
              <w:rPr>
                <w:rFonts w:ascii="Arial" w:eastAsia="Arial" w:hAnsi="Arial" w:cs="Arial"/>
                <w:color w:val="000000"/>
                <w:sz w:val="16"/>
              </w:rPr>
              <w:t>ment of</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40,500</w:t>
            </w:r>
          </w:p>
        </w:tc>
        <w:tc>
          <w:tcPr>
            <w:tcW w:w="82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44,396</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35,042</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43,528</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56,763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3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b/>
                <w:color w:val="000000"/>
                <w:sz w:val="16"/>
              </w:rPr>
              <w:t>Less</w:t>
            </w:r>
            <w:r>
              <w:rPr>
                <w:rFonts w:ascii="Arial" w:eastAsia="Arial" w:hAnsi="Arial" w:cs="Arial"/>
                <w:color w:val="000000"/>
                <w:sz w:val="16"/>
              </w:rPr>
              <w:t xml:space="preserve"> Fair Value Gains</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(41,000)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43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Net adjustments to investment carrying</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values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44,396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35,042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43,528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56,763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435"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income </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attributable to the Australian Government after eliminating significant non-cash </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adjustments</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126,839</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123,726</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132,388</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135,400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136,096</w:t>
            </w:r>
          </w:p>
        </w:tc>
      </w:tr>
    </w:tbl>
    <w:p w:rsidR="002B706F" w:rsidRPr="00F83370" w:rsidRDefault="00BA7A7F" w:rsidP="002B706F">
      <w:pPr>
        <w:keepLines w:val="0"/>
        <w:spacing w:after="0" w:line="240" w:lineRule="auto"/>
        <w:rPr>
          <w:rFonts w:ascii="Arial" w:hAnsi="Arial" w:cs="Arial"/>
          <w:sz w:val="16"/>
          <w:szCs w:val="16"/>
          <w:bdr w:val="none" w:sz="0" w:space="0" w:color="auto" w:frame="1"/>
        </w:rPr>
      </w:pPr>
      <w:r w:rsidRPr="00F83370">
        <w:rPr>
          <w:rFonts w:ascii="Arial" w:hAnsi="Arial" w:cs="Arial"/>
          <w:sz w:val="16"/>
          <w:szCs w:val="16"/>
          <w:bdr w:val="none" w:sz="0" w:space="0" w:color="auto" w:frame="1"/>
        </w:rPr>
        <w:t>Prepared on Australian Accounting Standards basis.</w:t>
      </w:r>
    </w:p>
    <w:p w:rsidR="00A01E44" w:rsidRPr="00F83370" w:rsidRDefault="00BA7A7F" w:rsidP="009500CC">
      <w:pPr>
        <w:pStyle w:val="ListParagraph"/>
        <w:numPr>
          <w:ilvl w:val="0"/>
          <w:numId w:val="82"/>
        </w:numPr>
        <w:spacing w:after="0" w:line="240" w:lineRule="auto"/>
        <w:ind w:left="357" w:hanging="357"/>
        <w:rPr>
          <w:rFonts w:eastAsia="Times New Roman" w:cs="Arial"/>
          <w:sz w:val="16"/>
          <w:szCs w:val="16"/>
          <w:bdr w:val="none" w:sz="0" w:space="0" w:color="auto" w:frame="1"/>
          <w:lang w:val="en-AU"/>
        </w:rPr>
      </w:pPr>
      <w:r w:rsidRPr="00F83370">
        <w:rPr>
          <w:rFonts w:ascii="Arial" w:eastAsia="Times New Roman" w:hAnsi="Arial" w:cs="Arial"/>
          <w:sz w:val="16"/>
          <w:szCs w:val="16"/>
          <w:bdr w:val="none" w:sz="0" w:space="0" w:color="auto" w:frame="1"/>
          <w:lang w:val="en-AU"/>
        </w:rPr>
        <w:t>Applies leases under AASB 16 Leases.</w:t>
      </w:r>
    </w:p>
    <w:p w:rsidR="00E33FC6" w:rsidRPr="00A01E44" w:rsidRDefault="00BA7A7F" w:rsidP="002B706F">
      <w:pPr>
        <w:keepLines w:val="0"/>
        <w:spacing w:after="0" w:line="240" w:lineRule="auto"/>
        <w:rPr>
          <w:sz w:val="16"/>
          <w:szCs w:val="16"/>
          <w:bdr w:val="none" w:sz="0" w:space="0" w:color="auto" w:frame="1"/>
        </w:rPr>
      </w:pPr>
      <w:r w:rsidRPr="00A01E44">
        <w:rPr>
          <w:sz w:val="16"/>
          <w:szCs w:val="16"/>
          <w:bdr w:val="none" w:sz="0" w:space="0" w:color="auto" w:frame="1"/>
        </w:rPr>
        <w:t xml:space="preserve"> </w:t>
      </w:r>
      <w:r w:rsidRPr="00A01E44">
        <w:rPr>
          <w:sz w:val="16"/>
          <w:szCs w:val="16"/>
          <w:bdr w:val="none" w:sz="0" w:space="0" w:color="auto" w:frame="1"/>
        </w:rPr>
        <w:br w:type="page"/>
      </w:r>
    </w:p>
    <w:p w:rsidR="005E7F55" w:rsidRDefault="00BA7A7F" w:rsidP="005E7F55">
      <w:pPr>
        <w:pStyle w:val="TableHeading"/>
        <w:keepLines/>
        <w:pageBreakBefore/>
        <w:spacing w:before="0" w:after="0"/>
      </w:pPr>
      <w:r>
        <w:rPr>
          <w:bdr w:val="none" w:sz="0" w:space="0" w:color="auto" w:frame="1"/>
        </w:rPr>
        <w:t xml:space="preserve">Table 3.2: Budgeted departmental balance sheet (as at </w:t>
      </w:r>
      <w:r>
        <w:t>30 June)</w:t>
      </w:r>
    </w:p>
    <w:tbl>
      <w:tblPr>
        <w:tblStyle w:val="CDMRange1"/>
        <w:tblW w:w="7695" w:type="dxa"/>
        <w:tblLayout w:type="fixed"/>
        <w:tblLook w:val="0600" w:firstRow="0" w:lastRow="0" w:firstColumn="0" w:lastColumn="0" w:noHBand="1" w:noVBand="1"/>
      </w:tblPr>
      <w:tblGrid>
        <w:gridCol w:w="2820"/>
        <w:gridCol w:w="975"/>
        <w:gridCol w:w="975"/>
        <w:gridCol w:w="975"/>
        <w:gridCol w:w="975"/>
        <w:gridCol w:w="975"/>
      </w:tblGrid>
      <w:tr w:rsidR="00253274">
        <w:trPr>
          <w:trHeight w:val="800"/>
        </w:trPr>
        <w:tc>
          <w:tcPr>
            <w:tcW w:w="282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335,636</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314,684</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331,535</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255,122</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337,960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Advances and loans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2,961,651</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3,318,688</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3,332,498</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3,601,117</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3,719,546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Investment in shares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1,243,053</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1,313,853</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1,427,771</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1,652,336</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1,667,870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2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Investments in other interest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bearing securities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1,125,525</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1,254,769</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1,347,666</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1,240,213</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1,255,580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2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Investment in derivative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financial instruments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11,303</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11,303</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11,303</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11,303</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11,303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23,056</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30,452</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30,042</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29,882</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30,548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2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Investments accounted for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under the equity method</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441,949</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505,106</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533,017</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526,352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480,942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6,142,173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6,748,855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7,013,832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7,316,325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7,503,749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4,574</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9,269</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6,896</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4,733</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7,568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2,276</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4,749</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4,113</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3,221</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2,356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713</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590</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424</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385</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7,970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15,015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11,840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8,746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10,748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6,150,143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6,763,870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7,025,672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7,325,071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7,514,497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2,860</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2,860</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2,860</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2,860</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3,242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payables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12,939</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13,398</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13,890</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14,336</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14,336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39,267</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40,324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49,890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46,682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44,625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55,066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56,582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66,640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63,878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62,203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4,924</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9,675</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7,318</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5,087</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8,699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FFFFFF" w:fill="FFFFFF"/>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Derivative Liabilities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5,002</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9,926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14,677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12,320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10,089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13,701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4,502</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4,633</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4,790</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4,822</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5,365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8,158</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8,158</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8,158</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8,158</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8,630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12,660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12,791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12,948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12,980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13,995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77,652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84,050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91,908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86,947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89,899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6,072,491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6,679,820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6,933,764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7,238,124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7,424,598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5,259,416</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5,816,521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6,023,626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6,265,731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6,407,836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(1,428)</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(1,428)</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(1,428)</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(1,428)</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82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Retained surplus / (accumulated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814,503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864,727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911,566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973,821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1,018,190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6,072,491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6,679,820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6,933,764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7,238,124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7,424,598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6,072,491</w:t>
            </w:r>
          </w:p>
        </w:tc>
        <w:tc>
          <w:tcPr>
            <w:tcW w:w="97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6,679,820</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6,933,764</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7,238,124</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7,424,598</w:t>
            </w:r>
          </w:p>
        </w:tc>
      </w:tr>
    </w:tbl>
    <w:p w:rsidR="005E7F55" w:rsidRDefault="00BA7A7F" w:rsidP="009500CC">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BA7A7F" w:rsidP="004A3F48">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Pr="00297D4E">
        <w:rPr>
          <w:rFonts w:ascii="Arial" w:eastAsia="Calibri" w:hAnsi="Arial" w:cs="Arial"/>
          <w:sz w:val="16"/>
          <w:szCs w:val="16"/>
          <w:bdr w:val="none" w:sz="0" w:space="0" w:color="auto" w:frame="1"/>
        </w:rPr>
        <w:t>Equity is the residual interest in assets after deduction of liabilities.</w:t>
      </w:r>
      <w:r>
        <w:rPr>
          <w:rFonts w:ascii="Arial" w:eastAsia="Calibri" w:hAnsi="Arial" w:cs="Arial"/>
          <w:sz w:val="16"/>
          <w:szCs w:val="16"/>
          <w:bdr w:val="none" w:sz="0" w:space="0" w:color="auto" w:frame="1"/>
        </w:rPr>
        <w:br w:type="page"/>
      </w:r>
    </w:p>
    <w:p w:rsidR="005E7F55" w:rsidRDefault="00BA7A7F" w:rsidP="005E7F55">
      <w:pPr>
        <w:pStyle w:val="TableHeading"/>
        <w:keepLines/>
        <w:spacing w:before="0" w:after="0"/>
        <w:rPr>
          <w:rStyle w:val="BookTitle"/>
          <w:i w:val="0"/>
          <w:iCs/>
        </w:rPr>
      </w:pPr>
      <w:r>
        <w:t>Table 3.3: Departmental statement of changes in equity – summary of movement (Budget year 2022­23)</w:t>
      </w:r>
    </w:p>
    <w:tbl>
      <w:tblPr>
        <w:tblStyle w:val="CDMRange2"/>
        <w:tblW w:w="7665" w:type="dxa"/>
        <w:tblLayout w:type="fixed"/>
        <w:tblLook w:val="0600" w:firstRow="0" w:lastRow="0" w:firstColumn="0" w:lastColumn="0" w:noHBand="1" w:noVBand="1"/>
      </w:tblPr>
      <w:tblGrid>
        <w:gridCol w:w="3150"/>
        <w:gridCol w:w="810"/>
        <w:gridCol w:w="915"/>
        <w:gridCol w:w="810"/>
        <w:gridCol w:w="960"/>
        <w:gridCol w:w="1020"/>
      </w:tblGrid>
      <w:tr w:rsidR="00253274">
        <w:trPr>
          <w:trHeight w:val="800"/>
        </w:trPr>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Asset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reserves</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equity/</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814,503</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(1,428)</w:t>
            </w:r>
          </w:p>
        </w:tc>
        <w:tc>
          <w:tcPr>
            <w:tcW w:w="81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5,259,416</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6,072,491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814,503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(1,428)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5,259,416</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6,072,491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50,224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50,224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1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50,224</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2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50,224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50,224</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5"/>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5"/>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5"/>
              </w:rPr>
            </w:pPr>
          </w:p>
        </w:tc>
        <w:tc>
          <w:tcPr>
            <w:tcW w:w="102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50,224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Distribution to owners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Return to CEFC Special Account</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held by portfolio department</w:t>
            </w:r>
          </w:p>
        </w:tc>
        <w:tc>
          <w:tcPr>
            <w:tcW w:w="810" w:type="dxa"/>
            <w:tcBorders>
              <w:top w:val="nil"/>
              <w:left w:val="nil"/>
              <w:bottom w:val="nil"/>
              <w:right w:val="nil"/>
              <w:tl2br w:val="nil"/>
              <w:tr2bl w:val="nil"/>
            </w:tcBorders>
            <w:shd w:val="clear" w:color="auto" w:fill="auto"/>
            <w:noWrap/>
            <w:tcMar>
              <w:left w:w="40" w:type="dxa"/>
              <w:right w:w="85" w:type="dxa"/>
            </w:tcMar>
            <w:vAlign w:val="center"/>
          </w:tcPr>
          <w:p w:rsidR="00253274" w:rsidRDefault="00BA7A7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915" w:type="dxa"/>
            <w:tcBorders>
              <w:top w:val="nil"/>
              <w:left w:val="nil"/>
              <w:bottom w:val="nil"/>
              <w:right w:val="nil"/>
              <w:tl2br w:val="nil"/>
              <w:tr2bl w:val="nil"/>
            </w:tcBorders>
            <w:shd w:val="clear" w:color="auto" w:fill="auto"/>
            <w:noWrap/>
            <w:tcMar>
              <w:left w:w="40" w:type="dxa"/>
              <w:right w:w="85" w:type="dxa"/>
            </w:tcMar>
            <w:vAlign w:val="center"/>
          </w:tcPr>
          <w:p w:rsidR="00253274" w:rsidRDefault="00BA7A7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10" w:type="dxa"/>
            <w:tcBorders>
              <w:top w:val="nil"/>
              <w:left w:val="nil"/>
              <w:bottom w:val="nil"/>
              <w:right w:val="nil"/>
              <w:tl2br w:val="nil"/>
              <w:tr2bl w:val="nil"/>
            </w:tcBorders>
            <w:shd w:val="clear" w:color="auto" w:fill="auto"/>
            <w:noWrap/>
            <w:tcMar>
              <w:left w:w="40" w:type="dxa"/>
              <w:right w:w="85" w:type="dxa"/>
            </w:tcMar>
            <w:vAlign w:val="center"/>
          </w:tcPr>
          <w:p w:rsidR="00253274" w:rsidRDefault="00BA7A7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96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(300,000)</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Equity Injection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from CEFC Special Account</w:t>
            </w:r>
          </w:p>
        </w:tc>
        <w:tc>
          <w:tcPr>
            <w:tcW w:w="810" w:type="dxa"/>
            <w:tcBorders>
              <w:top w:val="nil"/>
              <w:left w:val="nil"/>
              <w:bottom w:val="nil"/>
              <w:right w:val="nil"/>
              <w:tl2br w:val="nil"/>
              <w:tr2bl w:val="nil"/>
            </w:tcBorders>
            <w:shd w:val="clear" w:color="auto" w:fill="auto"/>
            <w:noWrap/>
            <w:tcMar>
              <w:left w:w="40" w:type="dxa"/>
              <w:right w:w="85" w:type="dxa"/>
            </w:tcMar>
            <w:vAlign w:val="center"/>
          </w:tcPr>
          <w:p w:rsidR="00253274" w:rsidRDefault="00BA7A7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915" w:type="dxa"/>
            <w:tcBorders>
              <w:top w:val="nil"/>
              <w:left w:val="nil"/>
              <w:bottom w:val="nil"/>
              <w:right w:val="nil"/>
              <w:tl2br w:val="nil"/>
              <w:tr2bl w:val="nil"/>
            </w:tcBorders>
            <w:shd w:val="clear" w:color="auto" w:fill="auto"/>
            <w:noWrap/>
            <w:tcMar>
              <w:left w:w="40" w:type="dxa"/>
              <w:right w:w="85" w:type="dxa"/>
            </w:tcMar>
            <w:vAlign w:val="center"/>
          </w:tcPr>
          <w:p w:rsidR="00253274" w:rsidRDefault="00BA7A7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10" w:type="dxa"/>
            <w:tcBorders>
              <w:top w:val="nil"/>
              <w:left w:val="nil"/>
              <w:bottom w:val="nil"/>
              <w:right w:val="nil"/>
              <w:tl2br w:val="nil"/>
              <w:tr2bl w:val="nil"/>
            </w:tcBorders>
            <w:shd w:val="clear" w:color="auto" w:fill="auto"/>
            <w:noWrap/>
            <w:tcMar>
              <w:left w:w="40" w:type="dxa"/>
              <w:right w:w="85" w:type="dxa"/>
            </w:tcMar>
            <w:vAlign w:val="center"/>
          </w:tcPr>
          <w:p w:rsidR="00253274" w:rsidRDefault="00BA7A7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530,000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Equity Injection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from GRF Special Account (a)</w:t>
            </w:r>
          </w:p>
        </w:tc>
        <w:tc>
          <w:tcPr>
            <w:tcW w:w="810" w:type="dxa"/>
            <w:tcBorders>
              <w:top w:val="nil"/>
              <w:left w:val="nil"/>
              <w:bottom w:val="nil"/>
              <w:right w:val="nil"/>
              <w:tl2br w:val="nil"/>
              <w:tr2bl w:val="nil"/>
            </w:tcBorders>
            <w:shd w:val="clear" w:color="auto" w:fill="auto"/>
            <w:noWrap/>
            <w:tcMar>
              <w:left w:w="40" w:type="dxa"/>
              <w:right w:w="85" w:type="dxa"/>
            </w:tcMar>
            <w:vAlign w:val="center"/>
          </w:tcPr>
          <w:p w:rsidR="00253274" w:rsidRDefault="00BA7A7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915" w:type="dxa"/>
            <w:tcBorders>
              <w:top w:val="nil"/>
              <w:left w:val="nil"/>
              <w:bottom w:val="nil"/>
              <w:right w:val="nil"/>
              <w:tl2br w:val="nil"/>
              <w:tr2bl w:val="nil"/>
            </w:tcBorders>
            <w:shd w:val="clear" w:color="auto" w:fill="auto"/>
            <w:noWrap/>
            <w:tcMar>
              <w:left w:w="40" w:type="dxa"/>
              <w:right w:w="85" w:type="dxa"/>
            </w:tcMar>
            <w:vAlign w:val="center"/>
          </w:tcPr>
          <w:p w:rsidR="00253274" w:rsidRDefault="00BA7A7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10" w:type="dxa"/>
            <w:tcBorders>
              <w:top w:val="nil"/>
              <w:left w:val="nil"/>
              <w:bottom w:val="nil"/>
              <w:right w:val="nil"/>
              <w:tl2br w:val="nil"/>
              <w:tr2bl w:val="nil"/>
            </w:tcBorders>
            <w:shd w:val="clear" w:color="auto" w:fill="auto"/>
            <w:noWrap/>
            <w:tcMar>
              <w:left w:w="40" w:type="dxa"/>
              <w:right w:w="85" w:type="dxa"/>
            </w:tcMar>
            <w:vAlign w:val="center"/>
          </w:tcPr>
          <w:p w:rsidR="00253274" w:rsidRDefault="00BA7A7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285,000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285,000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FFFFFF" w:fill="FFFFFF"/>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Equity Injection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from LETCF Special Account (a)</w:t>
            </w:r>
          </w:p>
        </w:tc>
        <w:tc>
          <w:tcPr>
            <w:tcW w:w="81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253274" w:rsidRDefault="00BA7A7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915"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253274" w:rsidRDefault="00BA7A7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810" w:type="dxa"/>
            <w:tcBorders>
              <w:top w:val="nil"/>
              <w:left w:val="nil"/>
              <w:bottom w:val="dotted" w:sz="2" w:space="0" w:color="000000"/>
              <w:right w:val="nil"/>
              <w:tl2br w:val="nil"/>
              <w:tr2bl w:val="nil"/>
            </w:tcBorders>
            <w:shd w:val="clear" w:color="auto" w:fill="auto"/>
            <w:noWrap/>
            <w:tcMar>
              <w:left w:w="40" w:type="dxa"/>
              <w:right w:w="85" w:type="dxa"/>
            </w:tcMar>
            <w:vAlign w:val="center"/>
          </w:tcPr>
          <w:p w:rsidR="00253274" w:rsidRDefault="00BA7A7F">
            <w:pPr>
              <w:spacing w:after="0" w:line="240" w:lineRule="auto"/>
              <w:jc w:val="right"/>
              <w:rPr>
                <w:rFonts w:ascii="Arial" w:eastAsia="Arial" w:hAnsi="Arial" w:cs="Arial"/>
                <w:color w:val="000000"/>
                <w:sz w:val="15"/>
              </w:rPr>
            </w:pPr>
            <w:r>
              <w:rPr>
                <w:rFonts w:ascii="Arial" w:eastAsia="Arial" w:hAnsi="Arial" w:cs="Arial"/>
                <w:color w:val="000000"/>
                <w:sz w:val="15"/>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42,105</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42,105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owners</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557,105</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557,105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2023</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864,727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(1,428)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5,816,521</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6,679,820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864,727</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(1,428)</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5,816,521</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6,679,820</w:t>
            </w:r>
          </w:p>
        </w:tc>
      </w:tr>
    </w:tbl>
    <w:p w:rsidR="005E7F55" w:rsidRPr="00F83370" w:rsidRDefault="00BA7A7F" w:rsidP="009500CC">
      <w:pPr>
        <w:spacing w:before="40" w:after="0" w:line="240" w:lineRule="auto"/>
        <w:rPr>
          <w:rFonts w:ascii="Arial" w:eastAsia="Calibri" w:hAnsi="Arial" w:cs="Arial"/>
          <w:sz w:val="16"/>
          <w:szCs w:val="16"/>
          <w:bdr w:val="none" w:sz="0" w:space="0" w:color="auto" w:frame="1"/>
        </w:rPr>
      </w:pPr>
      <w:r w:rsidRPr="00F83370">
        <w:rPr>
          <w:rFonts w:ascii="Arial" w:eastAsia="Calibri" w:hAnsi="Arial" w:cs="Arial"/>
          <w:sz w:val="16"/>
          <w:szCs w:val="16"/>
          <w:bdr w:val="none" w:sz="0" w:space="0" w:color="auto" w:frame="1"/>
        </w:rPr>
        <w:t>Prepared on Australian Accounting Standards basis.</w:t>
      </w:r>
    </w:p>
    <w:p w:rsidR="005E7F55" w:rsidRPr="00AB6302" w:rsidRDefault="00BA7A7F" w:rsidP="002B706F">
      <w:pPr>
        <w:pStyle w:val="ListParagraph"/>
        <w:numPr>
          <w:ilvl w:val="0"/>
          <w:numId w:val="83"/>
        </w:numPr>
        <w:spacing w:after="0" w:line="240" w:lineRule="auto"/>
        <w:rPr>
          <w:rFonts w:eastAsia="Calibri" w:cs="Arial"/>
          <w:sz w:val="16"/>
          <w:szCs w:val="16"/>
          <w:bdr w:val="none" w:sz="0" w:space="0" w:color="auto" w:frame="1"/>
          <w:lang w:val="en-AU"/>
        </w:rPr>
      </w:pPr>
      <w:r w:rsidRPr="00F83370">
        <w:rPr>
          <w:rFonts w:ascii="Arial" w:eastAsia="Calibri" w:hAnsi="Arial" w:cs="Arial"/>
          <w:sz w:val="16"/>
          <w:szCs w:val="16"/>
          <w:bdr w:val="none" w:sz="0" w:space="0" w:color="auto" w:frame="1"/>
          <w:lang w:val="en-AU"/>
        </w:rPr>
        <w:t>Budgeted drawings from the G</w:t>
      </w:r>
      <w:r w:rsidR="0003795F" w:rsidRPr="00F83370">
        <w:rPr>
          <w:rFonts w:ascii="Arial" w:eastAsia="Calibri" w:hAnsi="Arial" w:cs="Arial"/>
          <w:sz w:val="16"/>
          <w:szCs w:val="16"/>
          <w:bdr w:val="none" w:sz="0" w:space="0" w:color="auto" w:frame="1"/>
          <w:lang w:val="en-AU"/>
        </w:rPr>
        <w:t xml:space="preserve">rid </w:t>
      </w:r>
      <w:r w:rsidRPr="00F83370">
        <w:rPr>
          <w:rFonts w:ascii="Arial" w:eastAsia="Calibri" w:hAnsi="Arial" w:cs="Arial"/>
          <w:sz w:val="16"/>
          <w:szCs w:val="16"/>
          <w:bdr w:val="none" w:sz="0" w:space="0" w:color="auto" w:frame="1"/>
          <w:lang w:val="en-AU"/>
        </w:rPr>
        <w:t>R</w:t>
      </w:r>
      <w:r w:rsidR="0003795F" w:rsidRPr="00F83370">
        <w:rPr>
          <w:rFonts w:ascii="Arial" w:eastAsia="Calibri" w:hAnsi="Arial" w:cs="Arial"/>
          <w:sz w:val="16"/>
          <w:szCs w:val="16"/>
          <w:bdr w:val="none" w:sz="0" w:space="0" w:color="auto" w:frame="1"/>
          <w:lang w:val="en-AU"/>
        </w:rPr>
        <w:t xml:space="preserve">eliability </w:t>
      </w:r>
      <w:r w:rsidRPr="00F83370">
        <w:rPr>
          <w:rFonts w:ascii="Arial" w:eastAsia="Calibri" w:hAnsi="Arial" w:cs="Arial"/>
          <w:sz w:val="16"/>
          <w:szCs w:val="16"/>
          <w:bdr w:val="none" w:sz="0" w:space="0" w:color="auto" w:frame="1"/>
          <w:lang w:val="en-AU"/>
        </w:rPr>
        <w:t>F</w:t>
      </w:r>
      <w:r w:rsidR="0003795F" w:rsidRPr="00F83370">
        <w:rPr>
          <w:rFonts w:ascii="Arial" w:eastAsia="Calibri" w:hAnsi="Arial" w:cs="Arial"/>
          <w:sz w:val="16"/>
          <w:szCs w:val="16"/>
          <w:bdr w:val="none" w:sz="0" w:space="0" w:color="auto" w:frame="1"/>
          <w:lang w:val="en-AU"/>
        </w:rPr>
        <w:t>und</w:t>
      </w:r>
      <w:r w:rsidRPr="00F83370">
        <w:rPr>
          <w:rFonts w:ascii="Arial" w:eastAsia="Calibri" w:hAnsi="Arial" w:cs="Arial"/>
          <w:sz w:val="16"/>
          <w:szCs w:val="16"/>
          <w:bdr w:val="none" w:sz="0" w:space="0" w:color="auto" w:frame="1"/>
          <w:lang w:val="en-AU"/>
        </w:rPr>
        <w:t xml:space="preserve"> and Low Emissions Technology Commercialisation Fund Special Accounts to be established upon passing of the relevant</w:t>
      </w:r>
      <w:r w:rsidR="0003795F" w:rsidRPr="00F83370">
        <w:rPr>
          <w:rFonts w:ascii="Arial" w:eastAsia="Calibri" w:hAnsi="Arial" w:cs="Arial"/>
          <w:sz w:val="16"/>
          <w:szCs w:val="16"/>
          <w:bdr w:val="none" w:sz="0" w:space="0" w:color="auto" w:frame="1"/>
          <w:lang w:val="en-AU"/>
        </w:rPr>
        <w:t xml:space="preserve"> </w:t>
      </w:r>
      <w:r w:rsidRPr="00F83370">
        <w:rPr>
          <w:rFonts w:ascii="Arial" w:eastAsia="Calibri" w:hAnsi="Arial" w:cs="Arial"/>
          <w:sz w:val="16"/>
          <w:szCs w:val="16"/>
          <w:bdr w:val="none" w:sz="0" w:space="0" w:color="auto" w:frame="1"/>
          <w:lang w:val="en-AU"/>
        </w:rPr>
        <w:t>Legislation</w:t>
      </w:r>
      <w:r w:rsidR="009500CC" w:rsidRPr="00F83370">
        <w:rPr>
          <w:rFonts w:ascii="Arial" w:eastAsia="Calibri" w:hAnsi="Arial" w:cs="Arial"/>
          <w:sz w:val="16"/>
          <w:szCs w:val="16"/>
          <w:bdr w:val="none" w:sz="0" w:space="0" w:color="auto" w:frame="1"/>
          <w:lang w:val="en-AU"/>
        </w:rPr>
        <w:t>.</w:t>
      </w:r>
      <w:r w:rsidRPr="00AB6302">
        <w:rPr>
          <w:rFonts w:ascii="Arial" w:eastAsia="Calibri" w:hAnsi="Arial" w:cs="Arial"/>
          <w:sz w:val="16"/>
          <w:szCs w:val="16"/>
          <w:bdr w:val="none" w:sz="0" w:space="0" w:color="auto" w:frame="1"/>
          <w:lang w:val="en-AU"/>
        </w:rPr>
        <w:br w:type="page"/>
      </w:r>
    </w:p>
    <w:p w:rsidR="005E7F55" w:rsidRDefault="00BA7A7F" w:rsidP="005E7F55">
      <w:pPr>
        <w:pStyle w:val="TableHeading"/>
        <w:keepLines/>
        <w:spacing w:before="0" w:after="0"/>
        <w:rPr>
          <w:rStyle w:val="BookTitle"/>
          <w:i w:val="0"/>
          <w:iCs/>
        </w:rPr>
      </w:pPr>
      <w:r>
        <w:t>Table 3.4: Budgeted departmental statement of cash flows (for the period ended 30 June)</w:t>
      </w:r>
    </w:p>
    <w:tbl>
      <w:tblPr>
        <w:tblStyle w:val="CDMRange1"/>
        <w:tblW w:w="7575" w:type="dxa"/>
        <w:tblLayout w:type="fixed"/>
        <w:tblLook w:val="0600" w:firstRow="0" w:lastRow="0" w:firstColumn="0" w:lastColumn="0" w:noHBand="1" w:noVBand="1"/>
      </w:tblPr>
      <w:tblGrid>
        <w:gridCol w:w="3150"/>
        <w:gridCol w:w="885"/>
        <w:gridCol w:w="885"/>
        <w:gridCol w:w="885"/>
        <w:gridCol w:w="885"/>
        <w:gridCol w:w="885"/>
      </w:tblGrid>
      <w:tr w:rsidR="00253274">
        <w:trPr>
          <w:trHeight w:val="800"/>
        </w:trPr>
        <w:tc>
          <w:tcPr>
            <w:tcW w:w="315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7,139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8,821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9,053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8,390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122,070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139,422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164,064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155,546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159,701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33,354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38,789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41,888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43,868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47,633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162,563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187,032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215,005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207,804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210,353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36,712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42,550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43,592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45,823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47,626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15,440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21,219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22,127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22,532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22,280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52,162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63,790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65,735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68,365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69,916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110,401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123,242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149,270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139,439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140,437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Repayments of loans and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advances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1,013,701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382,436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840,861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565,605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661,723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investing cash receipts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for policy purposes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375,195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215,514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295,912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340,883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617,860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1,388,896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597,950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1,136,773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906,488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1,279,583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Purchase of property plant, and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2,083</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5,350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2,128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1,945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Advances and loans made</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1,212,529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775,817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921,186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879,311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832,469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investing cash payments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for policy purposes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1,067,493</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515,583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550,626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480,758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642,230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2,282,105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1,296,750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1,473,940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1,362,014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1,476,899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(893,209)</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(698,800)</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(337,167)</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(455,526)</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(197,316)</w:t>
            </w:r>
          </w:p>
        </w:tc>
      </w:tr>
    </w:tbl>
    <w:p w:rsidR="005E7F55" w:rsidRDefault="005E7F55" w:rsidP="005E7F55">
      <w:pPr>
        <w:spacing w:before="20" w:after="60" w:line="240" w:lineRule="auto"/>
        <w:ind w:left="142" w:hanging="142"/>
        <w:rPr>
          <w:rFonts w:ascii="Arial" w:eastAsia="Calibri" w:hAnsi="Arial" w:cs="Arial"/>
          <w:sz w:val="16"/>
          <w:szCs w:val="16"/>
          <w:bdr w:val="none" w:sz="0" w:space="0" w:color="auto" w:frame="1"/>
        </w:rPr>
      </w:pPr>
    </w:p>
    <w:p w:rsidR="00A55131" w:rsidRDefault="00BA7A7F">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A55131" w:rsidRDefault="00BA7A7F" w:rsidP="00A55131">
      <w:pPr>
        <w:pStyle w:val="TableHeading"/>
        <w:keepLines/>
        <w:spacing w:before="0" w:after="0"/>
        <w:rPr>
          <w:rStyle w:val="BookTitle"/>
          <w:i w:val="0"/>
          <w:iCs/>
        </w:rPr>
      </w:pPr>
      <w:r>
        <w:t>Table 3.4: Budgeted departmental statement of cash flows (for the period ended 30 June) (continued)</w:t>
      </w:r>
    </w:p>
    <w:tbl>
      <w:tblPr>
        <w:tblStyle w:val="CDMRange2"/>
        <w:tblW w:w="7575" w:type="dxa"/>
        <w:tblLayout w:type="fixed"/>
        <w:tblLook w:val="0600" w:firstRow="0" w:lastRow="0" w:firstColumn="0" w:lastColumn="0" w:noHBand="1" w:noVBand="1"/>
      </w:tblPr>
      <w:tblGrid>
        <w:gridCol w:w="3150"/>
        <w:gridCol w:w="885"/>
        <w:gridCol w:w="885"/>
        <w:gridCol w:w="885"/>
        <w:gridCol w:w="885"/>
        <w:gridCol w:w="885"/>
      </w:tblGrid>
      <w:tr w:rsidR="00253274">
        <w:trPr>
          <w:trHeight w:val="800"/>
        </w:trPr>
        <w:tc>
          <w:tcPr>
            <w:tcW w:w="315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from CEFC Special Account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600,000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530,000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550,000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from GRF Special Account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185,000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285,000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220,000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220,000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from LETCF Special Account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21,053</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42,105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42,105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42,105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42,105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806,053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857,105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812,105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562,105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532,105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1,960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2,499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2,357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2,431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2,388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Return to CEFC Special Account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held by portfolio department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460,000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605,000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320,000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461,960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302,499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607,357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322,431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392,388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344,093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554,606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204,748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239,674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139,717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(438,715)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(20,952)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16,851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(76,413)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82,838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774,351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335,636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314,684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331,535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255,122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335,636</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314,684</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331,535</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255,122</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337,960</w:t>
            </w:r>
          </w:p>
        </w:tc>
      </w:tr>
    </w:tbl>
    <w:p w:rsidR="00A55131" w:rsidRDefault="00BA7A7F" w:rsidP="0003795F">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E02CEF" w:rsidRDefault="00BA7A7F">
      <w:pPr>
        <w:keepLines w:val="0"/>
        <w:spacing w:after="200" w:line="276" w:lineRule="auto"/>
        <w:jc w:val="left"/>
      </w:pPr>
      <w:r>
        <w:br w:type="page"/>
      </w:r>
    </w:p>
    <w:p w:rsidR="00E02CEF" w:rsidRDefault="00BA7A7F" w:rsidP="00E02CEF">
      <w:pPr>
        <w:pStyle w:val="TableHeading"/>
        <w:keepLines/>
        <w:spacing w:before="0" w:after="0"/>
        <w:rPr>
          <w:rStyle w:val="BookTitle"/>
          <w:i w:val="0"/>
          <w:iCs/>
        </w:rPr>
      </w:pPr>
      <w:r>
        <w:t>Table 3.5: Departmental capital budget statement (for the period ended 30 June)</w:t>
      </w:r>
    </w:p>
    <w:tbl>
      <w:tblPr>
        <w:tblStyle w:val="CDMRange1"/>
        <w:tblW w:w="7650" w:type="dxa"/>
        <w:tblLayout w:type="fixed"/>
        <w:tblLook w:val="0600" w:firstRow="0" w:lastRow="0" w:firstColumn="0" w:lastColumn="0" w:noHBand="1" w:noVBand="1"/>
      </w:tblPr>
      <w:tblGrid>
        <w:gridCol w:w="3375"/>
        <w:gridCol w:w="855"/>
        <w:gridCol w:w="855"/>
        <w:gridCol w:w="855"/>
        <w:gridCol w:w="855"/>
        <w:gridCol w:w="855"/>
      </w:tblGrid>
      <w:tr w:rsidR="00253274">
        <w:trPr>
          <w:trHeight w:val="800"/>
        </w:trPr>
        <w:tc>
          <w:tcPr>
            <w:tcW w:w="3375"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7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7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2,083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5,350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2,128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1,945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2,083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5,350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2,128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1,945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37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2,083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5,350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2,128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1,945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2,083</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5,350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2,128</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1,945</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2,200</w:t>
            </w:r>
          </w:p>
        </w:tc>
      </w:tr>
    </w:tbl>
    <w:p w:rsidR="00E02CEF" w:rsidRDefault="00BA7A7F" w:rsidP="0003795F">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E02CEF" w:rsidRDefault="00BA7A7F">
      <w:pPr>
        <w:keepLines w:val="0"/>
        <w:spacing w:after="200" w:line="276" w:lineRule="auto"/>
        <w:jc w:val="left"/>
        <w:rPr>
          <w:rFonts w:ascii="Arial" w:hAnsi="Arial"/>
          <w:b/>
        </w:rPr>
      </w:pPr>
      <w:r>
        <w:t xml:space="preserve"> </w:t>
      </w:r>
      <w:r>
        <w:br w:type="page"/>
      </w:r>
    </w:p>
    <w:p w:rsidR="00E02CEF" w:rsidRDefault="00BA7A7F" w:rsidP="00E02CEF">
      <w:pPr>
        <w:pStyle w:val="TableHeading"/>
        <w:keepLines/>
        <w:spacing w:before="0" w:after="0"/>
        <w:rPr>
          <w:rStyle w:val="BookTitle"/>
          <w:i w:val="0"/>
          <w:iCs/>
        </w:rPr>
      </w:pPr>
      <w:r>
        <w:t>Table 3.6: Statement of departmental asset movements (Budget year 2022­23)</w:t>
      </w:r>
    </w:p>
    <w:tbl>
      <w:tblPr>
        <w:tblStyle w:val="CDMRange2"/>
        <w:tblW w:w="7335" w:type="dxa"/>
        <w:tblLayout w:type="fixed"/>
        <w:tblLook w:val="0600" w:firstRow="0" w:lastRow="0" w:firstColumn="0" w:lastColumn="0" w:noHBand="1" w:noVBand="1"/>
      </w:tblPr>
      <w:tblGrid>
        <w:gridCol w:w="3735"/>
        <w:gridCol w:w="900"/>
        <w:gridCol w:w="900"/>
        <w:gridCol w:w="900"/>
        <w:gridCol w:w="900"/>
      </w:tblGrid>
      <w:tr w:rsidR="00253274">
        <w:trPr>
          <w:trHeight w:val="1000"/>
        </w:trPr>
        <w:tc>
          <w:tcPr>
            <w:tcW w:w="37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3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73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4,639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2,568</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7,207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73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8,682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8,682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73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(2,363)</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(1,855)</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(4,218)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73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(4,108)</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(4,108)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3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4,574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2,276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713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7,563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3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73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735"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3,900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1,450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735"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7,250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3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7,250</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3,900</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1,450</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12,600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3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735"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(1,427)</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(1,573)</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735"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(2,555)</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(2,555)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735"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ROU assets gross book value</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(2,679)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(2,679)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735"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ROU assets accumulated depreciation</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2,679</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2,679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3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(2,555)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(1,427)</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(1,573)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(5,555)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3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373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8,539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4,018</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12,557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3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13,253</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13,253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73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(3,790)</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(3,428)</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(7,218)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73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(3,984)</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7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9,269</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4,749</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590</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14,608</w:t>
            </w:r>
          </w:p>
        </w:tc>
      </w:tr>
    </w:tbl>
    <w:p w:rsidR="00E02CEF" w:rsidRDefault="00BA7A7F" w:rsidP="00623DAF">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A50ED9" w:rsidRDefault="00BA7A7F">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CF4DCD" w:rsidRDefault="00BA7A7F" w:rsidP="00CF4DCD">
      <w:pPr>
        <w:pStyle w:val="TableHeading"/>
        <w:keepLines/>
        <w:spacing w:before="240"/>
        <w:rPr>
          <w:rFonts w:cs="Arial"/>
        </w:rPr>
      </w:pPr>
      <w:r>
        <w:rPr>
          <w:rFonts w:cs="Arial"/>
        </w:rPr>
        <w:t xml:space="preserve">Table 3.7: Schedule of budgeted income and expenses administered on behalf of Government </w:t>
      </w:r>
      <w:r>
        <w:t>(for the period ended 30 June)</w:t>
      </w:r>
    </w:p>
    <w:p w:rsidR="00CF4DCD" w:rsidRDefault="00BA7A7F" w:rsidP="00CF4DCD">
      <w:pPr>
        <w:spacing w:before="20" w:after="60" w:line="240" w:lineRule="auto"/>
        <w:rPr>
          <w:rStyle w:val="Hyperlink"/>
        </w:rPr>
      </w:pPr>
      <w:r w:rsidRPr="00CF4DCD">
        <w:rPr>
          <w:rStyle w:val="Hyperlink"/>
        </w:rPr>
        <w:t xml:space="preserve">CEFC has no </w:t>
      </w:r>
      <w:r>
        <w:rPr>
          <w:rStyle w:val="Hyperlink"/>
        </w:rPr>
        <w:t xml:space="preserve">budgeted income and expenses administered on behalf of Government, therefore Table </w:t>
      </w:r>
      <w:r w:rsidRPr="00CF4DCD">
        <w:rPr>
          <w:rStyle w:val="Hyperlink"/>
        </w:rPr>
        <w:t>3.</w:t>
      </w:r>
      <w:r>
        <w:rPr>
          <w:rStyle w:val="Hyperlink"/>
        </w:rPr>
        <w:t>7</w:t>
      </w:r>
      <w:r w:rsidRPr="00CF4DCD">
        <w:rPr>
          <w:rStyle w:val="Hyperlink"/>
        </w:rPr>
        <w:t xml:space="preserve"> is not presented.</w:t>
      </w:r>
    </w:p>
    <w:p w:rsidR="00CF4DCD" w:rsidRDefault="00BA7A7F" w:rsidP="00CF4DCD">
      <w:pPr>
        <w:pStyle w:val="TableHeading"/>
        <w:keepLines/>
        <w:spacing w:before="240"/>
      </w:pPr>
      <w:r>
        <w:rPr>
          <w:rFonts w:cs="Arial"/>
        </w:rPr>
        <w:t xml:space="preserve">Table 3.8: </w:t>
      </w:r>
      <w:r>
        <w:t xml:space="preserve">Schedule of budgeted assets and liabilities administered on behalf of Government </w:t>
      </w:r>
      <w:r>
        <w:rPr>
          <w:bdr w:val="none" w:sz="0" w:space="0" w:color="auto" w:frame="1"/>
        </w:rPr>
        <w:t xml:space="preserve">(as at </w:t>
      </w:r>
      <w:r>
        <w:t>30 June)</w:t>
      </w:r>
    </w:p>
    <w:p w:rsidR="00CF4DCD" w:rsidRDefault="00BA7A7F" w:rsidP="001067B3">
      <w:pPr>
        <w:spacing w:before="20" w:after="60" w:line="240" w:lineRule="auto"/>
        <w:rPr>
          <w:rStyle w:val="Hyperlink"/>
        </w:rPr>
      </w:pPr>
      <w:r w:rsidRPr="00CF4DCD">
        <w:rPr>
          <w:rStyle w:val="Hyperlink"/>
        </w:rPr>
        <w:t xml:space="preserve">CEFC has no budgeted </w:t>
      </w:r>
      <w:r>
        <w:rPr>
          <w:rStyle w:val="Hyperlink"/>
        </w:rPr>
        <w:t xml:space="preserve">assets and liabilities </w:t>
      </w:r>
      <w:r w:rsidRPr="00CF4DCD">
        <w:rPr>
          <w:rStyle w:val="Hyperlink"/>
        </w:rPr>
        <w:t>administered on behalf of</w:t>
      </w:r>
      <w:r>
        <w:rPr>
          <w:rStyle w:val="Hyperlink"/>
        </w:rPr>
        <w:t xml:space="preserve"> Government, therefore Table 3.8</w:t>
      </w:r>
      <w:r w:rsidRPr="00CF4DCD">
        <w:rPr>
          <w:rStyle w:val="Hyperlink"/>
        </w:rPr>
        <w:t xml:space="preserve"> is not presented.</w:t>
      </w:r>
    </w:p>
    <w:p w:rsidR="00CF4DCD" w:rsidRDefault="00CF4DCD" w:rsidP="00CF4DCD">
      <w:pPr>
        <w:pStyle w:val="TableHeading"/>
        <w:keepLines/>
        <w:spacing w:before="0" w:after="0"/>
      </w:pPr>
    </w:p>
    <w:p w:rsidR="00CF4DCD" w:rsidRDefault="00BA7A7F" w:rsidP="00CF4DCD">
      <w:pPr>
        <w:pStyle w:val="TableHeading"/>
        <w:keepLines/>
        <w:spacing w:before="0" w:after="0"/>
        <w:rPr>
          <w:rStyle w:val="BookTitle"/>
          <w:i w:val="0"/>
          <w:iCs/>
        </w:rPr>
      </w:pPr>
      <w:r>
        <w:t>Table 3.9: Schedule of budgeted administered cash flows (for the period ended 30 June)</w:t>
      </w:r>
    </w:p>
    <w:p w:rsidR="00CF4DCD" w:rsidRDefault="00BA7A7F" w:rsidP="00CF4DCD">
      <w:pPr>
        <w:pStyle w:val="TableHeadingcontinued"/>
        <w:rPr>
          <w:rFonts w:ascii="Book Antiqua" w:hAnsi="Book Antiqua"/>
          <w:b w:val="0"/>
        </w:rPr>
      </w:pPr>
      <w:r w:rsidRPr="00CF4DCD">
        <w:rPr>
          <w:rFonts w:ascii="Book Antiqua" w:hAnsi="Book Antiqua"/>
          <w:b w:val="0"/>
        </w:rPr>
        <w:t xml:space="preserve">CEFC has no </w:t>
      </w:r>
      <w:r>
        <w:rPr>
          <w:rFonts w:ascii="Book Antiqua" w:hAnsi="Book Antiqua"/>
          <w:b w:val="0"/>
        </w:rPr>
        <w:t xml:space="preserve">budgeted </w:t>
      </w:r>
      <w:r w:rsidRPr="00CF4DCD">
        <w:rPr>
          <w:rFonts w:ascii="Book Antiqua" w:hAnsi="Book Antiqua"/>
          <w:b w:val="0"/>
        </w:rPr>
        <w:t>administered c</w:t>
      </w:r>
      <w:r>
        <w:rPr>
          <w:rFonts w:ascii="Book Antiqua" w:hAnsi="Book Antiqua"/>
          <w:b w:val="0"/>
        </w:rPr>
        <w:t xml:space="preserve">ash flows, </w:t>
      </w:r>
      <w:r w:rsidRPr="00CF4DCD">
        <w:rPr>
          <w:rFonts w:ascii="Book Antiqua" w:hAnsi="Book Antiqua"/>
          <w:b w:val="0"/>
        </w:rPr>
        <w:t>therefore Table 3.</w:t>
      </w:r>
      <w:r>
        <w:rPr>
          <w:rFonts w:ascii="Book Antiqua" w:hAnsi="Book Antiqua"/>
          <w:b w:val="0"/>
        </w:rPr>
        <w:t>9</w:t>
      </w:r>
      <w:r w:rsidRPr="00CF4DCD">
        <w:rPr>
          <w:rFonts w:ascii="Book Antiqua" w:hAnsi="Book Antiqua"/>
          <w:b w:val="0"/>
        </w:rPr>
        <w:t xml:space="preserve"> is not presented.</w:t>
      </w:r>
    </w:p>
    <w:p w:rsidR="0018705D" w:rsidRDefault="0018705D" w:rsidP="00CF4DCD">
      <w:pPr>
        <w:pStyle w:val="TableHeadingcontinued"/>
      </w:pPr>
    </w:p>
    <w:p w:rsidR="00CF4DCD" w:rsidRDefault="00BA7A7F" w:rsidP="00CF4DCD">
      <w:pPr>
        <w:pStyle w:val="TableHeadingcontinued"/>
      </w:pPr>
      <w:r>
        <w:t>Table 3.10: Administered capital budget statement (for the period ended 30 June)</w:t>
      </w:r>
    </w:p>
    <w:p w:rsidR="00CF4DCD" w:rsidRDefault="00BA7A7F" w:rsidP="00CF4DCD">
      <w:r>
        <w:t>CEFC has no administered capital budget statement; therefore Table 3.10 is not presented.</w:t>
      </w:r>
    </w:p>
    <w:p w:rsidR="00CF4DCD" w:rsidRDefault="00BA7A7F" w:rsidP="00CF4DCD">
      <w:pPr>
        <w:pStyle w:val="TableHeading"/>
        <w:keepLines/>
        <w:spacing w:before="240"/>
        <w:rPr>
          <w:rFonts w:cs="Arial"/>
        </w:rPr>
      </w:pPr>
      <w:r>
        <w:rPr>
          <w:rFonts w:cs="Arial"/>
        </w:rPr>
        <w:t>Table 3.11: Statement of administered asset movements (Budget year 2022­23)</w:t>
      </w:r>
    </w:p>
    <w:p w:rsidR="00E02CEF" w:rsidRPr="00CF4DCD" w:rsidRDefault="00BA7A7F" w:rsidP="00CF4DCD">
      <w:pPr>
        <w:sectPr w:rsidR="00E02CEF" w:rsidRPr="00CF4DCD" w:rsidSect="00F07738">
          <w:headerReference w:type="even" r:id="rId229"/>
          <w:headerReference w:type="default" r:id="rId230"/>
          <w:footerReference w:type="even" r:id="rId231"/>
          <w:footerReference w:type="default" r:id="rId232"/>
          <w:headerReference w:type="first" r:id="rId233"/>
          <w:footerReference w:type="first" r:id="rId234"/>
          <w:type w:val="continuous"/>
          <w:pgSz w:w="11906" w:h="16838"/>
          <w:pgMar w:top="2466" w:right="2098" w:bottom="2466" w:left="2098" w:header="1899" w:footer="1899" w:gutter="0"/>
          <w:pgBorders>
            <w:top w:val="nil"/>
            <w:left w:val="nil"/>
            <w:bottom w:val="nil"/>
            <w:right w:val="nil"/>
          </w:pgBorders>
          <w:cols w:space="720"/>
          <w:docGrid w:linePitch="360"/>
        </w:sectPr>
      </w:pPr>
      <w:r>
        <w:t>CEFC has no administered asset movements; therefore Table 3.11 is not presented.</w:t>
      </w:r>
    </w:p>
    <w:p w:rsidR="00D86095" w:rsidRDefault="00D86095">
      <w:pPr>
        <w:pageBreakBefore/>
      </w:pPr>
      <w:bookmarkStart w:id="787" w:name="RG_MARKER_11953"/>
      <w:bookmarkStart w:id="788" w:name="RG_MARKER_11936"/>
      <w:bookmarkStart w:id="789" w:name="RG_MARKER_11874"/>
      <w:bookmarkStart w:id="790" w:name="RG_MARKER_11872"/>
      <w:bookmarkEnd w:id="787"/>
      <w:bookmarkEnd w:id="788"/>
      <w:bookmarkEnd w:id="789"/>
      <w:bookmarkEnd w:id="790"/>
    </w:p>
    <w:p w:rsidR="00FA15D4" w:rsidRPr="00997285" w:rsidRDefault="00BA7A7F" w:rsidP="00FE00F7">
      <w:pPr>
        <w:pStyle w:val="Department"/>
        <w:pageBreakBefore/>
        <w:jc w:val="left"/>
        <w:rPr>
          <w:color w:val="FFFFFF"/>
          <w:sz w:val="24"/>
          <w:szCs w:val="24"/>
        </w:rPr>
      </w:pPr>
      <w:bookmarkStart w:id="791" w:name="RG_MARKER_12163"/>
      <w:r w:rsidRPr="00FE00F7">
        <w:rPr>
          <w:smallCaps/>
          <w:color w:val="FFFFFF"/>
          <w:sz w:val="24"/>
          <w:szCs w:val="24"/>
        </w:rPr>
        <w:t>Departmen</w:t>
      </w:r>
      <w:bookmarkEnd w:id="791"/>
      <w:r w:rsidRPr="00997285">
        <w:rPr>
          <w:color w:val="FFFFFF"/>
          <w:sz w:val="24"/>
          <w:szCs w:val="24"/>
        </w:rPr>
        <w:t>t o</w:t>
      </w:r>
    </w:p>
    <w:p w:rsidR="00FA15D4" w:rsidRPr="00997285" w:rsidRDefault="00FA15D4" w:rsidP="002E6B3D">
      <w:pPr>
        <w:pStyle w:val="Department"/>
        <w:spacing w:before="1320"/>
      </w:pPr>
    </w:p>
    <w:p w:rsidR="00FA15D4" w:rsidRPr="00997285" w:rsidRDefault="00FA15D4" w:rsidP="00FA15D4">
      <w:pPr>
        <w:pStyle w:val="PartHeading"/>
        <w:keepLines/>
        <w:spacing w:before="240" w:after="240"/>
        <w:rPr>
          <w:kern w:val="0"/>
          <w:szCs w:val="20"/>
        </w:rPr>
      </w:pPr>
    </w:p>
    <w:p w:rsidR="00FA15D4" w:rsidRPr="00997285" w:rsidRDefault="00BA7A7F" w:rsidP="00FA15D4">
      <w:pPr>
        <w:pStyle w:val="PartHeading"/>
        <w:keepLines/>
        <w:spacing w:before="240" w:after="240"/>
        <w:rPr>
          <w:bCs w:val="0"/>
          <w:kern w:val="0"/>
          <w:szCs w:val="20"/>
        </w:rPr>
      </w:pPr>
      <w:r w:rsidRPr="00997285">
        <w:rPr>
          <w:rFonts w:ascii="Arial" w:hAnsi="Arial"/>
          <w:bCs w:val="0"/>
          <w:kern w:val="0"/>
          <w:szCs w:val="20"/>
        </w:rPr>
        <w:t>Clean Energy Regulator</w:t>
      </w:r>
    </w:p>
    <w:p w:rsidR="00FA15D4" w:rsidRPr="00997285" w:rsidRDefault="00FA15D4" w:rsidP="00FA15D4">
      <w:pPr>
        <w:pStyle w:val="PartHeading"/>
        <w:keepLines/>
        <w:spacing w:before="240" w:after="240"/>
        <w:rPr>
          <w:bCs w:val="0"/>
          <w:kern w:val="0"/>
          <w:sz w:val="48"/>
          <w:szCs w:val="48"/>
        </w:rPr>
      </w:pPr>
    </w:p>
    <w:p w:rsidR="00FA15D4" w:rsidRPr="00997285" w:rsidRDefault="00FA15D4" w:rsidP="00FA15D4">
      <w:pPr>
        <w:pStyle w:val="PartHeading"/>
        <w:keepLines/>
        <w:spacing w:before="240" w:after="240"/>
        <w:rPr>
          <w:kern w:val="0"/>
          <w:sz w:val="48"/>
          <w:szCs w:val="48"/>
        </w:rPr>
      </w:pPr>
    </w:p>
    <w:p w:rsidR="00FA15D4" w:rsidRPr="00997285" w:rsidRDefault="00BA7A7F" w:rsidP="00FA15D4">
      <w:pPr>
        <w:pStyle w:val="PartHeading-TOC"/>
        <w:rPr>
          <w:smallCaps w:val="0"/>
        </w:rPr>
      </w:pPr>
      <w:bookmarkStart w:id="792" w:name="_Toc508032982_4"/>
      <w:r w:rsidRPr="00997285">
        <w:rPr>
          <w:bCs w:val="0"/>
          <w:smallCaps w:val="0"/>
        </w:rPr>
        <w:t>Entity resources and planned performance</w:t>
      </w:r>
      <w:bookmarkEnd w:id="792"/>
    </w:p>
    <w:p w:rsidR="00253274" w:rsidRDefault="00253274">
      <w:pPr>
        <w:keepLines w:val="0"/>
        <w:spacing w:after="160" w:line="259" w:lineRule="auto"/>
        <w:jc w:val="left"/>
        <w:rPr>
          <w:rFonts w:ascii="Calibri" w:eastAsia="Calibri" w:hAnsi="Calibri"/>
          <w:sz w:val="22"/>
          <w:szCs w:val="22"/>
          <w:lang w:val="en-US" w:eastAsia="en-US"/>
        </w:rPr>
      </w:pPr>
    </w:p>
    <w:p w:rsidR="007E6680" w:rsidRDefault="007E6680">
      <w:pPr>
        <w:keepLines w:val="0"/>
        <w:spacing w:after="160" w:line="259" w:lineRule="auto"/>
        <w:jc w:val="left"/>
        <w:rPr>
          <w:rFonts w:ascii="Calibri" w:eastAsia="Calibri" w:hAnsi="Calibri"/>
          <w:sz w:val="22"/>
          <w:szCs w:val="22"/>
          <w:lang w:val="en-US" w:eastAsia="en-US"/>
        </w:rPr>
      </w:pPr>
      <w:bookmarkStart w:id="793" w:name="RG_MARKER_12358"/>
      <w:bookmarkEnd w:id="793"/>
    </w:p>
    <w:p w:rsidR="00D86095" w:rsidRDefault="00BA7A7F">
      <w:pPr>
        <w:pageBreakBefore/>
      </w:pPr>
      <w:bookmarkStart w:id="794" w:name="RG_MARKER_11923"/>
      <w:r>
        <w:t xml:space="preserve">      </w:t>
      </w:r>
      <w:bookmarkEnd w:id="794"/>
    </w:p>
    <w:p w:rsidR="004D0F5B" w:rsidRPr="008832BA" w:rsidRDefault="00BA7A7F" w:rsidP="009420CE">
      <w:pPr>
        <w:pStyle w:val="ContentsHeading"/>
        <w:pageBreakBefore/>
        <w:spacing w:after="600"/>
        <w:rPr>
          <w:smallCaps w:val="0"/>
        </w:rPr>
      </w:pPr>
      <w:bookmarkStart w:id="795" w:name="RG_MARKER_11877"/>
      <w:bookmarkStart w:id="796" w:name="RG_MARKER_12168"/>
      <w:r w:rsidRPr="008832BA">
        <w:rPr>
          <w:smallCaps w:val="0"/>
        </w:rPr>
        <w:t>Clean Energy Regulator</w:t>
      </w:r>
      <w:bookmarkEnd w:id="795"/>
      <w:bookmarkEnd w:id="796"/>
    </w:p>
    <w:p w:rsidR="004D0F5B" w:rsidRPr="00846FBC" w:rsidRDefault="00BA7A7F" w:rsidP="00846FBC">
      <w:pPr>
        <w:pStyle w:val="TOC1"/>
      </w:pPr>
      <w:r w:rsidRPr="00846FBC">
        <w:t>Section 1: Entity overview and resources</w:t>
      </w:r>
      <w:r w:rsidRPr="00846FBC">
        <w:tab/>
        <w:t>193</w:t>
      </w:r>
    </w:p>
    <w:p w:rsidR="004D0F5B" w:rsidRDefault="00BA7A7F" w:rsidP="004D0F5B">
      <w:pPr>
        <w:pStyle w:val="TOC2"/>
      </w:pPr>
      <w:r>
        <w:t>1.1 Strategic direction statement</w:t>
      </w:r>
      <w:r>
        <w:tab/>
      </w:r>
      <w:r w:rsidRPr="00B75654">
        <w:t>193</w:t>
      </w:r>
    </w:p>
    <w:p w:rsidR="004D0F5B" w:rsidRDefault="00BA7A7F" w:rsidP="004D0F5B">
      <w:pPr>
        <w:pStyle w:val="TOC2"/>
      </w:pPr>
      <w:r>
        <w:t>1.2 Entity resource statement</w:t>
      </w:r>
      <w:r>
        <w:tab/>
      </w:r>
      <w:r w:rsidRPr="00B75654">
        <w:t>196</w:t>
      </w:r>
    </w:p>
    <w:p w:rsidR="00371743" w:rsidRDefault="00BA7A7F" w:rsidP="00371743">
      <w:pPr>
        <w:pStyle w:val="TOC2"/>
      </w:pPr>
      <w:r>
        <w:t>1.3 Budget measures</w:t>
      </w:r>
      <w:r>
        <w:tab/>
      </w:r>
      <w:r w:rsidRPr="00371743">
        <w:t>198</w:t>
      </w:r>
    </w:p>
    <w:p w:rsidR="004D0F5B" w:rsidRDefault="00BA7A7F" w:rsidP="00846FBC">
      <w:pPr>
        <w:pStyle w:val="TOC1"/>
      </w:pPr>
      <w:r>
        <w:t>S</w:t>
      </w:r>
      <w:r w:rsidRPr="002645FE">
        <w:t xml:space="preserve">ection 2: </w:t>
      </w:r>
      <w:r>
        <w:t>O</w:t>
      </w:r>
      <w:r w:rsidRPr="002645FE">
        <w:t xml:space="preserve">utcomes and </w:t>
      </w:r>
      <w:r>
        <w:t>p</w:t>
      </w:r>
      <w:r w:rsidRPr="002645FE">
        <w:t xml:space="preserve">lanned </w:t>
      </w:r>
      <w:r>
        <w:t>p</w:t>
      </w:r>
      <w:r w:rsidRPr="002645FE">
        <w:t>erformance</w:t>
      </w:r>
      <w:r>
        <w:tab/>
        <w:t>199</w:t>
      </w:r>
    </w:p>
    <w:p w:rsidR="004D0F5B" w:rsidRDefault="00BA7A7F" w:rsidP="004D0F5B">
      <w:pPr>
        <w:pStyle w:val="TOC2"/>
      </w:pPr>
      <w:r>
        <w:t>2.1 Budgeted expenses and performance for Outcome 1</w:t>
      </w:r>
      <w:r>
        <w:tab/>
        <w:t>200</w:t>
      </w:r>
    </w:p>
    <w:p w:rsidR="00F13BB2" w:rsidRDefault="00BA7A7F" w:rsidP="00F13BB2">
      <w:pPr>
        <w:pStyle w:val="TOC2"/>
      </w:pPr>
      <w:r>
        <w:t>2.2 Budgeted expenses and performance for Outcome 2</w:t>
      </w:r>
      <w:r>
        <w:tab/>
        <w:t>203</w:t>
      </w:r>
    </w:p>
    <w:p w:rsidR="004D0F5B" w:rsidRDefault="00BA7A7F" w:rsidP="00846FBC">
      <w:pPr>
        <w:pStyle w:val="TOC1"/>
      </w:pPr>
      <w:r>
        <w:t>S</w:t>
      </w:r>
      <w:r w:rsidRPr="002645FE">
        <w:t xml:space="preserve">ection 3: </w:t>
      </w:r>
      <w:r>
        <w:t>B</w:t>
      </w:r>
      <w:r w:rsidRPr="002645FE">
        <w:t xml:space="preserve">udgeted </w:t>
      </w:r>
      <w:r>
        <w:t>f</w:t>
      </w:r>
      <w:r w:rsidRPr="002645FE">
        <w:t xml:space="preserve">inancial </w:t>
      </w:r>
      <w:r>
        <w:t>s</w:t>
      </w:r>
      <w:r w:rsidRPr="002645FE">
        <w:t>tatements</w:t>
      </w:r>
      <w:r>
        <w:tab/>
      </w:r>
      <w:r w:rsidRPr="004F6A3E">
        <w:t>206</w:t>
      </w:r>
    </w:p>
    <w:p w:rsidR="00D86095" w:rsidRDefault="00BA7A7F" w:rsidP="005F2963">
      <w:pPr>
        <w:pStyle w:val="TOC2"/>
      </w:pPr>
      <w:r>
        <w:t>3.1 Budgeted financial statements</w:t>
      </w:r>
      <w:r>
        <w:tab/>
      </w:r>
      <w:r w:rsidRPr="004F6A3E">
        <w:t>206</w:t>
      </w:r>
    </w:p>
    <w:p w:rsidR="00D86095" w:rsidRDefault="00BA7A7F">
      <w:pPr>
        <w:pageBreakBefore/>
        <w:sectPr w:rsidR="00D86095" w:rsidSect="00D86095">
          <w:headerReference w:type="even" r:id="rId235"/>
          <w:headerReference w:type="default" r:id="rId236"/>
          <w:footerReference w:type="even" r:id="rId237"/>
          <w:footerReference w:type="default" r:id="rId238"/>
          <w:headerReference w:type="first" r:id="rId239"/>
          <w:footerReference w:type="first" r:id="rId240"/>
          <w:type w:val="continuous"/>
          <w:pgSz w:w="11906" w:h="16838"/>
          <w:pgMar w:top="2466" w:right="2098" w:bottom="2466" w:left="2098" w:header="1899" w:footer="1899" w:gutter="0"/>
          <w:pgBorders>
            <w:top w:val="nil"/>
            <w:left w:val="nil"/>
            <w:bottom w:val="nil"/>
            <w:right w:val="nil"/>
          </w:pgBorders>
          <w:cols w:space="720"/>
          <w:docGrid w:linePitch="360"/>
        </w:sectPr>
      </w:pPr>
      <w:bookmarkStart w:id="797" w:name="RG_MARKER_11880"/>
      <w:bookmarkStart w:id="798" w:name="RG_MARKER_11965"/>
      <w:r>
        <w:t xml:space="preserve">     </w:t>
      </w:r>
      <w:bookmarkEnd w:id="797"/>
      <w:bookmarkEnd w:id="798"/>
    </w:p>
    <w:p w:rsidR="00A85152" w:rsidRPr="00431E2E" w:rsidRDefault="00BA7A7F" w:rsidP="00A85152">
      <w:pPr>
        <w:pStyle w:val="Heading1"/>
        <w:pageBreakBefore/>
        <w:rPr>
          <w:smallCaps w:val="0"/>
        </w:rPr>
      </w:pPr>
      <w:bookmarkStart w:id="799" w:name="RG_MARKER_11882"/>
      <w:bookmarkStart w:id="800" w:name="RG_MARKER_11984"/>
      <w:bookmarkStart w:id="801" w:name="RG_MARKER_12171"/>
      <w:r w:rsidRPr="00431E2E">
        <w:rPr>
          <w:smallCaps w:val="0"/>
        </w:rPr>
        <w:t>Clean Energy Regulator</w:t>
      </w:r>
      <w:bookmarkEnd w:id="799"/>
      <w:bookmarkEnd w:id="800"/>
      <w:bookmarkEnd w:id="801"/>
    </w:p>
    <w:p w:rsidR="00A85152" w:rsidRPr="00431E2E" w:rsidRDefault="00BA7A7F" w:rsidP="00A85152">
      <w:pPr>
        <w:pStyle w:val="Heading2"/>
        <w:rPr>
          <w:b/>
          <w:sz w:val="26"/>
          <w:szCs w:val="26"/>
        </w:rPr>
      </w:pPr>
      <w:r w:rsidRPr="00431E2E">
        <w:rPr>
          <w:b/>
          <w:sz w:val="26"/>
          <w:szCs w:val="26"/>
        </w:rPr>
        <w:t>Section 1</w:t>
      </w:r>
      <w:bookmarkStart w:id="802" w:name="_Toc449255758_4"/>
      <w:bookmarkStart w:id="803" w:name="_Toc446237031_4"/>
      <w:r w:rsidRPr="00431E2E">
        <w:rPr>
          <w:b/>
          <w:sz w:val="26"/>
          <w:szCs w:val="26"/>
        </w:rPr>
        <w:t>: Entity overview and resources</w:t>
      </w:r>
      <w:bookmarkEnd w:id="802"/>
      <w:bookmarkEnd w:id="803"/>
    </w:p>
    <w:p w:rsidR="00A85152" w:rsidRPr="00431E2E" w:rsidRDefault="00BA7A7F" w:rsidP="002278E8">
      <w:pPr>
        <w:pStyle w:val="Heading3"/>
        <w:spacing w:before="0" w:line="260" w:lineRule="exact"/>
        <w:rPr>
          <w:smallCaps w:val="0"/>
          <w:sz w:val="22"/>
          <w:szCs w:val="22"/>
        </w:rPr>
      </w:pPr>
      <w:bookmarkStart w:id="804" w:name="_Toc210698428_3"/>
      <w:bookmarkStart w:id="805" w:name="_Toc210646449_3"/>
      <w:bookmarkStart w:id="806" w:name="_Toc210703209_3"/>
      <w:r w:rsidRPr="00431E2E">
        <w:rPr>
          <w:smallCaps w:val="0"/>
          <w:sz w:val="22"/>
          <w:szCs w:val="22"/>
        </w:rPr>
        <w:t>1.1</w:t>
      </w:r>
      <w:r w:rsidRPr="00431E2E">
        <w:rPr>
          <w:smallCaps w:val="0"/>
          <w:sz w:val="22"/>
          <w:szCs w:val="22"/>
        </w:rPr>
        <w:tab/>
        <w:t>Strategic direction</w:t>
      </w:r>
      <w:bookmarkEnd w:id="804"/>
      <w:bookmarkEnd w:id="805"/>
      <w:bookmarkEnd w:id="806"/>
      <w:r w:rsidRPr="00431E2E">
        <w:rPr>
          <w:smallCaps w:val="0"/>
          <w:sz w:val="22"/>
          <w:szCs w:val="22"/>
        </w:rPr>
        <w:t xml:space="preserve"> statement</w:t>
      </w:r>
    </w:p>
    <w:p w:rsidR="00BF700B" w:rsidRDefault="00BA7A7F" w:rsidP="00BF700B">
      <w:pPr>
        <w:rPr>
          <w:rFonts w:cs="Arial"/>
          <w:b/>
        </w:rPr>
      </w:pPr>
      <w:r>
        <w:rPr>
          <w:rFonts w:cs="Arial"/>
        </w:rPr>
        <w:t xml:space="preserve">The Clean Energy Regulator (CER) is a non-corporate Commonwealth Entity and statutory agency established under the </w:t>
      </w:r>
      <w:r>
        <w:rPr>
          <w:rFonts w:cs="Arial"/>
          <w:i/>
        </w:rPr>
        <w:t>Clean Energy Regulator Act 2011</w:t>
      </w:r>
      <w:r>
        <w:rPr>
          <w:rFonts w:cs="Arial"/>
        </w:rPr>
        <w:t>. The CER</w:t>
      </w:r>
      <w:r>
        <w:rPr>
          <w:rFonts w:cs="Arial"/>
          <w:i/>
        </w:rPr>
        <w:t xml:space="preserve"> </w:t>
      </w:r>
      <w:r>
        <w:rPr>
          <w:rFonts w:cs="Arial"/>
        </w:rPr>
        <w:t>is responsible for the following Outcomes:</w:t>
      </w:r>
    </w:p>
    <w:p w:rsidR="00BF700B" w:rsidRDefault="00BA7A7F" w:rsidP="00BF700B">
      <w:pPr>
        <w:pStyle w:val="ListParagraph"/>
        <w:keepLines/>
        <w:spacing w:after="160" w:line="252" w:lineRule="auto"/>
        <w:ind w:left="567" w:firstLine="0"/>
        <w:rPr>
          <w:rFonts w:eastAsia="Times New Roman" w:cs="Arial"/>
          <w:bCs/>
          <w:sz w:val="20"/>
          <w:szCs w:val="20"/>
          <w:lang w:val="en-AU"/>
        </w:rPr>
      </w:pPr>
      <w:r>
        <w:rPr>
          <w:rFonts w:eastAsia="Times New Roman" w:cs="Arial"/>
          <w:bCs/>
          <w:sz w:val="20"/>
          <w:szCs w:val="20"/>
          <w:lang w:val="en-AU"/>
        </w:rPr>
        <w:t>Outcome 1: Contribute to a reduction in Australia's net greenhouse gas emissions, including through the administration of market-based mechanisms that incentivise reduction in emissions and the promotion of additional renewable electricity generation.</w:t>
      </w:r>
    </w:p>
    <w:p w:rsidR="00BF700B" w:rsidRDefault="00BF700B" w:rsidP="00BF700B">
      <w:pPr>
        <w:pStyle w:val="ListParagraph"/>
        <w:keepLines/>
        <w:spacing w:after="160" w:line="252" w:lineRule="auto"/>
        <w:ind w:left="567" w:firstLine="0"/>
        <w:rPr>
          <w:rFonts w:eastAsia="Times New Roman" w:cs="Arial"/>
          <w:bCs/>
          <w:sz w:val="20"/>
          <w:szCs w:val="20"/>
          <w:lang w:val="en-AU"/>
        </w:rPr>
      </w:pPr>
    </w:p>
    <w:p w:rsidR="00BF700B" w:rsidRDefault="00BA7A7F" w:rsidP="00BF700B">
      <w:pPr>
        <w:pStyle w:val="ListParagraph"/>
        <w:keepLines/>
        <w:spacing w:after="160" w:line="252" w:lineRule="auto"/>
        <w:ind w:left="567" w:firstLine="0"/>
        <w:rPr>
          <w:rFonts w:eastAsia="Times New Roman" w:cs="Arial"/>
          <w:bCs/>
          <w:sz w:val="20"/>
          <w:szCs w:val="20"/>
          <w:lang w:val="en-AU"/>
        </w:rPr>
      </w:pPr>
      <w:r>
        <w:rPr>
          <w:rFonts w:eastAsia="Times New Roman" w:cs="Arial"/>
          <w:bCs/>
          <w:sz w:val="20"/>
          <w:szCs w:val="20"/>
          <w:lang w:val="en-AU"/>
        </w:rPr>
        <w:t>Outcome 2: Contribute to the sustainable management of Australia’s biodiversity through the administration of market-based mechanisms that incentivise the preservation and improvement of diverse ecosystems.</w:t>
      </w:r>
    </w:p>
    <w:p w:rsidR="00BF700B" w:rsidRDefault="00BA7A7F" w:rsidP="00BF700B">
      <w:pPr>
        <w:rPr>
          <w:rFonts w:cs="Arial"/>
          <w:b/>
        </w:rPr>
      </w:pPr>
      <w:r>
        <w:rPr>
          <w:rFonts w:cs="Arial"/>
        </w:rPr>
        <w:t xml:space="preserve">The following schemes administered by CER work together to provide economic incentives, backed up by robust data, to reduce greenhouse gas emissions and increase the use of renewable energy to achieve the agency’s purpose of </w:t>
      </w:r>
      <w:r w:rsidRPr="00256139">
        <w:rPr>
          <w:rFonts w:cs="Arial"/>
        </w:rPr>
        <w:t>‘accelerating carbon abatement for Australia.</w:t>
      </w:r>
      <w:r>
        <w:rPr>
          <w:rFonts w:cs="Arial"/>
        </w:rPr>
        <w:t>’ In administering its schemes, CER is actively supporting the Australian Government’s commitment to address climate change while maintaining energy security and affordability.</w:t>
      </w:r>
    </w:p>
    <w:p w:rsidR="008048E1" w:rsidRDefault="00BA7A7F" w:rsidP="00E8358F">
      <w:pPr>
        <w:keepLines w:val="0"/>
        <w:numPr>
          <w:ilvl w:val="0"/>
          <w:numId w:val="84"/>
        </w:numPr>
        <w:autoSpaceDE w:val="0"/>
        <w:autoSpaceDN w:val="0"/>
        <w:adjustRightInd w:val="0"/>
        <w:spacing w:after="0"/>
        <w:ind w:left="284" w:hanging="284"/>
        <w:rPr>
          <w:rFonts w:cs="Arial"/>
        </w:rPr>
      </w:pPr>
      <w:r>
        <w:rPr>
          <w:rFonts w:cs="Arial"/>
        </w:rPr>
        <w:t xml:space="preserve">The Emissions Reduction Fund, established under the </w:t>
      </w:r>
      <w:hyperlink r:id="rId241" w:tgtFrame="_blank" w:history="1">
        <w:r>
          <w:rPr>
            <w:rStyle w:val="Hyperlink"/>
            <w:rFonts w:cs="Arial"/>
            <w:i/>
          </w:rPr>
          <w:t>Carbon Credits (Carbon Farming Initiative) Act 2011</w:t>
        </w:r>
      </w:hyperlink>
      <w:r>
        <w:rPr>
          <w:rFonts w:cs="Arial"/>
        </w:rPr>
        <w:t>, provides incentives for a range of organisations and individuals to adopt new practices and technologies to reduce their emissions.</w:t>
      </w:r>
    </w:p>
    <w:p w:rsidR="00BF700B" w:rsidRDefault="00BA7A7F" w:rsidP="00E8358F">
      <w:pPr>
        <w:keepLines w:val="0"/>
        <w:numPr>
          <w:ilvl w:val="0"/>
          <w:numId w:val="84"/>
        </w:numPr>
        <w:autoSpaceDE w:val="0"/>
        <w:autoSpaceDN w:val="0"/>
        <w:adjustRightInd w:val="0"/>
        <w:spacing w:after="0"/>
        <w:ind w:left="284" w:hanging="284"/>
        <w:rPr>
          <w:rFonts w:cs="Arial"/>
        </w:rPr>
      </w:pPr>
      <w:r>
        <w:rPr>
          <w:rFonts w:cs="Arial"/>
        </w:rPr>
        <w:t xml:space="preserve">The Safeguard Mechanism ensures that emissions reductions paid for through the Emissions Reduction Fund are not offset by significant increases in emissions above business-as-usual levels. Together with the reporting obligations under the </w:t>
      </w:r>
      <w:r>
        <w:rPr>
          <w:rFonts w:cs="Arial"/>
          <w:i/>
        </w:rPr>
        <w:t>National Greenhouse and Energy Reporting Act 2007,</w:t>
      </w:r>
      <w:r>
        <w:rPr>
          <w:rFonts w:cs="Arial"/>
        </w:rPr>
        <w:t xml:space="preserve"> t</w:t>
      </w:r>
      <w:r>
        <w:rPr>
          <w:rFonts w:cs="Arial"/>
          <w:lang w:val="en"/>
        </w:rPr>
        <w:t>he Safeguard Mechanism provides a framework for Australia’s largest emitters to measure, report and manage their emissions.</w:t>
      </w:r>
    </w:p>
    <w:p w:rsidR="00BF700B" w:rsidRDefault="00BA7A7F" w:rsidP="00B930D6">
      <w:pPr>
        <w:keepLines w:val="0"/>
        <w:numPr>
          <w:ilvl w:val="0"/>
          <w:numId w:val="84"/>
        </w:numPr>
        <w:autoSpaceDE w:val="0"/>
        <w:autoSpaceDN w:val="0"/>
        <w:adjustRightInd w:val="0"/>
        <w:spacing w:after="0"/>
        <w:ind w:left="284" w:hanging="284"/>
        <w:rPr>
          <w:rFonts w:cs="Arial"/>
        </w:rPr>
      </w:pPr>
      <w:r>
        <w:rPr>
          <w:rFonts w:cs="Arial"/>
        </w:rPr>
        <w:t xml:space="preserve">The National Greenhouse and Energy Reporting Scheme, established by the </w:t>
      </w:r>
      <w:hyperlink r:id="rId242" w:tgtFrame="_blank" w:history="1">
        <w:r>
          <w:rPr>
            <w:rStyle w:val="Hyperlink"/>
            <w:rFonts w:cs="Arial"/>
            <w:i/>
          </w:rPr>
          <w:t>National Greenhouse and Energy Reporting Act 2007</w:t>
        </w:r>
      </w:hyperlink>
      <w:r>
        <w:rPr>
          <w:rFonts w:cs="Arial"/>
        </w:rPr>
        <w:t xml:space="preserve">, is a single national framework for reporting and disseminating company information about greenhouse gas emissions, energy production, energy consumption and other information specified under the legislation. </w:t>
      </w:r>
    </w:p>
    <w:p w:rsidR="004C3EAD" w:rsidRPr="00B930D6" w:rsidRDefault="00BA7A7F" w:rsidP="003F5C45">
      <w:pPr>
        <w:keepLines w:val="0"/>
        <w:numPr>
          <w:ilvl w:val="0"/>
          <w:numId w:val="84"/>
        </w:numPr>
        <w:autoSpaceDE w:val="0"/>
        <w:autoSpaceDN w:val="0"/>
        <w:adjustRightInd w:val="0"/>
        <w:ind w:left="284" w:hanging="284"/>
        <w:rPr>
          <w:rFonts w:cs="Arial"/>
        </w:rPr>
        <w:sectPr w:rsidR="004C3EAD" w:rsidRPr="00B930D6" w:rsidSect="00E007A4">
          <w:headerReference w:type="even" r:id="rId243"/>
          <w:headerReference w:type="default" r:id="rId244"/>
          <w:footerReference w:type="even" r:id="rId245"/>
          <w:footerReference w:type="default" r:id="rId246"/>
          <w:headerReference w:type="first" r:id="rId247"/>
          <w:footerReference w:type="first" r:id="rId248"/>
          <w:type w:val="continuous"/>
          <w:pgSz w:w="11906" w:h="16838"/>
          <w:pgMar w:top="2466" w:right="2098" w:bottom="2466" w:left="2098" w:header="1899" w:footer="1899" w:gutter="0"/>
          <w:pgBorders>
            <w:top w:val="nil"/>
            <w:left w:val="nil"/>
            <w:bottom w:val="nil"/>
            <w:right w:val="nil"/>
          </w:pgBorders>
          <w:cols w:space="720"/>
          <w:docGrid w:linePitch="360"/>
        </w:sectPr>
      </w:pPr>
      <w:r w:rsidRPr="00B930D6">
        <w:rPr>
          <w:rFonts w:cs="Arial"/>
        </w:rPr>
        <w:t xml:space="preserve">The Renewable Energy Target, established by the </w:t>
      </w:r>
      <w:r w:rsidRPr="00B930D6">
        <w:rPr>
          <w:rFonts w:cs="Arial"/>
          <w:i/>
        </w:rPr>
        <w:t>Renewable Energy (Electricity) Act 2000</w:t>
      </w:r>
      <w:r w:rsidRPr="00B930D6">
        <w:rPr>
          <w:rFonts w:cs="Arial"/>
        </w:rPr>
        <w:t>, encourages the additional generation of electricity from renewable sources, reduce emissions of greenhouse gases in the electricity sector and ensures that renewable energy sources are ecologically sustainable.</w:t>
      </w:r>
    </w:p>
    <w:p w:rsidR="0068532B" w:rsidRPr="00977B2C" w:rsidRDefault="00BA7A7F" w:rsidP="0068532B">
      <w:pPr>
        <w:keepLines w:val="0"/>
        <w:pageBreakBefore/>
        <w:numPr>
          <w:ilvl w:val="0"/>
          <w:numId w:val="85"/>
        </w:numPr>
        <w:autoSpaceDE w:val="0"/>
        <w:autoSpaceDN w:val="0"/>
        <w:adjustRightInd w:val="0"/>
        <w:ind w:left="284" w:hanging="284"/>
        <w:rPr>
          <w:rFonts w:cs="Arial"/>
        </w:rPr>
      </w:pPr>
      <w:bookmarkStart w:id="807" w:name="RG_MARKER_11941"/>
      <w:r w:rsidRPr="00977B2C">
        <w:rPr>
          <w:rFonts w:cs="Arial"/>
        </w:rPr>
        <w:t xml:space="preserve">The Australian National Registry of Emissions Units, established by the </w:t>
      </w:r>
      <w:bookmarkEnd w:id="807"/>
      <w:r w:rsidRPr="00977B2C">
        <w:rPr>
          <w:rFonts w:cs="Arial"/>
          <w:i/>
        </w:rPr>
        <w:t>Australian National Registry of Emissions Units Act 2011</w:t>
      </w:r>
      <w:r w:rsidRPr="00977B2C">
        <w:rPr>
          <w:rFonts w:cs="Arial"/>
        </w:rPr>
        <w:t>, is a secure electronic registry system that tracks the location and ownership of units issued under the Kyoto Protocol and the Emissions Reduction Fund.</w:t>
      </w:r>
    </w:p>
    <w:p w:rsidR="0068532B" w:rsidRDefault="00BA7A7F" w:rsidP="0068532B">
      <w:pPr>
        <w:autoSpaceDE w:val="0"/>
        <w:autoSpaceDN w:val="0"/>
        <w:adjustRightInd w:val="0"/>
        <w:rPr>
          <w:rFonts w:cs="Arial"/>
        </w:rPr>
      </w:pPr>
      <w:r>
        <w:rPr>
          <w:rFonts w:cs="Arial"/>
        </w:rPr>
        <w:t>CER is also responsible for the following new initiatives, one of which is a new biodiversity regulatory scheme and the others which actively leverage the existing schemes of the agency to build a vibrant voluntary carbon market and streamline participation.</w:t>
      </w:r>
    </w:p>
    <w:p w:rsidR="0068532B" w:rsidRDefault="00BA7A7F" w:rsidP="00EA348D">
      <w:pPr>
        <w:pStyle w:val="ListParagraph"/>
        <w:numPr>
          <w:ilvl w:val="0"/>
          <w:numId w:val="86"/>
        </w:numPr>
        <w:spacing w:after="0"/>
        <w:ind w:left="284" w:hanging="284"/>
        <w:contextualSpacing w:val="0"/>
        <w:jc w:val="left"/>
        <w:rPr>
          <w:rFonts w:eastAsia="Times New Roman" w:cs="Arial"/>
          <w:sz w:val="20"/>
          <w:szCs w:val="20"/>
          <w:lang w:val="en-AU"/>
        </w:rPr>
      </w:pPr>
      <w:r>
        <w:rPr>
          <w:rFonts w:eastAsia="Times New Roman" w:cs="Arial"/>
          <w:sz w:val="20"/>
          <w:szCs w:val="20"/>
          <w:lang w:val="en-AU"/>
        </w:rPr>
        <w:t xml:space="preserve">The Agriculture Biodiversity Stewardship Market Bill when passed by Parliament will establish the legal framework for a national voluntary agriculture biodiversity stewardship market. It introduces a tradeable biodiversity certificate to Australian farmers who use their land to improve biodiversity. The CER will support the lead agency, the Department of Agriculture, Water and the Environment, and administer this scheme.  </w:t>
      </w:r>
    </w:p>
    <w:p w:rsidR="0068532B" w:rsidRDefault="00BA7A7F" w:rsidP="00EA348D">
      <w:pPr>
        <w:pStyle w:val="ListParagraph"/>
        <w:numPr>
          <w:ilvl w:val="0"/>
          <w:numId w:val="86"/>
        </w:numPr>
        <w:spacing w:after="0"/>
        <w:ind w:left="284" w:hanging="284"/>
        <w:contextualSpacing w:val="0"/>
        <w:jc w:val="left"/>
        <w:rPr>
          <w:rFonts w:eastAsia="Times New Roman" w:cs="Arial"/>
          <w:sz w:val="20"/>
          <w:szCs w:val="20"/>
          <w:lang w:val="en-AU"/>
        </w:rPr>
      </w:pPr>
      <w:r>
        <w:rPr>
          <w:rFonts w:eastAsia="Times New Roman" w:cs="Arial"/>
          <w:sz w:val="20"/>
          <w:szCs w:val="20"/>
          <w:lang w:val="en-AU"/>
        </w:rPr>
        <w:t xml:space="preserve">A Guarantee of Origin certification scheme to enable Australian businesses to sell verified low emissions hydrogen from renewable sources, and fossil fuels with substantial carbon capture and storage, domestically and to the world. </w:t>
      </w:r>
    </w:p>
    <w:p w:rsidR="0068532B" w:rsidRDefault="00BA7A7F" w:rsidP="00EA348D">
      <w:pPr>
        <w:pStyle w:val="ListParagraph"/>
        <w:numPr>
          <w:ilvl w:val="0"/>
          <w:numId w:val="86"/>
        </w:numPr>
        <w:spacing w:after="0"/>
        <w:ind w:left="284" w:hanging="284"/>
        <w:contextualSpacing w:val="0"/>
        <w:jc w:val="left"/>
        <w:rPr>
          <w:rFonts w:eastAsia="Times New Roman" w:cs="Arial"/>
          <w:sz w:val="20"/>
          <w:szCs w:val="20"/>
          <w:lang w:val="en-AU"/>
        </w:rPr>
      </w:pPr>
      <w:r>
        <w:rPr>
          <w:rFonts w:eastAsia="Times New Roman" w:cs="Arial"/>
          <w:sz w:val="20"/>
          <w:szCs w:val="20"/>
          <w:lang w:val="en-AU"/>
        </w:rPr>
        <w:t>An Australian Carbon Exchange to accelerate the emergence of an online exchange trade market for emissions offsets. This may include the provision of trading, clearing and settlement services, and a register of offset units, to complement the current ‘over the counter’ market.</w:t>
      </w:r>
    </w:p>
    <w:p w:rsidR="0068532B" w:rsidRDefault="00BA7A7F" w:rsidP="00977B2C">
      <w:pPr>
        <w:pStyle w:val="ListParagraph"/>
        <w:numPr>
          <w:ilvl w:val="0"/>
          <w:numId w:val="86"/>
        </w:numPr>
        <w:ind w:left="284" w:hanging="284"/>
        <w:contextualSpacing w:val="0"/>
        <w:jc w:val="left"/>
        <w:rPr>
          <w:rFonts w:eastAsia="Times New Roman" w:cs="Arial"/>
          <w:sz w:val="20"/>
          <w:szCs w:val="20"/>
          <w:lang w:val="en-AU"/>
        </w:rPr>
      </w:pPr>
      <w:r>
        <w:rPr>
          <w:rFonts w:eastAsia="Times New Roman" w:cs="Arial"/>
          <w:sz w:val="20"/>
          <w:szCs w:val="20"/>
          <w:lang w:val="en-AU"/>
        </w:rPr>
        <w:t xml:space="preserve">The Corporate Emissions Reduction Transparency report, a voluntary initiative for participating National Greenhouse and Energy Reporting corporations to demonstrate the net annual emissions and energy position, support their climate action claims and encourage voluntary participation in Australian’s carbon markets.   </w:t>
      </w:r>
    </w:p>
    <w:p w:rsidR="0068532B" w:rsidRDefault="00BA7A7F" w:rsidP="0068532B">
      <w:pPr>
        <w:autoSpaceDE w:val="0"/>
        <w:autoSpaceDN w:val="0"/>
        <w:adjustRightInd w:val="0"/>
        <w:rPr>
          <w:rFonts w:cs="Arial"/>
          <w:b/>
        </w:rPr>
      </w:pPr>
      <w:r>
        <w:rPr>
          <w:rFonts w:cs="Arial"/>
        </w:rPr>
        <w:t>CER’s strategies for delivering these outcomes and achieving its purpose are to:</w:t>
      </w:r>
    </w:p>
    <w:p w:rsidR="0068532B" w:rsidRDefault="00BA7A7F" w:rsidP="00EA348D">
      <w:pPr>
        <w:keepLines w:val="0"/>
        <w:numPr>
          <w:ilvl w:val="0"/>
          <w:numId w:val="85"/>
        </w:numPr>
        <w:autoSpaceDE w:val="0"/>
        <w:autoSpaceDN w:val="0"/>
        <w:adjustRightInd w:val="0"/>
        <w:spacing w:after="0"/>
        <w:ind w:left="284" w:hanging="284"/>
        <w:rPr>
          <w:rFonts w:cs="Arial"/>
        </w:rPr>
      </w:pPr>
      <w:r>
        <w:rPr>
          <w:rFonts w:cs="Arial"/>
        </w:rPr>
        <w:t xml:space="preserve">Invest in knowing scheme participants and communicating with them in a way which meets their needs. Use education and guidance materials to help potential participants understand how to participate in and comply with our schemes. Set clear and consistent expectations with participants. Further develop tools that assist them to self-select only if they have adequate capacity and capability to meet the requirements and achieve the anticipated results. Manage non-compliance and influence participants behaviour by communicating the regulatory responses and actions we take to address non-compliance, including the use of targeted enforcements to act as a deterrent. </w:t>
      </w:r>
    </w:p>
    <w:p w:rsidR="0068532B" w:rsidRDefault="00BA7A7F" w:rsidP="00EA348D">
      <w:pPr>
        <w:keepLines w:val="0"/>
        <w:numPr>
          <w:ilvl w:val="0"/>
          <w:numId w:val="85"/>
        </w:numPr>
        <w:autoSpaceDE w:val="0"/>
        <w:autoSpaceDN w:val="0"/>
        <w:adjustRightInd w:val="0"/>
        <w:spacing w:after="0"/>
        <w:ind w:left="284" w:hanging="284"/>
        <w:rPr>
          <w:rFonts w:cs="Arial"/>
        </w:rPr>
      </w:pPr>
      <w:r>
        <w:rPr>
          <w:rFonts w:cs="Arial"/>
        </w:rPr>
        <w:t>Use risk-based and continuous improvement approaches to deploy agency resources to best effect. Maintain and enhance the skills and expertise of our people and encourage innovation to benefit us and our clients.</w:t>
      </w:r>
    </w:p>
    <w:p w:rsidR="0068532B" w:rsidRDefault="00BA7A7F" w:rsidP="00EA348D">
      <w:pPr>
        <w:keepLines w:val="0"/>
        <w:numPr>
          <w:ilvl w:val="0"/>
          <w:numId w:val="85"/>
        </w:numPr>
        <w:autoSpaceDE w:val="0"/>
        <w:autoSpaceDN w:val="0"/>
        <w:adjustRightInd w:val="0"/>
        <w:spacing w:after="0"/>
        <w:ind w:left="284" w:hanging="284"/>
        <w:rPr>
          <w:rFonts w:cs="Arial"/>
        </w:rPr>
      </w:pPr>
      <w:r>
        <w:rPr>
          <w:rFonts w:cs="Arial"/>
        </w:rPr>
        <w:t>Build and sustain CER’s reputation and impact through sound stakeholder relationships and partnerships with other relevant institutions and regulatory bodies. Promote the value of our assets, the quality of our results and the strength of our capabilities. Place a strong emphasis on using the data we hold to generate insights and make lawful, consistent, transparent and robust decisions. Share the data we hold for the public good, in line with the secrecy and privacy provisions of our legislation.</w:t>
      </w:r>
    </w:p>
    <w:p w:rsidR="0068532B" w:rsidRDefault="00BA7A7F" w:rsidP="0079066E">
      <w:pPr>
        <w:keepLines w:val="0"/>
        <w:numPr>
          <w:ilvl w:val="0"/>
          <w:numId w:val="85"/>
        </w:numPr>
        <w:autoSpaceDE w:val="0"/>
        <w:autoSpaceDN w:val="0"/>
        <w:adjustRightInd w:val="0"/>
        <w:ind w:left="284" w:hanging="284"/>
        <w:rPr>
          <w:rFonts w:cs="Arial"/>
        </w:rPr>
      </w:pPr>
      <w:r>
        <w:rPr>
          <w:rFonts w:cs="Arial"/>
        </w:rPr>
        <w:t>Ensure our infrastructure is reliable, resilient and flexible enough to be reused in response to policy or operational change. Protect the integrity and utility of the core elements of our schemes, including greenhouse and energy data, contracts, units and certificates.</w:t>
      </w:r>
    </w:p>
    <w:p w:rsidR="0068532B" w:rsidRDefault="00BA7A7F" w:rsidP="0068532B">
      <w:pPr>
        <w:autoSpaceDE w:val="0"/>
        <w:autoSpaceDN w:val="0"/>
        <w:adjustRightInd w:val="0"/>
        <w:rPr>
          <w:rFonts w:cs="Arial"/>
        </w:rPr>
      </w:pPr>
      <w:r>
        <w:rPr>
          <w:rFonts w:cs="Arial"/>
        </w:rPr>
        <w:t xml:space="preserve">Further information on CER’s purpose, objectives, planning priorities and key performance indicators is detailed in the Clean Energy Regulator Corporate Plan at </w:t>
      </w:r>
      <w:hyperlink r:id="rId249" w:history="1">
        <w:r>
          <w:rPr>
            <w:rStyle w:val="Hyperlink"/>
            <w:rFonts w:cs="Arial"/>
          </w:rPr>
          <w:t>www.cleanenergyregulator.gov.au</w:t>
        </w:r>
      </w:hyperlink>
      <w:r>
        <w:rPr>
          <w:rFonts w:cs="Arial"/>
        </w:rPr>
        <w:t>.</w:t>
      </w:r>
    </w:p>
    <w:p w:rsidR="004C2526" w:rsidRPr="007B522A" w:rsidRDefault="00BA7A7F" w:rsidP="004C2526">
      <w:pPr>
        <w:pStyle w:val="Heading3"/>
        <w:pageBreakBefore/>
        <w:rPr>
          <w:smallCaps w:val="0"/>
          <w:sz w:val="22"/>
          <w:szCs w:val="22"/>
        </w:rPr>
      </w:pPr>
      <w:bookmarkStart w:id="808" w:name="RG_MARKER_11981"/>
      <w:bookmarkStart w:id="809" w:name="RG_MARKER_12229"/>
      <w:r w:rsidRPr="007B522A">
        <w:rPr>
          <w:smallCaps w:val="0"/>
          <w:sz w:val="22"/>
          <w:szCs w:val="22"/>
        </w:rPr>
        <w:t>1.2</w:t>
      </w:r>
      <w:bookmarkEnd w:id="808"/>
      <w:bookmarkEnd w:id="809"/>
      <w:r w:rsidRPr="007B522A">
        <w:rPr>
          <w:smallCaps w:val="0"/>
          <w:sz w:val="22"/>
          <w:szCs w:val="22"/>
        </w:rPr>
        <w:tab/>
        <w:t>Entity resource statement</w:t>
      </w:r>
    </w:p>
    <w:p w:rsidR="008B62A4" w:rsidRPr="008B62A4" w:rsidRDefault="00BA7A7F" w:rsidP="005F37D8">
      <w:pPr>
        <w:keepLines w:val="0"/>
        <w:spacing w:after="200" w:line="276" w:lineRule="auto"/>
      </w:pPr>
      <w:bookmarkStart w:id="810" w:name="OLE_LINK12_3"/>
      <w:bookmarkStart w:id="811" w:name="OLE_LINK11_3"/>
      <w:r w:rsidRPr="008B62A4">
        <w:t>Table 1.1 shows the total funding from all sources available to the entity for its operations and to deliver programs and services on behalf of the Government.</w:t>
      </w:r>
    </w:p>
    <w:p w:rsidR="008B62A4" w:rsidRPr="008B62A4" w:rsidRDefault="00BA7A7F" w:rsidP="005F37D8">
      <w:pPr>
        <w:keepLines w:val="0"/>
        <w:spacing w:after="200" w:line="276" w:lineRule="auto"/>
      </w:pPr>
      <w:r w:rsidRPr="008B62A4">
        <w:t>The table summarises how resources will be applied by outcome (government strategic policy objectives) and by administered (on behalf of the Government or the public) and departmental (for the entity’s operations) classification.</w:t>
      </w:r>
    </w:p>
    <w:p w:rsidR="008B62A4" w:rsidRPr="008B62A4" w:rsidRDefault="00BA7A7F" w:rsidP="005F37D8">
      <w:pPr>
        <w:keepLines w:val="0"/>
        <w:spacing w:after="200" w:line="276" w:lineRule="auto"/>
      </w:pPr>
      <w:r w:rsidRPr="008B62A4">
        <w:t xml:space="preserve">For more detailed information on special accounts and special appropriations, please refer to </w:t>
      </w:r>
      <w:r w:rsidRPr="008B62A4">
        <w:rPr>
          <w:i/>
        </w:rPr>
        <w:t>Budget Paper No. 4 – Agency Resourcing</w:t>
      </w:r>
      <w:r w:rsidRPr="008B62A4">
        <w:t>.</w:t>
      </w:r>
    </w:p>
    <w:p w:rsidR="008B62A4" w:rsidRPr="008B62A4" w:rsidRDefault="00BA7A7F" w:rsidP="005F37D8">
      <w:pPr>
        <w:keepLines w:val="0"/>
        <w:spacing w:after="200" w:line="276" w:lineRule="auto"/>
      </w:pPr>
      <w:r w:rsidRPr="008B62A4">
        <w:t xml:space="preserve">Information in this table is presented on a resourcing (that is, appropriations/cash available) basis, whilst the ‘Budgeted expenses by Outcome </w:t>
      </w:r>
      <w:r>
        <w:t>1 and Outcome 2</w:t>
      </w:r>
      <w:r w:rsidRPr="008B62A4">
        <w:t>’ tables in Section 2 and the financial statements in Section 3 are presented on an accrual basis.</w:t>
      </w:r>
      <w:bookmarkEnd w:id="810"/>
      <w:bookmarkEnd w:id="811"/>
    </w:p>
    <w:p w:rsidR="00462A34" w:rsidRDefault="00BA7A7F" w:rsidP="001B7EB3">
      <w:pPr>
        <w:keepLines w:val="0"/>
        <w:spacing w:after="200" w:line="276" w:lineRule="auto"/>
        <w:jc w:val="left"/>
        <w:rPr>
          <w:rFonts w:ascii="Arial" w:hAnsi="Arial"/>
          <w:b/>
        </w:rPr>
      </w:pPr>
      <w:r>
        <w:br w:type="page"/>
      </w:r>
    </w:p>
    <w:p w:rsidR="004C2526" w:rsidRDefault="00BA7A7F" w:rsidP="00177229">
      <w:pPr>
        <w:pStyle w:val="TableHeading"/>
        <w:keepLines/>
        <w:spacing w:before="240" w:after="0"/>
      </w:pPr>
      <w:r w:rsidRPr="004C2526">
        <w:t xml:space="preserve">Table 1.1: </w:t>
      </w:r>
      <w:r>
        <w:rPr>
          <w:snapToGrid w:val="0"/>
        </w:rPr>
        <w:t>CER</w:t>
      </w:r>
      <w:r w:rsidRPr="004C2526">
        <w:t xml:space="preserve"> </w:t>
      </w:r>
      <w:r>
        <w:t>resource statement – B</w:t>
      </w:r>
      <w:r w:rsidRPr="00612A36">
        <w:t xml:space="preserve">udget estimates </w:t>
      </w:r>
      <w:r w:rsidRPr="004C2526">
        <w:t xml:space="preserve">for </w:t>
      </w:r>
      <w:r>
        <w:t>2022­23</w:t>
      </w:r>
      <w:r w:rsidRPr="004C2526">
        <w:t xml:space="preserve"> </w:t>
      </w:r>
      <w:r w:rsidRPr="00612A36">
        <w:t>as at Budget March</w:t>
      </w:r>
      <w:r w:rsidRPr="004C2526">
        <w:t xml:space="preserve"> </w:t>
      </w:r>
      <w:r>
        <w:t>2022</w:t>
      </w:r>
    </w:p>
    <w:tbl>
      <w:tblPr>
        <w:tblStyle w:val="CDMRange1"/>
        <w:tblW w:w="7725" w:type="dxa"/>
        <w:tblLayout w:type="fixed"/>
        <w:tblLook w:val="0600" w:firstRow="0" w:lastRow="0" w:firstColumn="0" w:lastColumn="0" w:noHBand="1" w:noVBand="1"/>
      </w:tblPr>
      <w:tblGrid>
        <w:gridCol w:w="5475"/>
        <w:gridCol w:w="1125"/>
        <w:gridCol w:w="1125"/>
      </w:tblGrid>
      <w:tr w:rsidR="00253274">
        <w:trPr>
          <w:trHeight w:val="900"/>
        </w:trPr>
        <w:tc>
          <w:tcPr>
            <w:tcW w:w="54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  Estimated actual</w:t>
            </w:r>
          </w:p>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 Estimate</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25"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28,079</w:t>
            </w:r>
          </w:p>
        </w:tc>
        <w:tc>
          <w:tcPr>
            <w:tcW w:w="1125" w:type="dxa"/>
            <w:tcBorders>
              <w:top w:val="nil"/>
              <w:left w:val="nil"/>
              <w:bottom w:val="nil"/>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21,438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 (c)</w:t>
            </w:r>
          </w:p>
        </w:tc>
        <w:tc>
          <w:tcPr>
            <w:tcW w:w="1125"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86,503</w:t>
            </w:r>
          </w:p>
        </w:tc>
        <w:tc>
          <w:tcPr>
            <w:tcW w:w="1125" w:type="dxa"/>
            <w:tcBorders>
              <w:top w:val="nil"/>
              <w:left w:val="nil"/>
              <w:bottom w:val="nil"/>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120,710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(d)</w:t>
            </w:r>
          </w:p>
        </w:tc>
        <w:tc>
          <w:tcPr>
            <w:tcW w:w="1125"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nil"/>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(e)</w:t>
            </w:r>
          </w:p>
        </w:tc>
        <w:tc>
          <w:tcPr>
            <w:tcW w:w="1125"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1,143</w:t>
            </w:r>
          </w:p>
        </w:tc>
        <w:tc>
          <w:tcPr>
            <w:tcW w:w="1125" w:type="dxa"/>
            <w:tcBorders>
              <w:top w:val="nil"/>
              <w:left w:val="nil"/>
              <w:bottom w:val="nil"/>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25"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1,927</w:t>
            </w:r>
          </w:p>
        </w:tc>
        <w:tc>
          <w:tcPr>
            <w:tcW w:w="1125" w:type="dxa"/>
            <w:tcBorders>
              <w:top w:val="nil"/>
              <w:left w:val="nil"/>
              <w:bottom w:val="nil"/>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 (f)</w:t>
            </w:r>
          </w:p>
        </w:tc>
        <w:tc>
          <w:tcPr>
            <w:tcW w:w="112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6,681</w:t>
            </w:r>
          </w:p>
        </w:tc>
        <w:tc>
          <w:tcPr>
            <w:tcW w:w="112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16,637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124,333</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166,038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124,333</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166,038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25"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47,331</w:t>
            </w:r>
          </w:p>
        </w:tc>
        <w:tc>
          <w:tcPr>
            <w:tcW w:w="1125" w:type="dxa"/>
            <w:tcBorders>
              <w:top w:val="nil"/>
              <w:left w:val="nil"/>
              <w:bottom w:val="nil"/>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47,331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240,732</w:t>
            </w:r>
          </w:p>
        </w:tc>
        <w:tc>
          <w:tcPr>
            <w:tcW w:w="112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242,209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288,063</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289,540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special appropriations</w:t>
            </w: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395,674</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Special accounts (g)</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b/>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25"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68</w:t>
            </w:r>
          </w:p>
        </w:tc>
        <w:tc>
          <w:tcPr>
            <w:tcW w:w="1125" w:type="dxa"/>
            <w:tcBorders>
              <w:top w:val="nil"/>
              <w:left w:val="nil"/>
              <w:bottom w:val="nil"/>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w:t>
            </w:r>
          </w:p>
        </w:tc>
        <w:tc>
          <w:tcPr>
            <w:tcW w:w="112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3,500</w:t>
            </w:r>
          </w:p>
        </w:tc>
        <w:tc>
          <w:tcPr>
            <w:tcW w:w="112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 receipts</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3,568</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3,568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687,305</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293,631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CER</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811,638</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459,669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7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 (h)</w:t>
            </w:r>
          </w:p>
        </w:tc>
        <w:tc>
          <w:tcPr>
            <w:tcW w:w="11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335</w:t>
            </w:r>
          </w:p>
        </w:tc>
        <w:tc>
          <w:tcPr>
            <w:tcW w:w="112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347</w:t>
            </w:r>
          </w:p>
        </w:tc>
      </w:tr>
    </w:tbl>
    <w:p w:rsidR="00420293" w:rsidRDefault="00BA7A7F" w:rsidP="00186752">
      <w:pPr>
        <w:spacing w:before="40" w:after="0" w:line="240" w:lineRule="auto"/>
        <w:rPr>
          <w:rFonts w:ascii="Arial" w:eastAsia="Calibri" w:hAnsi="Arial" w:cs="Arial"/>
          <w:sz w:val="16"/>
          <w:bdr w:val="none" w:sz="0" w:space="0" w:color="auto" w:frame="1"/>
        </w:rPr>
      </w:pPr>
      <w:r w:rsidRPr="00FF0246">
        <w:rPr>
          <w:rFonts w:ascii="Arial" w:eastAsia="Calibri" w:hAnsi="Arial" w:cs="Arial"/>
          <w:sz w:val="16"/>
          <w:szCs w:val="16"/>
          <w:bdr w:val="none" w:sz="0" w:space="0" w:color="auto" w:frame="1"/>
        </w:rPr>
        <w:t>All figures shown above are GST exclusive – these may not match figures in the cash flow statement</w:t>
      </w:r>
      <w:r>
        <w:rPr>
          <w:rFonts w:ascii="Arial" w:eastAsia="Calibri" w:hAnsi="Arial" w:cs="Arial"/>
          <w:sz w:val="16"/>
          <w:szCs w:val="16"/>
          <w:bdr w:val="none" w:sz="0" w:space="0" w:color="auto" w:frame="1"/>
        </w:rPr>
        <w:t>. Prepared on a resourcing (i.e. appropriations available) basis.</w:t>
      </w:r>
    </w:p>
    <w:p w:rsidR="00FD22E9" w:rsidRDefault="00BA7A7F" w:rsidP="00743923">
      <w:pPr>
        <w:pStyle w:val="ListParagraph"/>
        <w:keepLines/>
        <w:numPr>
          <w:ilvl w:val="0"/>
          <w:numId w:val="87"/>
        </w:numPr>
        <w:spacing w:after="0" w:line="240" w:lineRule="auto"/>
        <w:jc w:val="left"/>
        <w:rPr>
          <w:rFonts w:eastAsia="Calibri" w:cs="Arial"/>
          <w:sz w:val="16"/>
          <w:szCs w:val="16"/>
          <w:bdr w:val="none" w:sz="0" w:space="0" w:color="auto" w:frame="1"/>
          <w:lang w:val="en-AU"/>
        </w:rPr>
      </w:pPr>
      <w:r w:rsidRPr="00FD22E9">
        <w:rPr>
          <w:rFonts w:ascii="Arial" w:eastAsia="Calibri" w:hAnsi="Arial" w:cs="Arial"/>
          <w:sz w:val="16"/>
          <w:szCs w:val="16"/>
          <w:bdr w:val="none" w:sz="0" w:space="0" w:color="auto" w:frame="1"/>
          <w:lang w:val="en-AU"/>
        </w:rPr>
        <w:t xml:space="preserve">Appropriation Bill (No. 1) </w:t>
      </w:r>
      <w:r>
        <w:rPr>
          <w:rFonts w:ascii="Arial" w:eastAsia="Calibri" w:hAnsi="Arial" w:cs="Arial"/>
          <w:sz w:val="16"/>
          <w:szCs w:val="16"/>
          <w:bdr w:val="none" w:sz="0" w:space="0" w:color="auto" w:frame="1"/>
          <w:lang w:val="en-AU"/>
        </w:rPr>
        <w:t>2022­23</w:t>
      </w:r>
      <w:r w:rsidRPr="00FD22E9">
        <w:rPr>
          <w:rFonts w:ascii="Arial" w:eastAsia="Calibri" w:hAnsi="Arial" w:cs="Arial"/>
          <w:sz w:val="16"/>
          <w:szCs w:val="16"/>
          <w:bdr w:val="none" w:sz="0" w:space="0" w:color="auto" w:frame="1"/>
          <w:lang w:val="en-AU"/>
        </w:rPr>
        <w:t xml:space="preserve">. </w:t>
      </w:r>
    </w:p>
    <w:p w:rsidR="00445D07" w:rsidRPr="00FD22E9" w:rsidRDefault="00BA7A7F" w:rsidP="00C828C0">
      <w:pPr>
        <w:pStyle w:val="ListParagraph"/>
        <w:keepLines/>
        <w:numPr>
          <w:ilvl w:val="0"/>
          <w:numId w:val="87"/>
        </w:numPr>
        <w:spacing w:after="0" w:line="240" w:lineRule="auto"/>
        <w:rPr>
          <w:rFonts w:eastAsia="Calibri" w:cs="Arial"/>
          <w:sz w:val="16"/>
          <w:szCs w:val="16"/>
          <w:bdr w:val="none" w:sz="0" w:space="0" w:color="auto" w:frame="1"/>
          <w:lang w:val="en-AU"/>
        </w:rPr>
      </w:pPr>
      <w:r w:rsidRPr="00445D07">
        <w:rPr>
          <w:rFonts w:ascii="Arial" w:eastAsia="Calibri" w:hAnsi="Arial" w:cs="Arial"/>
          <w:sz w:val="16"/>
          <w:szCs w:val="16"/>
          <w:bdr w:val="none" w:sz="0" w:space="0" w:color="auto" w:frame="1"/>
          <w:lang w:val="en-AU"/>
        </w:rPr>
        <w:t>There is no appropriation subject to administrative quarantine by Finance or withheld under section 51</w:t>
      </w:r>
      <w:r>
        <w:rPr>
          <w:rFonts w:ascii="Arial" w:eastAsia="Calibri" w:hAnsi="Arial" w:cs="Arial"/>
          <w:sz w:val="16"/>
          <w:szCs w:val="16"/>
          <w:bdr w:val="none" w:sz="0" w:space="0" w:color="auto" w:frame="1"/>
          <w:lang w:val="en-AU"/>
        </w:rPr>
        <w:t xml:space="preserve"> of the </w:t>
      </w:r>
      <w:r w:rsidRPr="00445D07">
        <w:rPr>
          <w:rFonts w:ascii="Arial" w:eastAsia="Calibri" w:hAnsi="Arial" w:cs="Arial"/>
          <w:i/>
          <w:sz w:val="16"/>
          <w:szCs w:val="16"/>
          <w:bdr w:val="none" w:sz="0" w:space="0" w:color="auto" w:frame="1"/>
          <w:lang w:val="en-AU"/>
        </w:rPr>
        <w:t>Public Governance, Performance and Accountability Act 2013</w:t>
      </w:r>
      <w:r w:rsidRPr="00445D07">
        <w:rPr>
          <w:rFonts w:ascii="Arial" w:eastAsia="Calibri" w:hAnsi="Arial" w:cs="Arial"/>
          <w:sz w:val="16"/>
          <w:szCs w:val="16"/>
          <w:bdr w:val="none" w:sz="0" w:space="0" w:color="auto" w:frame="1"/>
          <w:lang w:val="en-AU"/>
        </w:rPr>
        <w:t xml:space="preserve"> (PGPA Act).</w:t>
      </w:r>
    </w:p>
    <w:p w:rsidR="00310F72" w:rsidRDefault="00BA7A7F" w:rsidP="00C828C0">
      <w:pPr>
        <w:pStyle w:val="ListParagraph"/>
        <w:keepLines/>
        <w:numPr>
          <w:ilvl w:val="0"/>
          <w:numId w:val="87"/>
        </w:numPr>
        <w:spacing w:after="0" w:line="240" w:lineRule="auto"/>
        <w:rPr>
          <w:rFonts w:eastAsia="Calibri" w:cs="Arial"/>
          <w:sz w:val="16"/>
          <w:szCs w:val="16"/>
          <w:bdr w:val="none" w:sz="0" w:space="0" w:color="auto" w:frame="1"/>
          <w:lang w:val="en-AU"/>
        </w:rPr>
      </w:pPr>
      <w:r w:rsidRPr="00310F72">
        <w:rPr>
          <w:rFonts w:ascii="Arial" w:eastAsia="Calibri" w:hAnsi="Arial" w:cs="Arial"/>
          <w:sz w:val="16"/>
          <w:szCs w:val="16"/>
          <w:bdr w:val="none" w:sz="0" w:space="0" w:color="auto" w:frame="1"/>
          <w:lang w:val="en-AU"/>
        </w:rPr>
        <w:t>Excludes de</w:t>
      </w:r>
      <w:r>
        <w:rPr>
          <w:rFonts w:ascii="Arial" w:eastAsia="Calibri" w:hAnsi="Arial" w:cs="Arial"/>
          <w:sz w:val="16"/>
          <w:szCs w:val="16"/>
          <w:bdr w:val="none" w:sz="0" w:space="0" w:color="auto" w:frame="1"/>
          <w:lang w:val="en-AU"/>
        </w:rPr>
        <w:t xml:space="preserve">partmental capital budget (DCB) </w:t>
      </w:r>
      <w:r w:rsidRPr="00B14C61">
        <w:rPr>
          <w:rFonts w:ascii="Arial" w:eastAsia="Calibri" w:hAnsi="Arial" w:cs="Arial"/>
          <w:sz w:val="16"/>
          <w:szCs w:val="16"/>
          <w:bdr w:val="none" w:sz="0" w:space="0" w:color="auto" w:frame="1"/>
          <w:lang w:val="en-AU"/>
        </w:rPr>
        <w:t xml:space="preserve">and $0.411m which will be received through the 2021-22 Annual Appropriation Bill No.3. The annual appropriations received from these bills will be recognised in a future PB </w:t>
      </w:r>
      <w:r>
        <w:rPr>
          <w:rFonts w:ascii="Arial" w:eastAsia="Calibri" w:hAnsi="Arial" w:cs="Arial"/>
          <w:sz w:val="16"/>
          <w:szCs w:val="16"/>
          <w:bdr w:val="none" w:sz="0" w:space="0" w:color="auto" w:frame="1"/>
          <w:lang w:val="en-AU"/>
        </w:rPr>
        <w:t>S</w:t>
      </w:r>
      <w:r w:rsidRPr="00B14C61">
        <w:rPr>
          <w:rFonts w:ascii="Arial" w:eastAsia="Calibri" w:hAnsi="Arial" w:cs="Arial"/>
          <w:sz w:val="16"/>
          <w:szCs w:val="16"/>
          <w:bdr w:val="none" w:sz="0" w:space="0" w:color="auto" w:frame="1"/>
          <w:lang w:val="en-AU"/>
        </w:rPr>
        <w:t>tatement but only after the Bills have received Royal Assent.</w:t>
      </w:r>
    </w:p>
    <w:p w:rsidR="00B14C61" w:rsidRDefault="00BA7A7F" w:rsidP="00C828C0">
      <w:pPr>
        <w:pStyle w:val="ListParagraph"/>
        <w:keepLines/>
        <w:numPr>
          <w:ilvl w:val="0"/>
          <w:numId w:val="87"/>
        </w:numPr>
        <w:spacing w:after="0" w:line="240" w:lineRule="auto"/>
        <w:rPr>
          <w:rFonts w:eastAsia="Calibri" w:cs="Arial"/>
          <w:sz w:val="16"/>
          <w:szCs w:val="16"/>
          <w:bdr w:val="none" w:sz="0" w:space="0" w:color="auto" w:frame="1"/>
          <w:lang w:val="en-AU"/>
        </w:rPr>
      </w:pPr>
      <w:r w:rsidRPr="00B14C61">
        <w:rPr>
          <w:rFonts w:ascii="Arial" w:eastAsia="Calibri" w:hAnsi="Arial" w:cs="Arial"/>
          <w:sz w:val="16"/>
          <w:szCs w:val="16"/>
          <w:bdr w:val="none" w:sz="0" w:space="0" w:color="auto" w:frame="1"/>
          <w:lang w:val="en-AU"/>
        </w:rPr>
        <w:t>Estimated External Revenue receipts under section 74 of the PGPA Act.</w:t>
      </w:r>
    </w:p>
    <w:p w:rsidR="00FD22E9" w:rsidRPr="00FD22E9" w:rsidRDefault="00BA7A7F" w:rsidP="00C828C0">
      <w:pPr>
        <w:pStyle w:val="ListParagraph"/>
        <w:keepLines/>
        <w:numPr>
          <w:ilvl w:val="0"/>
          <w:numId w:val="87"/>
        </w:numPr>
        <w:spacing w:after="0" w:line="240" w:lineRule="auto"/>
        <w:rPr>
          <w:rFonts w:eastAsia="Calibri" w:cs="Arial"/>
          <w:sz w:val="16"/>
          <w:szCs w:val="16"/>
          <w:bdr w:val="none" w:sz="0" w:space="0" w:color="auto" w:frame="1"/>
          <w:lang w:val="en-AU"/>
        </w:rPr>
      </w:pPr>
      <w:r w:rsidRPr="00FD22E9">
        <w:rPr>
          <w:rFonts w:ascii="Arial" w:eastAsia="Calibri" w:hAnsi="Arial" w:cs="Arial"/>
          <w:sz w:val="16"/>
          <w:szCs w:val="16"/>
          <w:bdr w:val="none" w:sz="0" w:space="0" w:color="auto" w:frame="1"/>
          <w:lang w:val="en-AU"/>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rsidR="00870C71" w:rsidRPr="00870C71" w:rsidRDefault="00BA7A7F" w:rsidP="00C828C0">
      <w:pPr>
        <w:pStyle w:val="ListParagraph"/>
        <w:keepLines/>
        <w:numPr>
          <w:ilvl w:val="0"/>
          <w:numId w:val="87"/>
        </w:numPr>
        <w:spacing w:after="0" w:line="240" w:lineRule="auto"/>
        <w:rPr>
          <w:rFonts w:eastAsia="Times New Roman" w:cs="Times New Roman"/>
          <w:color w:val="000000"/>
          <w:sz w:val="16"/>
          <w:lang w:val="en-AU" w:eastAsia="x-none"/>
        </w:rPr>
      </w:pPr>
      <w:r w:rsidRPr="00870C71">
        <w:rPr>
          <w:rFonts w:ascii="Arial" w:eastAsia="Times New Roman" w:hAnsi="Arial" w:cs="Times New Roman"/>
          <w:color w:val="000000"/>
          <w:sz w:val="16"/>
          <w:lang w:val="en-AU" w:eastAsia="x-none"/>
        </w:rPr>
        <w:t>Appropriation Bill (No. 2) 202</w:t>
      </w:r>
      <w:r>
        <w:rPr>
          <w:rFonts w:ascii="Arial" w:eastAsia="Times New Roman" w:hAnsi="Arial" w:cs="Times New Roman"/>
          <w:color w:val="000000"/>
          <w:sz w:val="16"/>
          <w:lang w:val="en-AU" w:eastAsia="x-none"/>
        </w:rPr>
        <w:t>2</w:t>
      </w:r>
      <w:r w:rsidRPr="00870C71">
        <w:rPr>
          <w:rFonts w:ascii="Arial" w:eastAsia="Times New Roman" w:hAnsi="Arial" w:cs="Times New Roman"/>
          <w:color w:val="000000"/>
          <w:sz w:val="16"/>
          <w:lang w:val="en-AU" w:eastAsia="x-none"/>
        </w:rPr>
        <w:t>-2</w:t>
      </w:r>
      <w:r>
        <w:rPr>
          <w:rFonts w:ascii="Arial" w:eastAsia="Times New Roman" w:hAnsi="Arial" w:cs="Times New Roman"/>
          <w:color w:val="000000"/>
          <w:sz w:val="16"/>
          <w:lang w:val="en-AU" w:eastAsia="x-none"/>
        </w:rPr>
        <w:t>3</w:t>
      </w:r>
      <w:r w:rsidRPr="00870C71">
        <w:rPr>
          <w:rFonts w:ascii="Arial" w:eastAsia="Times New Roman" w:hAnsi="Arial" w:cs="Times New Roman"/>
          <w:color w:val="000000"/>
          <w:sz w:val="16"/>
          <w:lang w:val="en-AU" w:eastAsia="x-none"/>
        </w:rPr>
        <w:t>.</w:t>
      </w:r>
    </w:p>
    <w:p w:rsidR="00B31D3F" w:rsidRPr="00B14C61" w:rsidRDefault="00BA7A7F" w:rsidP="00C828C0">
      <w:pPr>
        <w:pStyle w:val="ListParagraph"/>
        <w:keepLines/>
        <w:numPr>
          <w:ilvl w:val="0"/>
          <w:numId w:val="87"/>
        </w:numPr>
        <w:spacing w:after="0" w:line="240" w:lineRule="auto"/>
        <w:rPr>
          <w:rFonts w:eastAsia="Times New Roman" w:cs="Times New Roman"/>
          <w:color w:val="000000"/>
          <w:sz w:val="16"/>
          <w:lang w:val="en-AU" w:eastAsia="x-none"/>
        </w:rPr>
      </w:pPr>
      <w:r w:rsidRPr="003D0256">
        <w:rPr>
          <w:rFonts w:ascii="Arial" w:eastAsia="Calibri" w:hAnsi="Arial" w:cs="Arial"/>
          <w:sz w:val="16"/>
          <w:szCs w:val="16"/>
          <w:bdr w:val="none" w:sz="0" w:space="0" w:color="auto" w:frame="1"/>
          <w:lang w:val="en-AU"/>
        </w:rPr>
        <w:t xml:space="preserve">For further information on special accounts, please refer to Budget Paper No. 4 - Agency Resourcing. </w:t>
      </w:r>
    </w:p>
    <w:p w:rsidR="00B14C61" w:rsidRPr="00E95549" w:rsidRDefault="00BA7A7F" w:rsidP="00C828C0">
      <w:pPr>
        <w:pStyle w:val="ListParagraph"/>
        <w:keepLines/>
        <w:numPr>
          <w:ilvl w:val="0"/>
          <w:numId w:val="87"/>
        </w:numPr>
        <w:spacing w:after="0" w:line="240" w:lineRule="auto"/>
        <w:rPr>
          <w:rFonts w:eastAsia="Times New Roman" w:cs="Times New Roman"/>
          <w:color w:val="000000"/>
          <w:sz w:val="16"/>
          <w:lang w:val="en-AU" w:eastAsia="x-none"/>
        </w:rPr>
      </w:pPr>
      <w:r w:rsidRPr="00B14C61">
        <w:rPr>
          <w:rFonts w:ascii="Arial" w:eastAsia="Times New Roman" w:hAnsi="Arial" w:cs="Times New Roman"/>
          <w:color w:val="000000"/>
          <w:sz w:val="16"/>
          <w:lang w:val="en-AU" w:eastAsia="x-none"/>
        </w:rPr>
        <w:t xml:space="preserve">1.7 ASL will be received through the 2021-22 Annual Appropriation Bill No.3. The annual appropriations received from these bills will be recognised </w:t>
      </w:r>
      <w:r>
        <w:rPr>
          <w:rFonts w:ascii="Arial" w:eastAsia="Times New Roman" w:hAnsi="Arial" w:cs="Times New Roman"/>
          <w:color w:val="000000"/>
          <w:sz w:val="16"/>
          <w:lang w:val="en-AU" w:eastAsia="x-none"/>
        </w:rPr>
        <w:t>in a future PB S</w:t>
      </w:r>
      <w:r w:rsidRPr="00B14C61">
        <w:rPr>
          <w:rFonts w:ascii="Arial" w:eastAsia="Times New Roman" w:hAnsi="Arial" w:cs="Times New Roman"/>
          <w:color w:val="000000"/>
          <w:sz w:val="16"/>
          <w:lang w:val="en-AU" w:eastAsia="x-none"/>
        </w:rPr>
        <w:t>tatement but only after the Bills have received Royal Assent.</w:t>
      </w:r>
    </w:p>
    <w:p w:rsidR="003E027B" w:rsidRPr="00E14874" w:rsidRDefault="00BA7A7F" w:rsidP="00E14874">
      <w:pPr>
        <w:pStyle w:val="Heading3"/>
        <w:pageBreakBefore/>
        <w:spacing w:before="0" w:after="120"/>
        <w:rPr>
          <w:smallCaps w:val="0"/>
          <w:sz w:val="22"/>
          <w:szCs w:val="22"/>
        </w:rPr>
      </w:pPr>
      <w:bookmarkStart w:id="812" w:name="RG_MARKER_11980"/>
      <w:bookmarkStart w:id="813" w:name="RG_MARKER_11946"/>
      <w:bookmarkStart w:id="814" w:name="RG_MARKER_12228"/>
      <w:r w:rsidRPr="00E14874">
        <w:rPr>
          <w:smallCaps w:val="0"/>
          <w:sz w:val="22"/>
          <w:szCs w:val="22"/>
        </w:rPr>
        <w:t>1.</w:t>
      </w:r>
      <w:bookmarkEnd w:id="812"/>
      <w:bookmarkEnd w:id="813"/>
      <w:bookmarkEnd w:id="814"/>
      <w:r>
        <w:rPr>
          <w:smallCaps w:val="0"/>
          <w:sz w:val="22"/>
          <w:szCs w:val="22"/>
        </w:rPr>
        <w:t>3</w:t>
      </w:r>
      <w:r w:rsidRPr="00E14874">
        <w:rPr>
          <w:smallCaps w:val="0"/>
          <w:sz w:val="22"/>
          <w:szCs w:val="22"/>
        </w:rPr>
        <w:tab/>
        <w:t>Budget measures</w:t>
      </w:r>
    </w:p>
    <w:p w:rsidR="009D175B" w:rsidRDefault="00BA7A7F" w:rsidP="00C10853">
      <w:pPr>
        <w:rPr>
          <w:b/>
        </w:rPr>
      </w:pPr>
      <w:r w:rsidRPr="009D175B">
        <w:t xml:space="preserve">Budget measures </w:t>
      </w:r>
      <w:r>
        <w:t>in Part 1 relating to CER</w:t>
      </w:r>
      <w:r w:rsidRPr="009D175B">
        <w:t xml:space="preserve"> are detailed in Budget Paper No. 2 and are summarised below.</w:t>
      </w:r>
    </w:p>
    <w:p w:rsidR="009D175B" w:rsidRDefault="00BA7A7F" w:rsidP="00C10853">
      <w:pPr>
        <w:pStyle w:val="TableHeading"/>
        <w:keepLines/>
        <w:spacing w:before="240" w:after="0"/>
      </w:pPr>
      <w:r w:rsidRPr="003E027B">
        <w:t xml:space="preserve">Table 1.2: </w:t>
      </w:r>
      <w:r>
        <w:rPr>
          <w:snapToGrid w:val="0"/>
        </w:rPr>
        <w:t>CER</w:t>
      </w:r>
      <w:r w:rsidRPr="003E027B">
        <w:t xml:space="preserve"> </w:t>
      </w:r>
      <w:r>
        <w:t>2022­23 budget measures</w:t>
      </w:r>
      <w:r>
        <w:br/>
        <w:t xml:space="preserve">Part 1: </w:t>
      </w:r>
      <w:r w:rsidRPr="004159E1">
        <w:t xml:space="preserve">Measures announced after the </w:t>
      </w:r>
      <w:r>
        <w:t>2021­22 Mid-Year Economic and Fiscal Outlook (MYEFO)</w:t>
      </w:r>
    </w:p>
    <w:tbl>
      <w:tblPr>
        <w:tblStyle w:val="CDMRange1"/>
        <w:tblW w:w="7920" w:type="dxa"/>
        <w:tblLayout w:type="fixed"/>
        <w:tblLook w:val="0600" w:firstRow="0" w:lastRow="0" w:firstColumn="0" w:lastColumn="0" w:noHBand="1" w:noVBand="1"/>
      </w:tblPr>
      <w:tblGrid>
        <w:gridCol w:w="3045"/>
        <w:gridCol w:w="810"/>
        <w:gridCol w:w="795"/>
        <w:gridCol w:w="810"/>
        <w:gridCol w:w="825"/>
        <w:gridCol w:w="795"/>
        <w:gridCol w:w="840"/>
      </w:tblGrid>
      <w:tr w:rsidR="00253274">
        <w:trPr>
          <w:trHeight w:val="450"/>
        </w:trPr>
        <w:tc>
          <w:tcPr>
            <w:tcW w:w="30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79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Receipt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7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Energy and Emissions Reduction (a)</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4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4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Administered receipt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2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4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2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4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receipt measures</w:t>
            </w: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center"/>
              <w:rPr>
                <w:rFonts w:ascii="Arial" w:eastAsia="Arial" w:hAnsi="Arial" w:cs="Arial"/>
                <w:color w:val="000000"/>
                <w:sz w:val="16"/>
              </w:rPr>
            </w:pPr>
          </w:p>
        </w:tc>
        <w:tc>
          <w:tcPr>
            <w:tcW w:w="79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4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4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Administered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000000"/>
                <w:sz w:val="16"/>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2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4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9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2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4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000000"/>
                <w:sz w:val="16"/>
              </w:rPr>
            </w:pPr>
          </w:p>
        </w:tc>
        <w:tc>
          <w:tcPr>
            <w:tcW w:w="79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4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0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Commonwealth's Deregulation Agenda (b)</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4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4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9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9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4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79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9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Energy and Emissions Reduction </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79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4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4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000000"/>
                <w:sz w:val="16"/>
              </w:rPr>
            </w:pPr>
          </w:p>
        </w:tc>
        <w:tc>
          <w:tcPr>
            <w:tcW w:w="79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11,600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800</w:t>
            </w:r>
          </w:p>
        </w:tc>
        <w:tc>
          <w:tcPr>
            <w:tcW w:w="79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4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000000"/>
                <w:sz w:val="16"/>
              </w:rPr>
            </w:pPr>
          </w:p>
        </w:tc>
        <w:tc>
          <w:tcPr>
            <w:tcW w:w="79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11,600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800</w:t>
            </w:r>
          </w:p>
        </w:tc>
        <w:tc>
          <w:tcPr>
            <w:tcW w:w="79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4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4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9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4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4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9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11,600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800</w:t>
            </w:r>
          </w:p>
        </w:tc>
        <w:tc>
          <w:tcPr>
            <w:tcW w:w="79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4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7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11,600</w:t>
            </w:r>
          </w:p>
        </w:tc>
        <w:tc>
          <w:tcPr>
            <w:tcW w:w="8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800</w:t>
            </w:r>
          </w:p>
        </w:tc>
        <w:tc>
          <w:tcPr>
            <w:tcW w:w="7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4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9F3E67" w:rsidRDefault="00BA7A7F" w:rsidP="008361EC">
      <w:pPr>
        <w:pStyle w:val="Source"/>
        <w:spacing w:before="40"/>
      </w:pPr>
      <w:r>
        <w:t xml:space="preserve">Prepared on a Government Financial Statistics (Underlying Cash) basis. </w:t>
      </w:r>
      <w:r w:rsidRPr="00780CE9">
        <w:t>Figures displayed as a negative (-) represent a decrease in funds and a positive (+) represent an increase in funds.</w:t>
      </w:r>
    </w:p>
    <w:p w:rsidR="00E0733D" w:rsidRDefault="00BA7A7F" w:rsidP="00E0733D">
      <w:pPr>
        <w:pStyle w:val="Source"/>
        <w:numPr>
          <w:ilvl w:val="0"/>
          <w:numId w:val="88"/>
        </w:numPr>
        <w:spacing w:before="40"/>
      </w:pPr>
      <w:r>
        <w:t>The financial impact for this measure is not for publication (nfp) due to commercial sensitivities.</w:t>
      </w:r>
    </w:p>
    <w:p w:rsidR="00215633" w:rsidRPr="002A1F83" w:rsidRDefault="00BA7A7F" w:rsidP="002A1F83">
      <w:pPr>
        <w:pStyle w:val="Source"/>
        <w:numPr>
          <w:ilvl w:val="0"/>
          <w:numId w:val="88"/>
        </w:numPr>
        <w:rPr>
          <w:rFonts w:cs="Arial"/>
          <w:szCs w:val="16"/>
        </w:rPr>
      </w:pPr>
      <w:r w:rsidRPr="002A1F83">
        <w:rPr>
          <w:rFonts w:cs="Arial"/>
          <w:szCs w:val="16"/>
        </w:rPr>
        <w:t>This measure was a decision taken but not yet announced in the 2021-22 MYEFO, with the following impact: 2021-22 $6.5 million; 2022-23 $13.3 million; 2023-24 $8.2 million; 2024-25 $5.8 million and 2025-26 $1.0 million. The lead entity for this measure is the Prime Minister and Cabinet.</w:t>
      </w:r>
    </w:p>
    <w:p w:rsidR="00175213" w:rsidRPr="00C87862" w:rsidRDefault="00175213" w:rsidP="00175213">
      <w:pPr>
        <w:pStyle w:val="Source"/>
      </w:pPr>
    </w:p>
    <w:p w:rsidR="00807795" w:rsidRPr="00C87862" w:rsidRDefault="00807795" w:rsidP="00E174A2">
      <w:pPr>
        <w:pStyle w:val="Source"/>
        <w:rPr>
          <w:vanish/>
        </w:rPr>
      </w:pPr>
    </w:p>
    <w:p w:rsidR="00FD26B4" w:rsidRPr="00506BB5" w:rsidRDefault="00BA7A7F" w:rsidP="00506BB5">
      <w:pPr>
        <w:pStyle w:val="Heading2"/>
        <w:pageBreakBefore/>
        <w:spacing w:after="120"/>
        <w:rPr>
          <w:b/>
          <w:sz w:val="26"/>
          <w:szCs w:val="26"/>
        </w:rPr>
      </w:pPr>
      <w:bookmarkStart w:id="815" w:name="RG_MARKER_11884"/>
      <w:bookmarkStart w:id="816" w:name="RG_MARKER_12230"/>
      <w:bookmarkStart w:id="817" w:name="_Toc436624143_4"/>
      <w:bookmarkStart w:id="818" w:name="_Toc436625444_4"/>
      <w:bookmarkStart w:id="819" w:name="_Toc446237032_4"/>
      <w:bookmarkStart w:id="820" w:name="_Toc449255764_4"/>
      <w:bookmarkStart w:id="821" w:name="_Toc490972409_4"/>
      <w:bookmarkStart w:id="822" w:name="_Toc491014629_4"/>
      <w:bookmarkStart w:id="823" w:name="_Toc491014771_4"/>
      <w:bookmarkStart w:id="824" w:name="_Toc491014951_4"/>
      <w:bookmarkStart w:id="825" w:name="_Toc491015098_4"/>
      <w:bookmarkStart w:id="826" w:name="_Toc491029242_4"/>
      <w:bookmarkStart w:id="827" w:name="_Toc491030331_4"/>
      <w:bookmarkStart w:id="828" w:name="_Toc491030790_4"/>
      <w:bookmarkStart w:id="829" w:name="_Toc491031353_4"/>
      <w:bookmarkStart w:id="830" w:name="_Toc491031940_4"/>
      <w:bookmarkStart w:id="831" w:name="_Toc491032113_4"/>
      <w:bookmarkStart w:id="832" w:name="_Toc491032221_4"/>
      <w:bookmarkStart w:id="833" w:name="_Toc491032328_4"/>
      <w:bookmarkStart w:id="834" w:name="_Toc491771720_4"/>
      <w:bookmarkStart w:id="835" w:name="_Toc491773295_4"/>
      <w:bookmarkStart w:id="836" w:name="_Toc23559353_4"/>
      <w:bookmarkStart w:id="837" w:name="_Toc23559387_4"/>
      <w:bookmarkStart w:id="838" w:name="_Toc23559674_4"/>
      <w:bookmarkStart w:id="839" w:name="_Toc23560142_4"/>
      <w:bookmarkStart w:id="840" w:name="_Toc23563436_4"/>
      <w:bookmarkStart w:id="841" w:name="_Toc77998688_4"/>
      <w:bookmarkStart w:id="842" w:name="_Toc79399717_4"/>
      <w:bookmarkStart w:id="843" w:name="_Toc112211966_4"/>
      <w:bookmarkStart w:id="844" w:name="_Toc112212060_4"/>
      <w:bookmarkStart w:id="845" w:name="_Toc112137878_4"/>
      <w:bookmarkStart w:id="846" w:name="_Toc112137900_4"/>
      <w:bookmarkStart w:id="847" w:name="_Toc210646453_4"/>
      <w:bookmarkStart w:id="848" w:name="_Toc210698432_4"/>
      <w:bookmarkStart w:id="849" w:name="_Toc210703214_4"/>
      <w:r w:rsidRPr="00506BB5">
        <w:rPr>
          <w:b/>
          <w:sz w:val="26"/>
          <w:szCs w:val="26"/>
        </w:rPr>
        <w:t>Section 2</w:t>
      </w:r>
      <w:bookmarkEnd w:id="815"/>
      <w:bookmarkEnd w:id="816"/>
      <w:bookmarkEnd w:id="817"/>
      <w:bookmarkEnd w:id="818"/>
      <w:bookmarkEnd w:id="819"/>
      <w:bookmarkEnd w:id="820"/>
      <w:r w:rsidRPr="00506BB5">
        <w:rPr>
          <w:b/>
          <w:sz w:val="26"/>
          <w:szCs w:val="26"/>
        </w:rPr>
        <w:t xml:space="preserve">: </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506BB5">
        <w:rPr>
          <w:b/>
          <w:sz w:val="26"/>
          <w:szCs w:val="26"/>
        </w:rPr>
        <w:t>Outcomes and planned performanc</w:t>
      </w:r>
      <w:bookmarkEnd w:id="848"/>
      <w:bookmarkEnd w:id="849"/>
      <w:r w:rsidRPr="00506BB5">
        <w:rPr>
          <w:b/>
          <w:sz w:val="26"/>
          <w:szCs w:val="26"/>
        </w:rPr>
        <w:t>e</w:t>
      </w:r>
      <w:bookmarkStart w:id="850" w:name="_Toc436624145_8"/>
      <w:bookmarkStart w:id="851" w:name="_Toc436625446_8"/>
      <w:bookmarkStart w:id="852" w:name="_Toc449255766_8"/>
      <w:bookmarkStart w:id="853" w:name="_Toc490972410_8"/>
      <w:bookmarkStart w:id="854" w:name="_Toc491014630_8"/>
      <w:bookmarkStart w:id="855" w:name="_Toc491014772_8"/>
      <w:bookmarkStart w:id="856" w:name="_Toc491014952_8"/>
      <w:bookmarkStart w:id="857" w:name="_Toc491015099_8"/>
      <w:bookmarkStart w:id="858" w:name="_Toc491029243_8"/>
      <w:bookmarkStart w:id="859" w:name="_Toc491030332_8"/>
      <w:bookmarkStart w:id="860" w:name="_Toc491030791_8"/>
      <w:bookmarkStart w:id="861" w:name="_Toc491031354_8"/>
      <w:bookmarkStart w:id="862" w:name="_Toc491031941_8"/>
      <w:bookmarkStart w:id="863" w:name="_Toc491032114_8"/>
      <w:bookmarkStart w:id="864" w:name="_Toc491032222_8"/>
      <w:bookmarkStart w:id="865" w:name="_Toc491032329_8"/>
      <w:bookmarkStart w:id="866" w:name="_Toc491771721_8"/>
      <w:bookmarkStart w:id="867" w:name="_Toc491773296_8"/>
      <w:bookmarkStart w:id="868" w:name="_Toc23559354_8"/>
      <w:bookmarkStart w:id="869" w:name="_Toc23559388_8"/>
      <w:bookmarkStart w:id="870" w:name="_Toc23559675_8"/>
      <w:bookmarkStart w:id="871" w:name="_Toc23560143_8"/>
      <w:bookmarkStart w:id="872" w:name="_Toc23563437_8"/>
      <w:bookmarkStart w:id="873" w:name="_Toc77998689_8"/>
      <w:bookmarkStart w:id="874" w:name="_Toc79406118_8"/>
      <w:bookmarkStart w:id="875" w:name="_Toc79467820_8"/>
      <w:bookmarkStart w:id="876" w:name="_Toc112211967_8"/>
      <w:bookmarkStart w:id="877" w:name="_Toc112212061_8"/>
      <w:bookmarkStart w:id="878" w:name="_Toc112137879_8"/>
      <w:bookmarkStart w:id="879" w:name="_Toc112137901_8"/>
      <w:bookmarkStart w:id="880" w:name="_Toc210646454_8"/>
      <w:bookmarkStart w:id="881" w:name="_Toc210698433_8"/>
      <w:bookmarkStart w:id="882" w:name="_Toc210703215_8"/>
    </w:p>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rsidR="00FD26B4" w:rsidRDefault="00BA7A7F" w:rsidP="00FD26B4">
      <w:r>
        <w:t xml:space="preserve">Government outcomes are the intended results, impacts or consequences of actions by the Government on the Australian community. Commonwealth </w:t>
      </w:r>
      <w:r>
        <w:rPr>
          <w:color w:val="000000"/>
        </w:rPr>
        <w:t xml:space="preserve">programs </w:t>
      </w:r>
      <w:r>
        <w:t xml:space="preserve">are the primary vehicle by which government entities achieve the intended results of their outcome statements. Entities are required to identify the </w:t>
      </w:r>
      <w:r>
        <w:rPr>
          <w:color w:val="000000"/>
        </w:rPr>
        <w:t>programs</w:t>
      </w:r>
      <w:r>
        <w:t xml:space="preserve"> which contribute to government outcomes over the Budget and forward years.</w:t>
      </w:r>
    </w:p>
    <w:p w:rsidR="00FD26B4" w:rsidRDefault="00BA7A7F" w:rsidP="00FD26B4">
      <w:r>
        <w:t xml:space="preserve">Each outcome is described below together with its related </w:t>
      </w:r>
      <w:r>
        <w:rPr>
          <w:color w:val="000000"/>
        </w:rPr>
        <w:t>programs</w:t>
      </w:r>
      <w:r>
        <w:t>. The following provides detailed information on expenses for each outcome and program, further broken down by funding source.</w:t>
      </w:r>
    </w:p>
    <w:p w:rsidR="00FD26B4" w:rsidRDefault="00BA7A7F" w:rsidP="00FD26B4">
      <w:pPr>
        <w:pBdr>
          <w:top w:val="single" w:sz="4" w:space="1" w:color="auto"/>
          <w:left w:val="single" w:sz="4" w:space="4" w:color="auto"/>
          <w:bottom w:val="single" w:sz="4" w:space="1" w:color="auto"/>
          <w:right w:val="single" w:sz="4" w:space="4" w:color="auto"/>
        </w:pBdr>
        <w:spacing w:after="120" w:line="240" w:lineRule="auto"/>
        <w:rPr>
          <w:b/>
        </w:rPr>
      </w:pPr>
      <w:r>
        <w:rPr>
          <w:b/>
        </w:rPr>
        <w:t>Note:</w:t>
      </w:r>
    </w:p>
    <w:p w:rsidR="00C00856" w:rsidRDefault="00BA7A7F" w:rsidP="00C00856">
      <w:pPr>
        <w:pBdr>
          <w:top w:val="single" w:sz="4" w:space="1" w:color="auto"/>
          <w:left w:val="single" w:sz="4" w:space="4" w:color="auto"/>
          <w:bottom w:val="single" w:sz="4" w:space="1" w:color="auto"/>
          <w:right w:val="single" w:sz="4" w:space="4" w:color="auto"/>
        </w:pBdr>
      </w:pPr>
      <w:r>
        <w:t xml:space="preserve">Performance reporting requirements in the Portfolio Budget Statements are part of the Commonwealth performance framework established by the </w:t>
      </w:r>
      <w:r w:rsidRPr="00C0085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rsidR="003B32BB" w:rsidRDefault="00BA7A7F" w:rsidP="00060639">
      <w:pPr>
        <w:pBdr>
          <w:top w:val="single" w:sz="4" w:space="1" w:color="auto"/>
          <w:left w:val="single" w:sz="4" w:space="4" w:color="auto"/>
          <w:bottom w:val="single" w:sz="4" w:space="1" w:color="auto"/>
          <w:right w:val="single" w:sz="4" w:space="4" w:color="auto"/>
        </w:pBdr>
        <w:spacing w:after="0"/>
      </w:pPr>
      <w:r>
        <w:t>The most recent corporate plan for CER can be found at:</w:t>
      </w:r>
    </w:p>
    <w:p w:rsidR="00C00856" w:rsidRDefault="00BA7A7F" w:rsidP="00C00856">
      <w:pPr>
        <w:pBdr>
          <w:top w:val="single" w:sz="4" w:space="1" w:color="auto"/>
          <w:left w:val="single" w:sz="4" w:space="4" w:color="auto"/>
          <w:bottom w:val="single" w:sz="4" w:space="1" w:color="auto"/>
          <w:right w:val="single" w:sz="4" w:space="4" w:color="auto"/>
        </w:pBdr>
      </w:pPr>
      <w:r>
        <w:t>http://www.cleanenergyregulator.gov.au/About/Accountability-and-reporting/Corporate-plans</w:t>
      </w:r>
    </w:p>
    <w:p w:rsidR="003B32BB" w:rsidRDefault="00BA7A7F" w:rsidP="00060639">
      <w:pPr>
        <w:pBdr>
          <w:top w:val="single" w:sz="4" w:space="1" w:color="auto"/>
          <w:left w:val="single" w:sz="4" w:space="4" w:color="auto"/>
          <w:bottom w:val="single" w:sz="4" w:space="1" w:color="auto"/>
          <w:right w:val="single" w:sz="4" w:space="4" w:color="auto"/>
        </w:pBdr>
        <w:spacing w:after="0"/>
      </w:pPr>
      <w:r>
        <w:t>The most recent annual performance statement can be found at:</w:t>
      </w:r>
    </w:p>
    <w:p w:rsidR="00285C26" w:rsidRPr="00FD26B4" w:rsidRDefault="00BA7A7F" w:rsidP="00C00856">
      <w:pPr>
        <w:pBdr>
          <w:top w:val="single" w:sz="4" w:space="1" w:color="auto"/>
          <w:left w:val="single" w:sz="4" w:space="4" w:color="auto"/>
          <w:bottom w:val="single" w:sz="4" w:space="1" w:color="auto"/>
          <w:right w:val="single" w:sz="4" w:space="4" w:color="auto"/>
        </w:pBdr>
      </w:pPr>
      <w:r>
        <w:t>http://www.cleanenergyregulator.gov.au/About/Accountability-and-reporting/Annual-Reports</w:t>
      </w:r>
    </w:p>
    <w:p w:rsidR="007D76B1" w:rsidRPr="00A4438C" w:rsidRDefault="00BA7A7F" w:rsidP="007D76B1">
      <w:pPr>
        <w:pStyle w:val="Heading3"/>
        <w:pageBreakBefore/>
        <w:rPr>
          <w:smallCaps w:val="0"/>
          <w:sz w:val="22"/>
          <w:szCs w:val="22"/>
        </w:rPr>
      </w:pPr>
      <w:bookmarkStart w:id="883" w:name="RG_MARKER_11959"/>
      <w:bookmarkStart w:id="884" w:name="RG_MARKER_11947"/>
      <w:bookmarkStart w:id="885" w:name="_Toc210703215_9"/>
      <w:bookmarkStart w:id="886" w:name="_Toc210698433_9"/>
      <w:bookmarkStart w:id="887" w:name="_Toc210646454_9"/>
      <w:bookmarkStart w:id="888" w:name="_Toc112137901_9"/>
      <w:bookmarkStart w:id="889" w:name="_Toc112137879_9"/>
      <w:bookmarkStart w:id="890" w:name="_Toc112212061_9"/>
      <w:bookmarkStart w:id="891" w:name="_Toc112211967_9"/>
      <w:bookmarkStart w:id="892" w:name="_Toc79467820_9"/>
      <w:bookmarkStart w:id="893" w:name="_Toc79406118_9"/>
      <w:bookmarkStart w:id="894" w:name="_Toc77998689_9"/>
      <w:bookmarkStart w:id="895" w:name="_Toc23563437_9"/>
      <w:bookmarkStart w:id="896" w:name="_Toc23560143_9"/>
      <w:bookmarkStart w:id="897" w:name="_Toc23559675_9"/>
      <w:bookmarkStart w:id="898" w:name="_Toc23559388_9"/>
      <w:bookmarkStart w:id="899" w:name="_Toc23559354_9"/>
      <w:bookmarkStart w:id="900" w:name="_Toc491773296_9"/>
      <w:bookmarkStart w:id="901" w:name="_Toc491771721_9"/>
      <w:bookmarkStart w:id="902" w:name="_Toc491032329_9"/>
      <w:bookmarkStart w:id="903" w:name="_Toc491032222_9"/>
      <w:bookmarkStart w:id="904" w:name="_Toc491032114_9"/>
      <w:bookmarkStart w:id="905" w:name="_Toc491031941_9"/>
      <w:bookmarkStart w:id="906" w:name="_Toc491031354_9"/>
      <w:bookmarkStart w:id="907" w:name="_Toc491030791_9"/>
      <w:bookmarkStart w:id="908" w:name="_Toc491030332_9"/>
      <w:bookmarkStart w:id="909" w:name="_Toc491029243_9"/>
      <w:bookmarkStart w:id="910" w:name="_Toc491015099_9"/>
      <w:bookmarkStart w:id="911" w:name="_Toc491014952_9"/>
      <w:bookmarkStart w:id="912" w:name="_Toc491014772_9"/>
      <w:bookmarkStart w:id="913" w:name="_Toc491014630_9"/>
      <w:bookmarkStart w:id="914" w:name="_Toc490972410_9"/>
      <w:bookmarkStart w:id="915" w:name="_Toc449255766_9"/>
      <w:bookmarkStart w:id="916" w:name="_Toc436625446_9"/>
      <w:bookmarkStart w:id="917" w:name="_Toc436624145_9"/>
      <w:r w:rsidRPr="00A4438C">
        <w:rPr>
          <w:smallCaps w:val="0"/>
          <w:sz w:val="22"/>
          <w:szCs w:val="22"/>
        </w:rPr>
        <w:t>2.1</w:t>
      </w:r>
      <w:bookmarkEnd w:id="883"/>
      <w:bookmarkEnd w:id="884"/>
      <w:r w:rsidRPr="00A4438C">
        <w:rPr>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253274" w:rsidTr="00F04275">
        <w:tc>
          <w:tcPr>
            <w:tcW w:w="7713" w:type="dxa"/>
            <w:tcBorders>
              <w:top w:val="single" w:sz="2" w:space="0" w:color="auto"/>
              <w:left w:val="single" w:sz="2" w:space="0" w:color="auto"/>
              <w:bottom w:val="single" w:sz="2" w:space="0" w:color="auto"/>
              <w:right w:val="single" w:sz="2" w:space="0" w:color="auto"/>
            </w:tcBorders>
            <w:shd w:val="clear" w:color="auto" w:fill="E6E6E6"/>
            <w:hideMark/>
          </w:tcP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rsidR="00F04275" w:rsidRDefault="00BA7A7F" w:rsidP="00590F07">
            <w:pPr>
              <w:pStyle w:val="TableColumnHeadingLeft"/>
              <w:keepLines/>
            </w:pPr>
            <w:r w:rsidRPr="00CC1C9E">
              <w:rPr>
                <w:color w:val="000000"/>
              </w:rPr>
              <w:t>Outcome 1: Contribute to a reduction in Australia's net greenhouse gas emissions, including through the administration of market based mechanisms that incentivise reduction in emissions and the promotion of additional r</w:t>
            </w:r>
            <w:r>
              <w:rPr>
                <w:color w:val="000000"/>
              </w:rPr>
              <w:t>enewable electricity generation</w:t>
            </w:r>
          </w:p>
        </w:tc>
      </w:tr>
    </w:tbl>
    <w:p w:rsidR="00F04275" w:rsidRPr="00A32366" w:rsidRDefault="00BA7A7F" w:rsidP="00FD2AB9">
      <w:pPr>
        <w:pStyle w:val="Heading4"/>
        <w:spacing w:before="240"/>
        <w:rPr>
          <w:rFonts w:cs="Arial"/>
          <w:sz w:val="20"/>
        </w:rPr>
      </w:pPr>
      <w:r w:rsidRPr="00A32366">
        <w:rPr>
          <w:rFonts w:cs="Arial"/>
          <w:sz w:val="20"/>
        </w:rPr>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253274" w:rsidTr="00F04275">
        <w:trPr>
          <w:trHeight w:val="113"/>
        </w:trPr>
        <w:tc>
          <w:tcPr>
            <w:tcW w:w="7592" w:type="dxa"/>
            <w:tcBorders>
              <w:top w:val="single" w:sz="4" w:space="0" w:color="auto"/>
              <w:left w:val="single" w:sz="4" w:space="0" w:color="auto"/>
              <w:bottom w:val="dotted" w:sz="4" w:space="0" w:color="auto"/>
              <w:right w:val="single" w:sz="4" w:space="0" w:color="auto"/>
            </w:tcBorders>
            <w:hideMark/>
          </w:tcPr>
          <w:p w:rsidR="00F04275" w:rsidRPr="004412E1" w:rsidRDefault="00BA7A7F">
            <w:pPr>
              <w:pStyle w:val="ExampleText0"/>
              <w:spacing w:before="60" w:after="60" w:line="240" w:lineRule="auto"/>
              <w:rPr>
                <w:color w:val="auto"/>
              </w:rPr>
            </w:pPr>
            <w:r w:rsidRPr="004412E1">
              <w:rPr>
                <w:rStyle w:val="ExampletextCharChar"/>
                <w:b/>
                <w:color w:val="auto"/>
              </w:rPr>
              <w:t>Department of Industry, Science, Energy and Resources</w:t>
            </w:r>
          </w:p>
        </w:tc>
      </w:tr>
      <w:tr w:rsidR="00253274" w:rsidTr="00F04275">
        <w:trPr>
          <w:trHeight w:val="113"/>
        </w:trPr>
        <w:tc>
          <w:tcPr>
            <w:tcW w:w="7592" w:type="dxa"/>
            <w:tcBorders>
              <w:top w:val="dotted" w:sz="4" w:space="0" w:color="auto"/>
              <w:left w:val="single" w:sz="4" w:space="0" w:color="auto"/>
              <w:bottom w:val="single" w:sz="4" w:space="0" w:color="auto"/>
              <w:right w:val="single" w:sz="4" w:space="0" w:color="auto"/>
            </w:tcBorders>
            <w:hideMark/>
          </w:tcPr>
          <w:p w:rsidR="00F04275" w:rsidRPr="004412E1" w:rsidRDefault="00BA7A7F">
            <w:pPr>
              <w:spacing w:before="60" w:after="60" w:line="240" w:lineRule="auto"/>
              <w:rPr>
                <w:rStyle w:val="ExampletextCharChar"/>
                <w:b/>
                <w:i w:val="0"/>
                <w:iCs/>
                <w:color w:val="auto"/>
              </w:rPr>
            </w:pPr>
            <w:r w:rsidRPr="004412E1">
              <w:rPr>
                <w:rStyle w:val="ExampletextCharChar"/>
                <w:b/>
                <w:i w:val="0"/>
                <w:iCs/>
                <w:color w:val="auto"/>
              </w:rPr>
              <w:t>Programs</w:t>
            </w:r>
          </w:p>
          <w:p w:rsidR="00CC1C9E" w:rsidRPr="004412E1" w:rsidRDefault="00BA7A7F" w:rsidP="00FD2AB9">
            <w:pPr>
              <w:keepLines w:val="0"/>
              <w:numPr>
                <w:ilvl w:val="0"/>
                <w:numId w:val="89"/>
              </w:numPr>
              <w:spacing w:before="60" w:after="60" w:line="240" w:lineRule="auto"/>
              <w:ind w:left="714" w:hanging="357"/>
              <w:rPr>
                <w:i/>
              </w:rPr>
            </w:pPr>
            <w:r w:rsidRPr="004412E1">
              <w:t xml:space="preserve">Program 2.1 – Reducing Australia’s </w:t>
            </w:r>
            <w:r>
              <w:t>g</w:t>
            </w:r>
            <w:r w:rsidRPr="004412E1">
              <w:t xml:space="preserve">reenhouse </w:t>
            </w:r>
            <w:r>
              <w:t>g</w:t>
            </w:r>
            <w:r w:rsidRPr="004412E1">
              <w:t xml:space="preserve">as </w:t>
            </w:r>
            <w:r>
              <w:t>e</w:t>
            </w:r>
            <w:r w:rsidRPr="004412E1">
              <w:t>missions</w:t>
            </w:r>
          </w:p>
          <w:p w:rsidR="00F04275" w:rsidRPr="004412E1" w:rsidRDefault="00BA7A7F" w:rsidP="00FD2AB9">
            <w:pPr>
              <w:keepLines w:val="0"/>
              <w:numPr>
                <w:ilvl w:val="0"/>
                <w:numId w:val="89"/>
              </w:numPr>
              <w:spacing w:before="60" w:after="60" w:line="240" w:lineRule="auto"/>
              <w:ind w:left="714" w:hanging="357"/>
              <w:rPr>
                <w:rStyle w:val="ExampletextCharChar"/>
                <w:i w:val="0"/>
                <w:iCs/>
                <w:color w:val="auto"/>
              </w:rPr>
            </w:pPr>
            <w:r>
              <w:t>Program 3.1 – Supporting reliable, secure and affordable energy</w:t>
            </w:r>
          </w:p>
        </w:tc>
      </w:tr>
      <w:tr w:rsidR="00253274" w:rsidTr="00F04275">
        <w:trPr>
          <w:trHeight w:val="113"/>
        </w:trPr>
        <w:tc>
          <w:tcPr>
            <w:tcW w:w="7592" w:type="dxa"/>
            <w:tcBorders>
              <w:top w:val="single" w:sz="4" w:space="0" w:color="auto"/>
              <w:left w:val="single" w:sz="4" w:space="0" w:color="auto"/>
              <w:bottom w:val="single" w:sz="4" w:space="0" w:color="auto"/>
              <w:right w:val="single" w:sz="4" w:space="0" w:color="auto"/>
            </w:tcBorders>
            <w:hideMark/>
          </w:tcPr>
          <w:p w:rsidR="00F04275" w:rsidRPr="004412E1" w:rsidRDefault="00BA7A7F">
            <w:pPr>
              <w:spacing w:before="60" w:after="60" w:line="240" w:lineRule="auto"/>
              <w:rPr>
                <w:rStyle w:val="ExampletextCharChar"/>
                <w:b/>
                <w:i w:val="0"/>
                <w:iCs/>
                <w:color w:val="auto"/>
              </w:rPr>
            </w:pPr>
            <w:r w:rsidRPr="004412E1">
              <w:rPr>
                <w:rStyle w:val="ExampletextCharChar"/>
                <w:b/>
                <w:i w:val="0"/>
                <w:iCs/>
                <w:color w:val="auto"/>
              </w:rPr>
              <w:t>Contribution to Outcome 1 made by linked programs</w:t>
            </w:r>
          </w:p>
          <w:p w:rsidR="00F04275" w:rsidRPr="004412E1" w:rsidRDefault="00BA7A7F">
            <w:pPr>
              <w:spacing w:before="60" w:after="60" w:line="240" w:lineRule="auto"/>
              <w:rPr>
                <w:rStyle w:val="ExampletextCharChar"/>
                <w:b/>
                <w:i w:val="0"/>
                <w:iCs/>
                <w:color w:val="auto"/>
              </w:rPr>
            </w:pPr>
            <w:r w:rsidRPr="004412E1">
              <w:rPr>
                <w:rFonts w:eastAsia="Calibri" w:cs="Arial"/>
                <w:iCs/>
              </w:rPr>
              <w:t xml:space="preserve">The Department of Industry, Science, Energy and Resources has policy responsibility for the Emissions Reduction Fund, the Renewable Energy Target, the National Greenhouse and Energy Reporting Scheme and the Australian National Registry of Emissions Units. The Clean Energy Regulator </w:t>
            </w:r>
            <w:r>
              <w:rPr>
                <w:rFonts w:eastAsia="Calibri" w:cs="Arial"/>
                <w:iCs/>
              </w:rPr>
              <w:t>works collaboratively with the d</w:t>
            </w:r>
            <w:r w:rsidRPr="004412E1">
              <w:rPr>
                <w:rFonts w:eastAsia="Calibri" w:cs="Arial"/>
                <w:iCs/>
              </w:rPr>
              <w:t>epartment as the delivery agency and re</w:t>
            </w:r>
            <w:r>
              <w:rPr>
                <w:rFonts w:eastAsia="Calibri" w:cs="Arial"/>
                <w:iCs/>
              </w:rPr>
              <w:t>gulator for these schemes. The d</w:t>
            </w:r>
            <w:r w:rsidRPr="004412E1">
              <w:rPr>
                <w:rFonts w:eastAsia="Calibri" w:cs="Arial"/>
                <w:iCs/>
              </w:rPr>
              <w:t>epartment is responsible for energy policy and the Clean Energy Regulator works collaboratively with the Department to understand the impacts of its regulatory activity on the market.</w:t>
            </w:r>
          </w:p>
        </w:tc>
      </w:tr>
    </w:tbl>
    <w:p w:rsidR="00E15EC7" w:rsidRDefault="00E15EC7" w:rsidP="00590F07">
      <w:pPr>
        <w:keepLines w:val="0"/>
        <w:spacing w:after="200" w:line="276" w:lineRule="auto"/>
        <w:jc w:val="left"/>
        <w:rPr>
          <w:vanish/>
        </w:rPr>
      </w:pPr>
    </w:p>
    <w:p w:rsidR="00902EAF" w:rsidRDefault="00BA7A7F" w:rsidP="00902EAF">
      <w:pPr>
        <w:pStyle w:val="Heading5"/>
        <w:pageBreakBefore/>
        <w:spacing w:before="0" w:after="120" w:line="240" w:lineRule="auto"/>
        <w:rPr>
          <w:rFonts w:ascii="Arial" w:hAnsi="Arial" w:cs="Arial"/>
          <w:b/>
          <w:color w:val="000000"/>
        </w:rPr>
      </w:pPr>
      <w:bookmarkStart w:id="918" w:name="RG_MARKER_12332"/>
      <w:r>
        <w:rPr>
          <w:rFonts w:ascii="Arial" w:hAnsi="Arial" w:cs="Arial"/>
          <w:b/>
          <w:color w:val="000000"/>
        </w:rPr>
        <w:t>Budgeted expenses for Outcome 1</w:t>
      </w:r>
      <w:bookmarkEnd w:id="918"/>
    </w:p>
    <w:p w:rsidR="00D4582A" w:rsidRPr="00D4582A" w:rsidRDefault="00BA7A7F" w:rsidP="00D4582A">
      <w:r w:rsidRPr="00D4582A">
        <w:t>This</w:t>
      </w:r>
      <w:r>
        <w:t xml:space="preserve"> table shows how much CER</w:t>
      </w:r>
      <w:r w:rsidRPr="00D4582A">
        <w:t xml:space="preserve"> intends to spend (on an accrual basis) on achieving the outcome, broken </w:t>
      </w:r>
      <w:r>
        <w:t>down by program, as well as by administered and d</w:t>
      </w:r>
      <w:r w:rsidRPr="00D4582A">
        <w:t>epartmental funding sources.</w:t>
      </w:r>
    </w:p>
    <w:p w:rsidR="00D4582A" w:rsidRPr="00D4582A" w:rsidRDefault="00BA7A7F" w:rsidP="00D4582A">
      <w:pPr>
        <w:spacing w:after="20" w:line="240" w:lineRule="auto"/>
        <w:rPr>
          <w:rFonts w:ascii="Arial" w:hAnsi="Arial" w:cs="Arial"/>
          <w:b/>
        </w:rPr>
      </w:pPr>
      <w:r w:rsidRPr="00D4582A">
        <w:rPr>
          <w:rFonts w:ascii="Arial" w:hAnsi="Arial" w:cs="Arial"/>
          <w:b/>
        </w:rPr>
        <w:t>Table 2.1.1: Budgeted expenses for Outcome 1</w:t>
      </w:r>
    </w:p>
    <w:tbl>
      <w:tblPr>
        <w:tblStyle w:val="CDMRange1"/>
        <w:tblW w:w="7650" w:type="dxa"/>
        <w:tblLayout w:type="fixed"/>
        <w:tblLook w:val="0600" w:firstRow="0" w:lastRow="0" w:firstColumn="0" w:lastColumn="0" w:noHBand="1" w:noVBand="1"/>
      </w:tblPr>
      <w:tblGrid>
        <w:gridCol w:w="3300"/>
        <w:gridCol w:w="870"/>
        <w:gridCol w:w="870"/>
        <w:gridCol w:w="870"/>
        <w:gridCol w:w="870"/>
        <w:gridCol w:w="870"/>
      </w:tblGrid>
      <w:tr w:rsidR="00253274">
        <w:trPr>
          <w:trHeight w:val="675"/>
        </w:trPr>
        <w:tc>
          <w:tcPr>
            <w:tcW w:w="7650"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r>
              <w:rPr>
                <w:rFonts w:ascii="Arial" w:eastAsia="Arial" w:hAnsi="Arial" w:cs="Arial"/>
                <w:color w:val="000000"/>
                <w:sz w:val="16"/>
                <w:szCs w:val="22"/>
                <w:lang w:val="en-US" w:eastAsia="en-US"/>
              </w:rPr>
              <w:t xml:space="preserve"> Contribute to a reduction in Australia's net greenhouse gas emissions, including through the administration of market based mechanisms that incentivise reduction in emissions and the promotion of additional renewable electricity generation</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 Estimated actual</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7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2022­23 </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rsidR="00253274" w:rsidRDefault="00253274">
            <w:pPr>
              <w:keepLines w:val="0"/>
              <w:spacing w:after="0" w:line="240" w:lineRule="auto"/>
              <w:jc w:val="right"/>
              <w:rPr>
                <w:rFonts w:ascii="Arial" w:eastAsia="Arial" w:hAnsi="Arial" w:cs="Arial"/>
                <w:color w:val="000000"/>
                <w:sz w:val="16"/>
                <w:szCs w:val="22"/>
                <w:lang w:val="en-US" w:eastAsia="en-US"/>
              </w:rPr>
            </w:pP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5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 Clean Energy Regulator</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240,732</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242,209</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255,909</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300,512</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226,203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appropriations</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300" w:type="dxa"/>
            <w:tcBorders>
              <w:top w:val="nil"/>
              <w:left w:val="nil"/>
              <w:bottom w:val="nil"/>
              <w:right w:val="nil"/>
              <w:tl2br w:val="nil"/>
              <w:tr2bl w:val="nil"/>
            </w:tcBorders>
            <w:shd w:val="clear" w:color="FFFFFF" w:fill="FFFFFF"/>
            <w:tcMar>
              <w:left w:w="310" w:type="dxa"/>
              <w:right w:w="40" w:type="dxa"/>
            </w:tcMar>
            <w:vAlign w:val="center"/>
          </w:tcPr>
          <w:p w:rsidR="00253274" w:rsidRDefault="00BA7A7F">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Renewable Energy (Electricity) Act 2000</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276,482</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523</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509</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509</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517,214</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242,732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256,418</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301,021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226,712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92,732</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111,637</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90,807</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87,670</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81,190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(a)</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6,100</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(b)</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3,132</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2,740</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3,421</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5,834</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6,285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95,864</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120,477</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94,228</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93,504</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87,475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613,078</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363,209</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350,646</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394,525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314,187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5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resource type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240,732</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242,209</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255,909</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300,512</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226,203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appropriations</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FFFFFF" w:fill="FFFFFF"/>
            <w:tcMar>
              <w:left w:w="310" w:type="dxa"/>
              <w:right w:w="40" w:type="dxa"/>
            </w:tcMar>
            <w:vAlign w:val="center"/>
          </w:tcPr>
          <w:p w:rsidR="00253274" w:rsidRDefault="00BA7A7F">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Renewable Energy (Electricity) Act 2000</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276,482</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523</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509</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509</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517,214</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242,732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256,418</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301,021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226,712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92,732</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111,637</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90,807</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87,670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81,190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(a)</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6,100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(b)</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3,132</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2,740</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3,421</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5,834</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6,285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95,864</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120,477</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94,228</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93,504</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87,475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613,078</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363,209</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350,646</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394,525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314,187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7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right"/>
              <w:rPr>
                <w:rFonts w:ascii="Arial" w:eastAsia="Arial" w:hAnsi="Arial" w:cs="Arial"/>
                <w:b/>
                <w:color w:val="000000"/>
                <w:sz w:val="16"/>
                <w:szCs w:val="22"/>
                <w:lang w:val="en-US" w:eastAsia="en-US"/>
              </w:rPr>
            </w:pPr>
          </w:p>
        </w:tc>
        <w:tc>
          <w:tcPr>
            <w:tcW w:w="87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right"/>
              <w:rPr>
                <w:rFonts w:ascii="Arial" w:eastAsia="Arial" w:hAnsi="Arial" w:cs="Arial"/>
                <w:b/>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b/>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335</w:t>
            </w:r>
          </w:p>
        </w:tc>
        <w:tc>
          <w:tcPr>
            <w:tcW w:w="870"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337</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bl>
    <w:p w:rsidR="007E6680" w:rsidRPr="008320BB" w:rsidRDefault="00BA7A7F" w:rsidP="008320BB">
      <w:pPr>
        <w:numPr>
          <w:ilvl w:val="0"/>
          <w:numId w:val="90"/>
        </w:numPr>
        <w:spacing w:after="0" w:line="240" w:lineRule="auto"/>
        <w:contextualSpacing/>
        <w:rPr>
          <w:rFonts w:ascii="Arial" w:hAnsi="Arial"/>
          <w:sz w:val="16"/>
          <w:szCs w:val="16"/>
          <w:lang w:eastAsia="en-US"/>
        </w:rPr>
      </w:pPr>
      <w:r w:rsidRPr="008320BB">
        <w:rPr>
          <w:rFonts w:ascii="Arial" w:hAnsi="Arial"/>
          <w:sz w:val="16"/>
          <w:szCs w:val="16"/>
          <w:lang w:eastAsia="en-US"/>
        </w:rPr>
        <w:t>Estimated expenses incurred in relation to receipts retained under section 74 of the PGPA Act 2013.</w:t>
      </w:r>
    </w:p>
    <w:p w:rsidR="005D7EC6" w:rsidRDefault="00BA7A7F" w:rsidP="00330855">
      <w:pPr>
        <w:pStyle w:val="ListParagraph"/>
        <w:keepLines/>
        <w:numPr>
          <w:ilvl w:val="0"/>
          <w:numId w:val="90"/>
        </w:numPr>
        <w:spacing w:after="0" w:line="240" w:lineRule="auto"/>
        <w:rPr>
          <w:rFonts w:ascii="Arial" w:eastAsia="Times New Roman" w:hAnsi="Arial" w:cs="Times New Roman"/>
          <w:sz w:val="16"/>
          <w:szCs w:val="16"/>
          <w:lang w:val="en-AU"/>
        </w:rPr>
      </w:pPr>
      <w:r w:rsidRPr="005D7EC6">
        <w:rPr>
          <w:rFonts w:ascii="Arial" w:eastAsia="Times New Roman" w:hAnsi="Arial" w:cs="Times New Roman"/>
          <w:sz w:val="16"/>
          <w:szCs w:val="16"/>
          <w:lang w:val="en-AU"/>
        </w:rPr>
        <w:t xml:space="preserve">Expenses not </w:t>
      </w:r>
      <w:r>
        <w:rPr>
          <w:rFonts w:ascii="Arial" w:eastAsia="Times New Roman" w:hAnsi="Arial" w:cs="Times New Roman"/>
          <w:sz w:val="16"/>
          <w:szCs w:val="16"/>
          <w:lang w:val="en-AU"/>
        </w:rPr>
        <w:t>requiring appropriation in the B</w:t>
      </w:r>
      <w:r w:rsidRPr="005D7EC6">
        <w:rPr>
          <w:rFonts w:ascii="Arial" w:eastAsia="Times New Roman" w:hAnsi="Arial" w:cs="Times New Roman"/>
          <w:sz w:val="16"/>
          <w:szCs w:val="16"/>
          <w:lang w:val="en-AU"/>
        </w:rPr>
        <w:t>udget year are non-cash charges in relation to concessional loans, write-down and impairment of assets, depreciation and amortisation and a share of net loss from associates accounted for under the equity method.</w:t>
      </w:r>
    </w:p>
    <w:p w:rsidR="00330855" w:rsidRPr="005D7EC6" w:rsidRDefault="00BA7A7F" w:rsidP="005D7EC6">
      <w:pPr>
        <w:spacing w:after="0" w:line="240" w:lineRule="auto"/>
        <w:rPr>
          <w:rFonts w:ascii="Arial" w:hAnsi="Arial"/>
          <w:sz w:val="16"/>
          <w:szCs w:val="16"/>
          <w:lang w:eastAsia="en-US"/>
        </w:rPr>
      </w:pPr>
      <w:r w:rsidRPr="005D7EC6">
        <w:rPr>
          <w:rFonts w:ascii="Arial" w:hAnsi="Arial"/>
          <w:sz w:val="16"/>
          <w:szCs w:val="16"/>
          <w:lang w:eastAsia="en-US"/>
        </w:rPr>
        <w:t>Note: Departmental appropriation splits and totals are indicative estimates and may change in the course of the budget year as government priorities change.</w:t>
      </w:r>
    </w:p>
    <w:p w:rsidR="00D86095" w:rsidRDefault="00BA7A7F" w:rsidP="006A3818">
      <w:pPr>
        <w:pStyle w:val="TableHeading"/>
        <w:keepLines/>
        <w:pageBreakBefore/>
      </w:pPr>
      <w:bookmarkStart w:id="919" w:name="RG_MARKER_12232"/>
      <w:r w:rsidRPr="002E3447">
        <w:t>Table 2.1</w:t>
      </w:r>
      <w:bookmarkEnd w:id="919"/>
      <w:r>
        <w:t>.2</w:t>
      </w:r>
      <w:r w:rsidRPr="002E3447">
        <w:t xml:space="preserve">: </w:t>
      </w:r>
      <w:r>
        <w:t xml:space="preserve">Performance measure for </w:t>
      </w:r>
      <w:r w:rsidRPr="002E3447">
        <w:t>Outcome 1</w:t>
      </w:r>
    </w:p>
    <w:p w:rsidR="00091719" w:rsidRDefault="00BA7A7F" w:rsidP="00091719">
      <w:r>
        <w:t xml:space="preserve">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53274" w:rsidTr="008A30D1">
        <w:trPr>
          <w:trHeight w:val="569"/>
          <w:tblHead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091719" w:rsidRPr="00E55FFD" w:rsidRDefault="00BA7A7F" w:rsidP="00E55FFD">
            <w:pPr>
              <w:pStyle w:val="TableColumnHeadingLeft"/>
              <w:keepLines/>
            </w:pPr>
            <w:r w:rsidRPr="00E55FFD">
              <w:rPr>
                <w:rStyle w:val="TableHeadingChar"/>
                <w:b/>
                <w:color w:val="000000"/>
              </w:rPr>
              <w:t>Outcome 1</w:t>
            </w:r>
            <w:r w:rsidRPr="00E55FFD">
              <w:rPr>
                <w:color w:val="000000"/>
                <w:lang w:val="x-none"/>
              </w:rPr>
              <w:t xml:space="preserve"> </w:t>
            </w:r>
            <w:r w:rsidRPr="00E55FFD">
              <w:rPr>
                <w:color w:val="000000"/>
              </w:rPr>
              <w:t xml:space="preserve">– </w:t>
            </w:r>
            <w:r w:rsidRPr="00E55FFD">
              <w:rPr>
                <w:rFonts w:eastAsia="Calibri"/>
                <w:color w:val="000000"/>
                <w:lang w:eastAsia="en-US"/>
              </w:rPr>
              <w:t>Contribute to a reduction in Australia's net greenhouse gas emissions, including through the administration of market based mechanisms that incentivise reduction in emissions and the promotion of additional r</w:t>
            </w:r>
            <w:r>
              <w:rPr>
                <w:rFonts w:eastAsia="Calibri"/>
                <w:color w:val="000000"/>
                <w:lang w:eastAsia="en-US"/>
              </w:rPr>
              <w:t>enewable electricity generation</w:t>
            </w:r>
          </w:p>
        </w:tc>
      </w:tr>
      <w:tr w:rsidR="00253274" w:rsidTr="008A30D1">
        <w:trPr>
          <w:trHeight w:val="522"/>
          <w:tblHead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F70E1E" w:rsidRDefault="00BA7A7F">
            <w:pPr>
              <w:pStyle w:val="TableTextLeft"/>
              <w:rPr>
                <w:rFonts w:eastAsia="Calibri"/>
                <w:b/>
              </w:rPr>
            </w:pPr>
            <w:r>
              <w:rPr>
                <w:rFonts w:eastAsia="Calibri"/>
                <w:b/>
              </w:rPr>
              <w:t>Program 1.1</w:t>
            </w:r>
          </w:p>
          <w:p w:rsidR="00091719" w:rsidRDefault="00BA7A7F">
            <w:pPr>
              <w:pStyle w:val="TableTextLeft"/>
              <w:rPr>
                <w:rFonts w:eastAsia="Calibri"/>
              </w:rPr>
            </w:pPr>
            <w:r>
              <w:rPr>
                <w:rFonts w:eastAsia="Calibri"/>
                <w:sz w:val="16"/>
                <w:szCs w:val="16"/>
              </w:rPr>
              <w:t>Effective and efficient regulation of greenhouse and energy reporting and market based schemes that contribute to a reduction in Australia’s net greenhouse gas emissions and promote investment in renewable energy.</w:t>
            </w:r>
          </w:p>
        </w:tc>
      </w:tr>
      <w:tr w:rsidR="00253274" w:rsidTr="008A30D1">
        <w:trPr>
          <w:trHeight w:val="341"/>
        </w:trPr>
        <w:tc>
          <w:tcPr>
            <w:tcW w:w="1560" w:type="dxa"/>
            <w:tcBorders>
              <w:top w:val="single" w:sz="4" w:space="0" w:color="auto"/>
              <w:left w:val="single" w:sz="4" w:space="0" w:color="auto"/>
              <w:bottom w:val="double" w:sz="4" w:space="0" w:color="auto"/>
              <w:right w:val="single" w:sz="4" w:space="0" w:color="auto"/>
            </w:tcBorders>
            <w:hideMark/>
          </w:tcPr>
          <w:p w:rsidR="00091719" w:rsidRDefault="00BA7A7F" w:rsidP="00F70E1E">
            <w:pPr>
              <w:tabs>
                <w:tab w:val="left" w:pos="709"/>
              </w:tabs>
              <w:spacing w:before="60" w:after="60" w:line="240" w:lineRule="auto"/>
              <w:rPr>
                <w:rFonts w:ascii="Arial" w:hAnsi="Arial" w:cs="Arial"/>
                <w:b/>
                <w:sz w:val="16"/>
                <w:szCs w:val="16"/>
              </w:rPr>
            </w:pPr>
            <w:r>
              <w:rPr>
                <w:rFonts w:ascii="Arial" w:hAnsi="Arial" w:cs="Arial"/>
                <w:b/>
                <w:sz w:val="16"/>
                <w:szCs w:val="16"/>
              </w:rPr>
              <w:t>Key Activities (a)</w:t>
            </w:r>
          </w:p>
        </w:tc>
        <w:tc>
          <w:tcPr>
            <w:tcW w:w="6236" w:type="dxa"/>
            <w:gridSpan w:val="2"/>
            <w:tcBorders>
              <w:top w:val="single" w:sz="4" w:space="0" w:color="auto"/>
              <w:left w:val="single" w:sz="4" w:space="0" w:color="auto"/>
              <w:bottom w:val="double" w:sz="4" w:space="0" w:color="auto"/>
              <w:right w:val="single" w:sz="4" w:space="0" w:color="auto"/>
            </w:tcBorders>
            <w:hideMark/>
          </w:tcPr>
          <w:p w:rsidR="00091719" w:rsidRDefault="00BA7A7F" w:rsidP="00F70E1E">
            <w:pPr>
              <w:tabs>
                <w:tab w:val="left" w:pos="709"/>
              </w:tabs>
              <w:spacing w:before="60" w:after="60" w:line="240" w:lineRule="auto"/>
              <w:rPr>
                <w:rFonts w:ascii="Arial" w:hAnsi="Arial" w:cs="Arial"/>
                <w:bCs/>
                <w:sz w:val="16"/>
                <w:szCs w:val="16"/>
              </w:rPr>
            </w:pPr>
            <w:r>
              <w:rPr>
                <w:rFonts w:ascii="Arial" w:hAnsi="Arial" w:cs="Arial"/>
                <w:bCs/>
                <w:sz w:val="16"/>
                <w:szCs w:val="16"/>
              </w:rPr>
              <w:t>Key activities reported in the current corporate plan that relate to this program.</w:t>
            </w:r>
          </w:p>
        </w:tc>
      </w:tr>
      <w:tr w:rsidR="00253274" w:rsidTr="008A30D1">
        <w:trPr>
          <w:trHeight w:val="288"/>
        </w:trPr>
        <w:tc>
          <w:tcPr>
            <w:tcW w:w="1560" w:type="dxa"/>
            <w:tcBorders>
              <w:top w:val="double" w:sz="4" w:space="0" w:color="auto"/>
              <w:left w:val="single" w:sz="4" w:space="0" w:color="auto"/>
              <w:bottom w:val="single" w:sz="4" w:space="0" w:color="auto"/>
              <w:right w:val="single" w:sz="4" w:space="0" w:color="auto"/>
            </w:tcBorders>
          </w:tcPr>
          <w:p w:rsidR="00091719" w:rsidRDefault="00BA7A7F">
            <w:pPr>
              <w:pStyle w:val="TableTextBase"/>
              <w:rPr>
                <w:rFonts w:eastAsia="Calibri"/>
                <w:b/>
                <w:sz w:val="16"/>
                <w:szCs w:val="16"/>
              </w:rPr>
            </w:pPr>
            <w:r>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091719" w:rsidRDefault="00BA7A7F">
            <w:pPr>
              <w:pStyle w:val="TableTextBase"/>
              <w:rPr>
                <w:rFonts w:eastAsia="Calibri"/>
                <w:b/>
                <w:sz w:val="16"/>
                <w:szCs w:val="16"/>
              </w:rPr>
            </w:pPr>
            <w:r>
              <w:rPr>
                <w:rFonts w:eastAsia="Calibri"/>
                <w:b/>
                <w:sz w:val="16"/>
                <w:szCs w:val="16"/>
              </w:rPr>
              <w:t>Performance measures (b)</w:t>
            </w:r>
          </w:p>
        </w:tc>
        <w:tc>
          <w:tcPr>
            <w:tcW w:w="3118" w:type="dxa"/>
            <w:tcBorders>
              <w:top w:val="double" w:sz="4" w:space="0" w:color="auto"/>
              <w:left w:val="single" w:sz="4" w:space="0" w:color="auto"/>
              <w:bottom w:val="single" w:sz="4" w:space="0" w:color="auto"/>
              <w:right w:val="single" w:sz="4" w:space="0" w:color="auto"/>
            </w:tcBorders>
            <w:hideMark/>
          </w:tcPr>
          <w:p w:rsidR="00091719" w:rsidRDefault="00BA7A7F">
            <w:pPr>
              <w:pStyle w:val="TableTextBase"/>
              <w:rPr>
                <w:rFonts w:eastAsia="Calibri"/>
                <w:b/>
                <w:sz w:val="16"/>
                <w:szCs w:val="16"/>
              </w:rPr>
            </w:pPr>
            <w:r>
              <w:rPr>
                <w:rFonts w:eastAsia="Calibri"/>
                <w:b/>
                <w:sz w:val="16"/>
                <w:szCs w:val="16"/>
              </w:rPr>
              <w:t>Expected Performance Results</w:t>
            </w:r>
          </w:p>
        </w:tc>
      </w:tr>
      <w:tr w:rsidR="00253274" w:rsidTr="008A30D1">
        <w:trPr>
          <w:trHeight w:val="642"/>
        </w:trPr>
        <w:tc>
          <w:tcPr>
            <w:tcW w:w="1560" w:type="dxa"/>
            <w:vMerge w:val="restart"/>
            <w:tcBorders>
              <w:top w:val="single" w:sz="4" w:space="0" w:color="auto"/>
              <w:left w:val="single" w:sz="4" w:space="0" w:color="auto"/>
              <w:bottom w:val="dotted" w:sz="4" w:space="0" w:color="auto"/>
              <w:right w:val="single" w:sz="4" w:space="0" w:color="auto"/>
            </w:tcBorders>
          </w:tcPr>
          <w:p w:rsidR="00091719" w:rsidRDefault="00BA7A7F">
            <w:pPr>
              <w:pStyle w:val="TableTextBase"/>
              <w:rPr>
                <w:rFonts w:eastAsia="Calibri"/>
                <w:sz w:val="16"/>
                <w:szCs w:val="16"/>
              </w:rPr>
            </w:pPr>
            <w:r>
              <w:rPr>
                <w:rFonts w:eastAsia="Calibri"/>
                <w:sz w:val="16"/>
                <w:szCs w:val="16"/>
              </w:rPr>
              <w:t xml:space="preserve">Current year </w:t>
            </w:r>
          </w:p>
          <w:p w:rsidR="00091719" w:rsidRDefault="00BA7A7F">
            <w:pPr>
              <w:pStyle w:val="TableTextBase"/>
              <w:rPr>
                <w:rFonts w:eastAsia="Calibri"/>
                <w:sz w:val="16"/>
                <w:szCs w:val="16"/>
              </w:rPr>
            </w:pPr>
            <w:r>
              <w:rPr>
                <w:rFonts w:eastAsia="Calibri"/>
                <w:sz w:val="16"/>
                <w:szCs w:val="16"/>
              </w:rPr>
              <w:t>2021-22</w:t>
            </w:r>
          </w:p>
        </w:tc>
        <w:tc>
          <w:tcPr>
            <w:tcW w:w="3118" w:type="dxa"/>
            <w:tcBorders>
              <w:top w:val="single" w:sz="4" w:space="0" w:color="auto"/>
              <w:left w:val="single" w:sz="4" w:space="0" w:color="auto"/>
              <w:bottom w:val="single" w:sz="4" w:space="0" w:color="auto"/>
              <w:right w:val="single" w:sz="4" w:space="0" w:color="auto"/>
            </w:tcBorders>
          </w:tcPr>
          <w:p w:rsidR="00091719" w:rsidRDefault="00BA7A7F" w:rsidP="00E55FFD">
            <w:pPr>
              <w:tabs>
                <w:tab w:val="left" w:pos="709"/>
              </w:tabs>
              <w:spacing w:before="60" w:after="60" w:line="240" w:lineRule="auto"/>
              <w:jc w:val="left"/>
              <w:rPr>
                <w:rFonts w:ascii="Arial" w:eastAsia="Calibri" w:hAnsi="Arial" w:cs="Arial"/>
                <w:sz w:val="16"/>
                <w:szCs w:val="16"/>
              </w:rPr>
            </w:pPr>
            <w:r>
              <w:rPr>
                <w:rFonts w:ascii="Arial" w:eastAsia="Calibri" w:hAnsi="Arial" w:cs="Arial"/>
                <w:sz w:val="16"/>
                <w:szCs w:val="16"/>
              </w:rPr>
              <w:t>Proportion of contracted carbon abatement delivered.</w:t>
            </w:r>
          </w:p>
          <w:p w:rsidR="00091719" w:rsidRDefault="00091719" w:rsidP="00E55FFD">
            <w:pPr>
              <w:pStyle w:val="TableTextBase"/>
              <w:rPr>
                <w:rFonts w:eastAsia="Times New Roman"/>
                <w:i/>
                <w:color w:val="0070C0"/>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091719" w:rsidRDefault="00BA7A7F">
            <w:pPr>
              <w:tabs>
                <w:tab w:val="left" w:pos="709"/>
              </w:tabs>
              <w:spacing w:before="60" w:after="60" w:line="240" w:lineRule="auto"/>
              <w:jc w:val="left"/>
              <w:rPr>
                <w:rFonts w:ascii="Arial" w:eastAsia="Calibri" w:hAnsi="Arial" w:cs="Arial"/>
                <w:sz w:val="16"/>
                <w:szCs w:val="16"/>
              </w:rPr>
            </w:pPr>
            <w:r>
              <w:rPr>
                <w:rFonts w:ascii="Arial" w:eastAsia="Calibri" w:hAnsi="Arial" w:cs="Arial"/>
                <w:sz w:val="16"/>
                <w:szCs w:val="16"/>
              </w:rPr>
              <w:t>On track.</w:t>
            </w:r>
          </w:p>
          <w:p w:rsidR="00091719" w:rsidRDefault="00BA7A7F">
            <w:pPr>
              <w:pStyle w:val="TableTextBase"/>
              <w:rPr>
                <w:rFonts w:eastAsia="Times New Roman" w:cs="Times New Roman"/>
                <w:i/>
                <w:color w:val="0070C0"/>
                <w:sz w:val="16"/>
                <w:szCs w:val="16"/>
              </w:rPr>
            </w:pPr>
            <w:r>
              <w:rPr>
                <w:rFonts w:eastAsia="Calibri"/>
                <w:b/>
                <w:sz w:val="16"/>
                <w:szCs w:val="16"/>
              </w:rPr>
              <w:t xml:space="preserve">Against a target of: </w:t>
            </w:r>
            <w:r>
              <w:rPr>
                <w:rFonts w:eastAsia="Calibri"/>
                <w:sz w:val="16"/>
                <w:szCs w:val="16"/>
              </w:rPr>
              <w:t>90% of contracted carbon abatement with fixed delivery contracts is delivered on time.</w:t>
            </w:r>
          </w:p>
        </w:tc>
      </w:tr>
      <w:tr w:rsidR="00253274" w:rsidTr="008A30D1">
        <w:trPr>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rsidR="00091719" w:rsidRDefault="00091719">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rsidR="00091719" w:rsidRDefault="00BA7A7F" w:rsidP="00E55FFD">
            <w:pPr>
              <w:tabs>
                <w:tab w:val="left" w:pos="709"/>
              </w:tabs>
              <w:spacing w:before="60" w:after="60" w:line="240" w:lineRule="auto"/>
              <w:jc w:val="left"/>
              <w:rPr>
                <w:rFonts w:ascii="Arial" w:eastAsia="Calibri" w:hAnsi="Arial" w:cs="Arial"/>
                <w:sz w:val="16"/>
                <w:szCs w:val="16"/>
              </w:rPr>
            </w:pPr>
            <w:r>
              <w:rPr>
                <w:rFonts w:ascii="Arial" w:eastAsia="Calibri" w:hAnsi="Arial" w:cs="Arial"/>
                <w:sz w:val="16"/>
                <w:szCs w:val="16"/>
              </w:rPr>
              <w:t>Compliance levels by regulated and liable entities.</w:t>
            </w:r>
          </w:p>
          <w:p w:rsidR="00091719" w:rsidRDefault="00091719" w:rsidP="00E55FFD">
            <w:pPr>
              <w:tabs>
                <w:tab w:val="left" w:pos="709"/>
              </w:tabs>
              <w:spacing w:before="60" w:after="60" w:line="240" w:lineRule="auto"/>
              <w:jc w:val="left"/>
              <w:rPr>
                <w:rFonts w:ascii="Arial" w:eastAsia="Calibri"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091719" w:rsidRDefault="00BA7A7F">
            <w:pPr>
              <w:tabs>
                <w:tab w:val="left" w:pos="709"/>
              </w:tabs>
              <w:spacing w:before="60" w:after="60" w:line="240" w:lineRule="auto"/>
              <w:jc w:val="left"/>
              <w:rPr>
                <w:rFonts w:ascii="Arial" w:eastAsia="Calibri" w:hAnsi="Arial" w:cs="Arial"/>
                <w:sz w:val="16"/>
                <w:szCs w:val="16"/>
              </w:rPr>
            </w:pPr>
            <w:r>
              <w:rPr>
                <w:rFonts w:ascii="Arial" w:eastAsia="Calibri" w:hAnsi="Arial" w:cs="Arial"/>
                <w:sz w:val="16"/>
                <w:szCs w:val="16"/>
              </w:rPr>
              <w:t>On track.</w:t>
            </w:r>
          </w:p>
          <w:p w:rsidR="00091719" w:rsidRDefault="00BA7A7F">
            <w:pPr>
              <w:tabs>
                <w:tab w:val="left" w:pos="709"/>
              </w:tabs>
              <w:spacing w:before="60" w:after="60" w:line="240" w:lineRule="auto"/>
              <w:jc w:val="left"/>
              <w:rPr>
                <w:rFonts w:ascii="Arial" w:eastAsia="Calibri" w:hAnsi="Arial" w:cs="Arial"/>
                <w:sz w:val="16"/>
                <w:szCs w:val="16"/>
              </w:rPr>
            </w:pPr>
            <w:r>
              <w:rPr>
                <w:rFonts w:ascii="Arial" w:eastAsia="Calibri" w:hAnsi="Arial" w:cs="Arial"/>
                <w:b/>
                <w:sz w:val="16"/>
                <w:szCs w:val="16"/>
              </w:rPr>
              <w:t>Against a target of:</w:t>
            </w:r>
            <w:r>
              <w:rPr>
                <w:rFonts w:ascii="Arial" w:eastAsia="Calibri" w:hAnsi="Arial" w:cs="Arial"/>
                <w:sz w:val="16"/>
                <w:szCs w:val="16"/>
              </w:rPr>
              <w:t xml:space="preserve"> ≥ 95% of regulated and liable entities are materially compliant with their statutory obligations.</w:t>
            </w:r>
          </w:p>
        </w:tc>
      </w:tr>
      <w:tr w:rsidR="00253274" w:rsidTr="008A30D1">
        <w:trPr>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rsidR="00091719" w:rsidRDefault="00091719">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091719" w:rsidRDefault="00BA7A7F" w:rsidP="00E55FFD">
            <w:pPr>
              <w:tabs>
                <w:tab w:val="left" w:pos="709"/>
              </w:tabs>
              <w:spacing w:before="60" w:after="60" w:line="240" w:lineRule="auto"/>
              <w:jc w:val="left"/>
              <w:rPr>
                <w:rFonts w:ascii="Arial" w:eastAsia="Calibri" w:hAnsi="Arial" w:cs="Arial"/>
                <w:sz w:val="16"/>
                <w:szCs w:val="16"/>
              </w:rPr>
            </w:pPr>
            <w:r>
              <w:rPr>
                <w:rFonts w:ascii="Arial" w:eastAsia="Calibri" w:hAnsi="Arial" w:cs="Arial"/>
                <w:sz w:val="16"/>
                <w:szCs w:val="16"/>
              </w:rPr>
              <w:t>Development of new methods for the Emissions Reduction Fund.</w:t>
            </w:r>
          </w:p>
        </w:tc>
        <w:tc>
          <w:tcPr>
            <w:tcW w:w="3118" w:type="dxa"/>
            <w:tcBorders>
              <w:top w:val="single" w:sz="4" w:space="0" w:color="auto"/>
              <w:left w:val="single" w:sz="4" w:space="0" w:color="auto"/>
              <w:bottom w:val="dotted" w:sz="4" w:space="0" w:color="auto"/>
              <w:right w:val="single" w:sz="4" w:space="0" w:color="auto"/>
            </w:tcBorders>
            <w:hideMark/>
          </w:tcPr>
          <w:p w:rsidR="00091719" w:rsidRDefault="00BA7A7F">
            <w:pPr>
              <w:tabs>
                <w:tab w:val="left" w:pos="709"/>
              </w:tabs>
              <w:spacing w:before="60" w:after="60" w:line="240" w:lineRule="auto"/>
              <w:jc w:val="left"/>
              <w:rPr>
                <w:rFonts w:ascii="Arial" w:eastAsia="Calibri" w:hAnsi="Arial" w:cs="Arial"/>
                <w:sz w:val="16"/>
                <w:szCs w:val="16"/>
              </w:rPr>
            </w:pPr>
            <w:r>
              <w:rPr>
                <w:rFonts w:ascii="Arial" w:eastAsia="Calibri" w:hAnsi="Arial" w:cs="Arial"/>
                <w:sz w:val="16"/>
                <w:szCs w:val="16"/>
              </w:rPr>
              <w:t>On track.</w:t>
            </w:r>
          </w:p>
          <w:p w:rsidR="00091719" w:rsidRDefault="00BA7A7F">
            <w:pPr>
              <w:tabs>
                <w:tab w:val="left" w:pos="709"/>
              </w:tabs>
              <w:spacing w:before="60" w:after="60" w:line="240" w:lineRule="auto"/>
              <w:jc w:val="left"/>
              <w:rPr>
                <w:rFonts w:ascii="Arial" w:eastAsia="Calibri" w:hAnsi="Arial" w:cs="Arial"/>
                <w:sz w:val="16"/>
                <w:szCs w:val="16"/>
              </w:rPr>
            </w:pPr>
            <w:r>
              <w:rPr>
                <w:rFonts w:ascii="Arial" w:eastAsia="Calibri" w:hAnsi="Arial" w:cs="Arial"/>
                <w:b/>
                <w:sz w:val="16"/>
                <w:szCs w:val="16"/>
              </w:rPr>
              <w:t>Against a target of:</w:t>
            </w:r>
            <w:r>
              <w:rPr>
                <w:rFonts w:ascii="Arial" w:eastAsia="Calibri" w:hAnsi="Arial" w:cs="Arial"/>
                <w:sz w:val="16"/>
                <w:szCs w:val="16"/>
              </w:rPr>
              <w:t xml:space="preserve"> Methods are to be developed within 12 months.</w:t>
            </w:r>
          </w:p>
        </w:tc>
      </w:tr>
      <w:tr w:rsidR="00253274" w:rsidTr="008A30D1">
        <w:trPr>
          <w:trHeight w:val="80"/>
        </w:trPr>
        <w:tc>
          <w:tcPr>
            <w:tcW w:w="1560" w:type="dxa"/>
            <w:tcBorders>
              <w:top w:val="single" w:sz="4" w:space="0" w:color="auto"/>
              <w:left w:val="single" w:sz="4" w:space="0" w:color="auto"/>
              <w:bottom w:val="dotted" w:sz="4" w:space="0" w:color="auto"/>
              <w:right w:val="single" w:sz="4" w:space="0" w:color="auto"/>
            </w:tcBorders>
          </w:tcPr>
          <w:p w:rsidR="00091719" w:rsidRPr="00F70E1E" w:rsidRDefault="00BA7A7F">
            <w:pPr>
              <w:pStyle w:val="TableTextBase"/>
              <w:rPr>
                <w:rFonts w:eastAsia="Times New Roman"/>
                <w:b/>
                <w:sz w:val="16"/>
                <w:szCs w:val="16"/>
              </w:rPr>
            </w:pPr>
            <w:r>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091719" w:rsidRDefault="00BA7A7F">
            <w:pPr>
              <w:pStyle w:val="TableTextBase"/>
              <w:rPr>
                <w:rFonts w:eastAsia="Calibri"/>
                <w:b/>
                <w:sz w:val="16"/>
                <w:szCs w:val="16"/>
              </w:rPr>
            </w:pPr>
            <w:r>
              <w:rPr>
                <w:rFonts w:eastAsia="Calibri"/>
                <w:b/>
                <w:sz w:val="16"/>
                <w:szCs w:val="16"/>
              </w:rPr>
              <w:t>Performance measures (b)</w:t>
            </w:r>
          </w:p>
        </w:tc>
        <w:tc>
          <w:tcPr>
            <w:tcW w:w="3118" w:type="dxa"/>
            <w:tcBorders>
              <w:top w:val="single" w:sz="4" w:space="0" w:color="auto"/>
              <w:left w:val="single" w:sz="4" w:space="0" w:color="auto"/>
              <w:bottom w:val="dotted" w:sz="4" w:space="0" w:color="auto"/>
              <w:right w:val="single" w:sz="4" w:space="0" w:color="auto"/>
            </w:tcBorders>
            <w:hideMark/>
          </w:tcPr>
          <w:p w:rsidR="00091719" w:rsidRDefault="00BA7A7F">
            <w:pPr>
              <w:pStyle w:val="TableTextBase"/>
              <w:rPr>
                <w:rFonts w:eastAsia="Calibri"/>
                <w:b/>
                <w:sz w:val="16"/>
                <w:szCs w:val="16"/>
              </w:rPr>
            </w:pPr>
            <w:r>
              <w:rPr>
                <w:rFonts w:eastAsia="Calibri"/>
                <w:b/>
                <w:sz w:val="16"/>
                <w:szCs w:val="16"/>
              </w:rPr>
              <w:t>Planned Performance Results</w:t>
            </w:r>
          </w:p>
        </w:tc>
      </w:tr>
      <w:tr w:rsidR="00253274" w:rsidTr="008A30D1">
        <w:trPr>
          <w:trHeight w:val="100"/>
        </w:trPr>
        <w:tc>
          <w:tcPr>
            <w:tcW w:w="1560" w:type="dxa"/>
            <w:vMerge w:val="restart"/>
            <w:tcBorders>
              <w:top w:val="single" w:sz="4" w:space="0" w:color="auto"/>
              <w:left w:val="single" w:sz="4" w:space="0" w:color="auto"/>
              <w:bottom w:val="dotted" w:sz="4" w:space="0" w:color="auto"/>
              <w:right w:val="single" w:sz="4" w:space="0" w:color="auto"/>
            </w:tcBorders>
            <w:hideMark/>
          </w:tcPr>
          <w:p w:rsidR="00091719" w:rsidRPr="00DF6632" w:rsidRDefault="00BA7A7F">
            <w:pPr>
              <w:pStyle w:val="TableTextBase"/>
              <w:rPr>
                <w:rFonts w:eastAsia="Calibri"/>
                <w:sz w:val="16"/>
                <w:szCs w:val="16"/>
              </w:rPr>
            </w:pPr>
            <w:r w:rsidRPr="00DF6632">
              <w:rPr>
                <w:rFonts w:eastAsia="Calibri"/>
                <w:sz w:val="16"/>
                <w:szCs w:val="16"/>
              </w:rPr>
              <w:t>Budget Year     2022-23</w:t>
            </w:r>
          </w:p>
        </w:tc>
        <w:tc>
          <w:tcPr>
            <w:tcW w:w="3118" w:type="dxa"/>
            <w:tcBorders>
              <w:top w:val="single" w:sz="4" w:space="0" w:color="auto"/>
              <w:left w:val="single" w:sz="4" w:space="0" w:color="auto"/>
              <w:bottom w:val="single" w:sz="4" w:space="0" w:color="auto"/>
              <w:right w:val="single" w:sz="4" w:space="0" w:color="auto"/>
            </w:tcBorders>
            <w:hideMark/>
          </w:tcPr>
          <w:p w:rsidR="00091719" w:rsidRDefault="00BA7A7F">
            <w:pPr>
              <w:pStyle w:val="TableTextBase"/>
              <w:rPr>
                <w:rFonts w:eastAsia="Calibri" w:cs="Times New Roman"/>
                <w:i/>
                <w:color w:val="0070C0"/>
              </w:rPr>
            </w:pPr>
            <w:r>
              <w:rPr>
                <w:rFonts w:eastAsia="Calibri"/>
                <w:sz w:val="16"/>
                <w:szCs w:val="16"/>
              </w:rPr>
              <w:t>Proportion of contracted carbon abatement delivered.</w:t>
            </w:r>
          </w:p>
        </w:tc>
        <w:tc>
          <w:tcPr>
            <w:tcW w:w="3118" w:type="dxa"/>
            <w:tcBorders>
              <w:top w:val="single" w:sz="4" w:space="0" w:color="auto"/>
              <w:left w:val="single" w:sz="4" w:space="0" w:color="auto"/>
              <w:bottom w:val="single" w:sz="4" w:space="0" w:color="auto"/>
              <w:right w:val="single" w:sz="4" w:space="0" w:color="auto"/>
            </w:tcBorders>
            <w:hideMark/>
          </w:tcPr>
          <w:p w:rsidR="00091719" w:rsidRDefault="00BA7A7F">
            <w:pPr>
              <w:pStyle w:val="TableTextBase"/>
              <w:rPr>
                <w:rFonts w:eastAsia="Calibri"/>
                <w:i/>
                <w:color w:val="0070C0"/>
              </w:rPr>
            </w:pPr>
            <w:r>
              <w:rPr>
                <w:rFonts w:eastAsia="Calibri"/>
                <w:sz w:val="16"/>
                <w:szCs w:val="16"/>
              </w:rPr>
              <w:t>90% of contracted carbon abatement with fixed delivery contracts is delivered on time.</w:t>
            </w:r>
          </w:p>
        </w:tc>
      </w:tr>
      <w:tr w:rsidR="00253274" w:rsidTr="008A30D1">
        <w:trPr>
          <w:trHeight w:val="100"/>
        </w:trPr>
        <w:tc>
          <w:tcPr>
            <w:tcW w:w="0" w:type="auto"/>
            <w:vMerge/>
            <w:tcBorders>
              <w:top w:val="single" w:sz="4" w:space="0" w:color="auto"/>
              <w:left w:val="single" w:sz="4" w:space="0" w:color="auto"/>
              <w:bottom w:val="dotted" w:sz="4" w:space="0" w:color="auto"/>
              <w:right w:val="single" w:sz="4" w:space="0" w:color="auto"/>
            </w:tcBorders>
            <w:vAlign w:val="center"/>
            <w:hideMark/>
          </w:tcPr>
          <w:p w:rsidR="00091719" w:rsidRPr="00DF6632" w:rsidRDefault="00091719" w:rsidP="00DF6632">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091719" w:rsidRDefault="00BA7A7F">
            <w:pPr>
              <w:pStyle w:val="TableTextBase"/>
              <w:rPr>
                <w:rFonts w:eastAsia="Calibri"/>
                <w:sz w:val="16"/>
                <w:szCs w:val="16"/>
              </w:rPr>
            </w:pPr>
            <w:r>
              <w:rPr>
                <w:rFonts w:eastAsia="Calibri"/>
                <w:sz w:val="16"/>
                <w:szCs w:val="16"/>
              </w:rPr>
              <w:t>Compliance levels by regulated and liable entities.</w:t>
            </w:r>
          </w:p>
        </w:tc>
        <w:tc>
          <w:tcPr>
            <w:tcW w:w="3118" w:type="dxa"/>
            <w:tcBorders>
              <w:top w:val="single" w:sz="4" w:space="0" w:color="auto"/>
              <w:left w:val="single" w:sz="4" w:space="0" w:color="auto"/>
              <w:bottom w:val="single" w:sz="4" w:space="0" w:color="auto"/>
              <w:right w:val="single" w:sz="4" w:space="0" w:color="auto"/>
            </w:tcBorders>
            <w:hideMark/>
          </w:tcPr>
          <w:p w:rsidR="00091719" w:rsidRDefault="00BA7A7F">
            <w:pPr>
              <w:pStyle w:val="TableTextBase"/>
              <w:rPr>
                <w:rFonts w:eastAsia="Calibri"/>
                <w:sz w:val="16"/>
                <w:szCs w:val="16"/>
              </w:rPr>
            </w:pPr>
            <w:r>
              <w:rPr>
                <w:rFonts w:eastAsia="Calibri"/>
                <w:sz w:val="16"/>
                <w:szCs w:val="16"/>
              </w:rPr>
              <w:t>≥ 95% of regulated and liable entities are materially compliant with their statutory obligations.</w:t>
            </w:r>
          </w:p>
        </w:tc>
      </w:tr>
      <w:tr w:rsidR="00253274" w:rsidTr="008A30D1">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1719" w:rsidRPr="00DF6632" w:rsidRDefault="00091719" w:rsidP="00DF6632">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091719" w:rsidRDefault="00BA7A7F">
            <w:pPr>
              <w:pStyle w:val="TableTextBase"/>
              <w:rPr>
                <w:rFonts w:eastAsia="Calibri"/>
                <w:sz w:val="16"/>
                <w:szCs w:val="16"/>
              </w:rPr>
            </w:pPr>
            <w:r>
              <w:rPr>
                <w:rFonts w:eastAsia="Calibri"/>
                <w:sz w:val="16"/>
                <w:szCs w:val="16"/>
              </w:rPr>
              <w:t>Development of new methods for the Emissions Reduction Fund.</w:t>
            </w:r>
          </w:p>
        </w:tc>
        <w:tc>
          <w:tcPr>
            <w:tcW w:w="3118" w:type="dxa"/>
            <w:tcBorders>
              <w:top w:val="single" w:sz="4" w:space="0" w:color="auto"/>
              <w:left w:val="single" w:sz="4" w:space="0" w:color="auto"/>
              <w:bottom w:val="single" w:sz="4" w:space="0" w:color="auto"/>
              <w:right w:val="single" w:sz="4" w:space="0" w:color="auto"/>
            </w:tcBorders>
            <w:hideMark/>
          </w:tcPr>
          <w:p w:rsidR="00091719" w:rsidRDefault="00BA7A7F">
            <w:pPr>
              <w:pStyle w:val="TableTextBase"/>
              <w:rPr>
                <w:rFonts w:eastAsia="Calibri"/>
                <w:sz w:val="16"/>
                <w:szCs w:val="16"/>
              </w:rPr>
            </w:pPr>
            <w:r>
              <w:rPr>
                <w:rFonts w:eastAsia="Calibri"/>
                <w:sz w:val="16"/>
                <w:szCs w:val="16"/>
              </w:rPr>
              <w:t>Methods are to be developed within 12 months.</w:t>
            </w:r>
          </w:p>
        </w:tc>
      </w:tr>
      <w:tr w:rsidR="00253274" w:rsidTr="008A30D1">
        <w:trPr>
          <w:trHeight w:val="491"/>
        </w:trPr>
        <w:tc>
          <w:tcPr>
            <w:tcW w:w="1560" w:type="dxa"/>
            <w:tcBorders>
              <w:top w:val="single" w:sz="4" w:space="0" w:color="auto"/>
              <w:left w:val="single" w:sz="4" w:space="0" w:color="auto"/>
              <w:bottom w:val="single" w:sz="4" w:space="0" w:color="auto"/>
              <w:right w:val="single" w:sz="4" w:space="0" w:color="auto"/>
            </w:tcBorders>
            <w:hideMark/>
          </w:tcPr>
          <w:p w:rsidR="00091719" w:rsidRPr="00DF6632" w:rsidRDefault="00BA7A7F">
            <w:pPr>
              <w:pStyle w:val="TableTextBase"/>
              <w:rPr>
                <w:rFonts w:eastAsia="Calibri"/>
                <w:sz w:val="16"/>
                <w:szCs w:val="16"/>
              </w:rPr>
            </w:pPr>
            <w:r w:rsidRPr="00DF6632">
              <w:rPr>
                <w:rFonts w:eastAsia="Calibri"/>
                <w:sz w:val="16"/>
                <w:szCs w:val="16"/>
              </w:rPr>
              <w:t xml:space="preserve">Forward Estimates </w:t>
            </w:r>
          </w:p>
          <w:p w:rsidR="00091719" w:rsidRPr="00DF6632" w:rsidRDefault="00BA7A7F">
            <w:pPr>
              <w:pStyle w:val="TableTextBase"/>
              <w:rPr>
                <w:rFonts w:eastAsia="Calibri"/>
                <w:sz w:val="16"/>
                <w:szCs w:val="16"/>
              </w:rPr>
            </w:pPr>
            <w:r w:rsidRPr="00DF6632">
              <w:rPr>
                <w:rFonts w:eastAsia="Calibri"/>
                <w:sz w:val="16"/>
                <w:szCs w:val="16"/>
              </w:rPr>
              <w:t>2023-26</w:t>
            </w:r>
          </w:p>
        </w:tc>
        <w:tc>
          <w:tcPr>
            <w:tcW w:w="3118" w:type="dxa"/>
            <w:tcBorders>
              <w:top w:val="single" w:sz="4" w:space="0" w:color="auto"/>
              <w:left w:val="single" w:sz="4" w:space="0" w:color="auto"/>
              <w:bottom w:val="single" w:sz="4" w:space="0" w:color="auto"/>
              <w:right w:val="single" w:sz="4" w:space="0" w:color="auto"/>
            </w:tcBorders>
            <w:hideMark/>
          </w:tcPr>
          <w:p w:rsidR="00091719" w:rsidRDefault="00BA7A7F">
            <w:pPr>
              <w:pStyle w:val="TableTextBase"/>
              <w:rPr>
                <w:rFonts w:eastAsia="Calibri"/>
                <w:b/>
                <w:iCs/>
                <w:color w:val="0070C0"/>
                <w:sz w:val="16"/>
                <w:szCs w:val="16"/>
              </w:rPr>
            </w:pPr>
            <w:r>
              <w:rPr>
                <w:rFonts w:eastAsia="Calibri"/>
                <w:iCs/>
                <w:sz w:val="16"/>
                <w:szCs w:val="16"/>
              </w:rPr>
              <w:t>As per 2022-23</w:t>
            </w:r>
          </w:p>
        </w:tc>
        <w:tc>
          <w:tcPr>
            <w:tcW w:w="3118" w:type="dxa"/>
            <w:tcBorders>
              <w:top w:val="single" w:sz="4" w:space="0" w:color="auto"/>
              <w:left w:val="single" w:sz="4" w:space="0" w:color="auto"/>
              <w:bottom w:val="single" w:sz="4" w:space="0" w:color="auto"/>
              <w:right w:val="single" w:sz="4" w:space="0" w:color="auto"/>
            </w:tcBorders>
            <w:hideMark/>
          </w:tcPr>
          <w:p w:rsidR="00091719" w:rsidRDefault="00BA7A7F">
            <w:pPr>
              <w:pStyle w:val="TableTextBase"/>
              <w:rPr>
                <w:rFonts w:eastAsia="Calibri" w:cs="Times New Roman"/>
                <w:b/>
                <w:color w:val="0070C0"/>
                <w:szCs w:val="20"/>
              </w:rPr>
            </w:pPr>
            <w:r>
              <w:rPr>
                <w:rFonts w:eastAsia="Calibri"/>
                <w:iCs/>
                <w:sz w:val="16"/>
                <w:szCs w:val="16"/>
              </w:rPr>
              <w:t>As per 2022-23</w:t>
            </w:r>
          </w:p>
        </w:tc>
      </w:tr>
      <w:tr w:rsidR="00253274" w:rsidTr="008A30D1">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8A30D1" w:rsidRPr="008A30D1" w:rsidRDefault="00BA7A7F" w:rsidP="008A30D1">
            <w:pPr>
              <w:pStyle w:val="TableTextBase"/>
              <w:rPr>
                <w:rFonts w:eastAsia="Calibri"/>
                <w:bCs/>
                <w:iCs/>
                <w:sz w:val="16"/>
                <w:lang w:val="x-none"/>
              </w:rPr>
            </w:pPr>
            <w:bookmarkStart w:id="920" w:name="_Hlk95399132"/>
            <w:bookmarkStart w:id="921" w:name="_Toc49345814"/>
            <w:r w:rsidRPr="008A30D1">
              <w:rPr>
                <w:rFonts w:eastAsia="Calibri"/>
                <w:sz w:val="16"/>
                <w:szCs w:val="16"/>
              </w:rPr>
              <w:t>Material</w:t>
            </w:r>
            <w:r w:rsidRPr="008A30D1">
              <w:rPr>
                <w:rFonts w:eastAsia="Calibri"/>
                <w:sz w:val="16"/>
              </w:rPr>
              <w:t xml:space="preserve"> changes to Program </w:t>
            </w:r>
            <w:r>
              <w:rPr>
                <w:rFonts w:eastAsia="Calibri"/>
                <w:sz w:val="16"/>
              </w:rPr>
              <w:t>1</w:t>
            </w:r>
            <w:r w:rsidRPr="008A30D1">
              <w:rPr>
                <w:rFonts w:eastAsia="Calibri"/>
                <w:sz w:val="16"/>
              </w:rPr>
              <w:t>.1 resulting from 2022-23 Budget Measures:</w:t>
            </w:r>
            <w:r w:rsidRPr="008A30D1">
              <w:rPr>
                <w:rFonts w:eastAsia="Times New Roman"/>
                <w:bCs/>
                <w:iCs/>
                <w:sz w:val="16"/>
              </w:rPr>
              <w:t xml:space="preserve"> Nil</w:t>
            </w:r>
          </w:p>
        </w:tc>
      </w:tr>
    </w:tbl>
    <w:p w:rsidR="002A6A97" w:rsidRDefault="00BA7A7F" w:rsidP="002A6A97">
      <w:pPr>
        <w:numPr>
          <w:ilvl w:val="0"/>
          <w:numId w:val="91"/>
        </w:numPr>
        <w:spacing w:after="0" w:line="240" w:lineRule="auto"/>
        <w:contextualSpacing/>
        <w:rPr>
          <w:rFonts w:ascii="Arial" w:hAnsi="Arial"/>
          <w:sz w:val="16"/>
          <w:szCs w:val="16"/>
        </w:rPr>
      </w:pPr>
      <w:r w:rsidRPr="002A6A97">
        <w:rPr>
          <w:rFonts w:ascii="Arial" w:hAnsi="Arial"/>
          <w:sz w:val="16"/>
          <w:szCs w:val="16"/>
        </w:rPr>
        <w:t>Refers to updated key activities that will be reflected in the 2022-23 Corporate Plan</w:t>
      </w:r>
      <w:r>
        <w:rPr>
          <w:rFonts w:ascii="Arial" w:hAnsi="Arial"/>
          <w:sz w:val="16"/>
          <w:szCs w:val="16"/>
        </w:rPr>
        <w:t>.</w:t>
      </w:r>
    </w:p>
    <w:p w:rsidR="002A6A97" w:rsidRDefault="00BA7A7F" w:rsidP="002A6A97">
      <w:pPr>
        <w:pStyle w:val="ListParagraph"/>
        <w:keepLines/>
        <w:numPr>
          <w:ilvl w:val="0"/>
          <w:numId w:val="91"/>
        </w:numPr>
        <w:spacing w:after="0" w:line="240" w:lineRule="auto"/>
        <w:rPr>
          <w:rFonts w:eastAsia="Times New Roman" w:cs="Times New Roman"/>
          <w:sz w:val="16"/>
          <w:szCs w:val="16"/>
          <w:lang w:val="en-AU"/>
        </w:rPr>
      </w:pPr>
      <w:r w:rsidRPr="002A6A97">
        <w:rPr>
          <w:rFonts w:ascii="Arial" w:eastAsia="Times New Roman" w:hAnsi="Arial" w:cs="Times New Roman"/>
          <w:sz w:val="16"/>
          <w:szCs w:val="16"/>
          <w:lang w:val="en-AU"/>
        </w:rPr>
        <w:t>Performance measures for Outcome 1 are derived from the key performance indicators identified in the Clean Energy Regulator Corporate Plan 2022-26</w:t>
      </w:r>
      <w:r>
        <w:rPr>
          <w:rFonts w:ascii="Arial" w:eastAsia="Times New Roman" w:hAnsi="Arial" w:cs="Times New Roman"/>
          <w:sz w:val="16"/>
          <w:szCs w:val="16"/>
          <w:lang w:val="en-AU"/>
        </w:rPr>
        <w:t>.</w:t>
      </w:r>
      <w:bookmarkEnd w:id="920"/>
      <w:bookmarkEnd w:id="921"/>
    </w:p>
    <w:p w:rsidR="007D76B1" w:rsidRPr="00A4438C" w:rsidRDefault="00BA7A7F" w:rsidP="007D76B1">
      <w:pPr>
        <w:pStyle w:val="Heading3"/>
        <w:pageBreakBefore/>
        <w:rPr>
          <w:smallCaps w:val="0"/>
          <w:sz w:val="22"/>
          <w:szCs w:val="22"/>
        </w:rPr>
      </w:pPr>
      <w:bookmarkStart w:id="922" w:name="RG_MARKER_12495"/>
      <w:bookmarkStart w:id="923" w:name="RG_MARKER_12496"/>
      <w:bookmarkStart w:id="924" w:name="_Toc210703215_10"/>
      <w:bookmarkStart w:id="925" w:name="_Toc210698433_10"/>
      <w:bookmarkStart w:id="926" w:name="_Toc210646454_10"/>
      <w:bookmarkStart w:id="927" w:name="_Toc112137901_10"/>
      <w:bookmarkStart w:id="928" w:name="_Toc112137879_10"/>
      <w:bookmarkStart w:id="929" w:name="_Toc112212061_10"/>
      <w:bookmarkStart w:id="930" w:name="_Toc112211967_10"/>
      <w:bookmarkStart w:id="931" w:name="_Toc79467820_10"/>
      <w:bookmarkStart w:id="932" w:name="_Toc79406118_10"/>
      <w:bookmarkStart w:id="933" w:name="_Toc77998689_10"/>
      <w:bookmarkStart w:id="934" w:name="_Toc23563437_10"/>
      <w:bookmarkStart w:id="935" w:name="_Toc23560143_10"/>
      <w:bookmarkStart w:id="936" w:name="_Toc23559675_10"/>
      <w:bookmarkStart w:id="937" w:name="_Toc23559388_10"/>
      <w:bookmarkStart w:id="938" w:name="_Toc23559354_10"/>
      <w:bookmarkStart w:id="939" w:name="_Toc491773296_10"/>
      <w:bookmarkStart w:id="940" w:name="_Toc491771721_10"/>
      <w:bookmarkStart w:id="941" w:name="_Toc491032329_10"/>
      <w:bookmarkStart w:id="942" w:name="_Toc491032222_10"/>
      <w:bookmarkStart w:id="943" w:name="_Toc491032114_10"/>
      <w:bookmarkStart w:id="944" w:name="_Toc491031941_10"/>
      <w:bookmarkStart w:id="945" w:name="_Toc491031354_10"/>
      <w:bookmarkStart w:id="946" w:name="_Toc491030791_10"/>
      <w:bookmarkStart w:id="947" w:name="_Toc491030332_10"/>
      <w:bookmarkStart w:id="948" w:name="_Toc491029243_10"/>
      <w:bookmarkStart w:id="949" w:name="_Toc491015099_10"/>
      <w:bookmarkStart w:id="950" w:name="_Toc491014952_10"/>
      <w:bookmarkStart w:id="951" w:name="_Toc491014772_10"/>
      <w:bookmarkStart w:id="952" w:name="_Toc491014630_10"/>
      <w:bookmarkStart w:id="953" w:name="_Toc490972410_10"/>
      <w:bookmarkStart w:id="954" w:name="_Toc449255766_10"/>
      <w:bookmarkStart w:id="955" w:name="_Toc436625446_10"/>
      <w:bookmarkStart w:id="956" w:name="_Toc436624145_10"/>
      <w:r>
        <w:rPr>
          <w:smallCaps w:val="0"/>
          <w:sz w:val="22"/>
          <w:szCs w:val="22"/>
        </w:rPr>
        <w:t>2.2</w:t>
      </w:r>
      <w:bookmarkEnd w:id="922"/>
      <w:bookmarkEnd w:id="923"/>
      <w:r w:rsidRPr="00A4438C">
        <w:rPr>
          <w:smallCaps w:val="0"/>
          <w:sz w:val="22"/>
          <w:szCs w:val="22"/>
        </w:rPr>
        <w:tab/>
        <w:t>Budgeted expens</w:t>
      </w:r>
      <w:r>
        <w:rPr>
          <w:smallCaps w:val="0"/>
          <w:sz w:val="22"/>
          <w:szCs w:val="22"/>
        </w:rPr>
        <w:t>es and performance for Outcome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253274" w:rsidTr="00A01C5F">
        <w:tc>
          <w:tcPr>
            <w:tcW w:w="7713" w:type="dxa"/>
            <w:tcBorders>
              <w:top w:val="single" w:sz="2" w:space="0" w:color="auto"/>
              <w:left w:val="single" w:sz="2" w:space="0" w:color="auto"/>
              <w:bottom w:val="single" w:sz="2" w:space="0" w:color="auto"/>
              <w:right w:val="single" w:sz="2" w:space="0" w:color="auto"/>
            </w:tcBorders>
            <w:shd w:val="clear" w:color="auto" w:fill="E6E6E6"/>
            <w:hideMark/>
          </w:tcP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rsidR="00A01C5F" w:rsidRDefault="00BA7A7F" w:rsidP="00375256">
            <w:pPr>
              <w:pStyle w:val="TableColumnHeadingLeft"/>
              <w:keepLines/>
            </w:pPr>
            <w:r w:rsidRPr="00A01C5F">
              <w:rPr>
                <w:rStyle w:val="TableHeadingChar"/>
                <w:b/>
              </w:rPr>
              <w:t>Outcome 2</w:t>
            </w:r>
            <w:r w:rsidRPr="00A01C5F">
              <w:rPr>
                <w:b w:val="0"/>
                <w:lang w:val="x-none"/>
              </w:rPr>
              <w:t xml:space="preserve"> </w:t>
            </w:r>
            <w:r w:rsidRPr="00A01C5F">
              <w:rPr>
                <w:b w:val="0"/>
              </w:rPr>
              <w:t>–</w:t>
            </w:r>
            <w:r w:rsidRPr="00A01C5F">
              <w:t xml:space="preserve"> </w:t>
            </w:r>
            <w:r w:rsidRPr="00A01C5F">
              <w:rPr>
                <w:rFonts w:eastAsia="Calibri"/>
                <w:lang w:eastAsia="en-US"/>
              </w:rPr>
              <w:t>Contribute to the sustainable management of Australia’s biodiversity through the administration of market based mechanisms that incentivise the preservation and improvement of diverse ecosystems</w:t>
            </w:r>
          </w:p>
        </w:tc>
      </w:tr>
    </w:tbl>
    <w:p w:rsidR="00A01C5F" w:rsidRDefault="00A01C5F" w:rsidP="00A01C5F">
      <w:pPr>
        <w:pStyle w:val="NoSpacing"/>
      </w:pPr>
    </w:p>
    <w:p w:rsidR="00A01C5F" w:rsidRDefault="00BA7A7F" w:rsidP="00A01C5F">
      <w:pPr>
        <w:pStyle w:val="Heading4"/>
      </w:pPr>
      <w:r>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253274" w:rsidTr="00A01C5F">
        <w:trPr>
          <w:trHeight w:val="113"/>
          <w:tblHeader/>
        </w:trPr>
        <w:tc>
          <w:tcPr>
            <w:tcW w:w="7700" w:type="dxa"/>
            <w:tcBorders>
              <w:top w:val="single" w:sz="4" w:space="0" w:color="auto"/>
              <w:left w:val="single" w:sz="4" w:space="0" w:color="auto"/>
              <w:bottom w:val="dotted" w:sz="4" w:space="0" w:color="auto"/>
              <w:right w:val="single" w:sz="4" w:space="0" w:color="auto"/>
            </w:tcBorders>
            <w:hideMark/>
          </w:tcPr>
          <w:p w:rsidR="00A01C5F" w:rsidRDefault="00BA7A7F">
            <w:pPr>
              <w:pStyle w:val="ExampleText0"/>
              <w:spacing w:before="60" w:after="60" w:line="240" w:lineRule="auto"/>
              <w:rPr>
                <w:color w:val="auto"/>
              </w:rPr>
            </w:pPr>
            <w:r>
              <w:rPr>
                <w:rStyle w:val="ExampletextCharChar"/>
                <w:b/>
                <w:color w:val="auto"/>
              </w:rPr>
              <w:t>Department of Agriculture, Water and the Environment</w:t>
            </w:r>
          </w:p>
        </w:tc>
      </w:tr>
      <w:tr w:rsidR="00253274" w:rsidTr="00A01C5F">
        <w:trPr>
          <w:trHeight w:val="113"/>
        </w:trPr>
        <w:tc>
          <w:tcPr>
            <w:tcW w:w="7700" w:type="dxa"/>
            <w:tcBorders>
              <w:top w:val="dotted" w:sz="4" w:space="0" w:color="auto"/>
              <w:left w:val="single" w:sz="4" w:space="0" w:color="auto"/>
              <w:bottom w:val="single" w:sz="4" w:space="0" w:color="auto"/>
              <w:right w:val="single" w:sz="4" w:space="0" w:color="auto"/>
            </w:tcBorders>
            <w:hideMark/>
          </w:tcPr>
          <w:p w:rsidR="00A01C5F" w:rsidRPr="00A01C5F" w:rsidRDefault="00BA7A7F">
            <w:pPr>
              <w:spacing w:before="60" w:after="60" w:line="240" w:lineRule="auto"/>
              <w:rPr>
                <w:rStyle w:val="ExampletextCharChar"/>
                <w:b/>
                <w:i w:val="0"/>
                <w:color w:val="auto"/>
              </w:rPr>
            </w:pPr>
            <w:r w:rsidRPr="00A01C5F">
              <w:rPr>
                <w:rStyle w:val="ExampletextCharChar"/>
                <w:b/>
                <w:i w:val="0"/>
                <w:color w:val="auto"/>
              </w:rPr>
              <w:t>Programs</w:t>
            </w:r>
          </w:p>
          <w:p w:rsidR="00A01C5F" w:rsidRDefault="00BA7A7F" w:rsidP="00A01C5F">
            <w:pPr>
              <w:keepLines w:val="0"/>
              <w:numPr>
                <w:ilvl w:val="0"/>
                <w:numId w:val="92"/>
              </w:numPr>
              <w:spacing w:before="60" w:after="60" w:line="240" w:lineRule="auto"/>
              <w:rPr>
                <w:i/>
              </w:rPr>
            </w:pPr>
            <w:r>
              <w:t>Program 1.1 – Sustainable Management of Natural Resources and the Environment.</w:t>
            </w:r>
          </w:p>
          <w:p w:rsidR="00A01C5F" w:rsidRDefault="00BA7A7F" w:rsidP="00A01C5F">
            <w:pPr>
              <w:keepLines w:val="0"/>
              <w:numPr>
                <w:ilvl w:val="0"/>
                <w:numId w:val="92"/>
              </w:numPr>
              <w:spacing w:before="60" w:after="60" w:line="240" w:lineRule="auto"/>
              <w:rPr>
                <w:rStyle w:val="ExampletextCharChar"/>
              </w:rPr>
            </w:pPr>
            <w:r>
              <w:t>Program 3.2 – Sustainable Management – Natural Resources</w:t>
            </w:r>
          </w:p>
        </w:tc>
      </w:tr>
      <w:tr w:rsidR="00253274" w:rsidTr="00A01C5F">
        <w:trPr>
          <w:trHeight w:val="113"/>
        </w:trPr>
        <w:tc>
          <w:tcPr>
            <w:tcW w:w="7700" w:type="dxa"/>
            <w:tcBorders>
              <w:top w:val="single" w:sz="4" w:space="0" w:color="auto"/>
              <w:left w:val="single" w:sz="4" w:space="0" w:color="auto"/>
              <w:bottom w:val="single" w:sz="4" w:space="0" w:color="auto"/>
              <w:right w:val="single" w:sz="4" w:space="0" w:color="auto"/>
            </w:tcBorders>
            <w:hideMark/>
          </w:tcPr>
          <w:p w:rsidR="00A01C5F" w:rsidRPr="00A01C5F" w:rsidRDefault="00BA7A7F">
            <w:pPr>
              <w:spacing w:before="60" w:after="60" w:line="240" w:lineRule="auto"/>
              <w:rPr>
                <w:rStyle w:val="ExampletextCharChar"/>
                <w:b/>
                <w:i w:val="0"/>
                <w:color w:val="auto"/>
              </w:rPr>
            </w:pPr>
            <w:r w:rsidRPr="00A01C5F">
              <w:rPr>
                <w:rStyle w:val="ExampletextCharChar"/>
                <w:b/>
                <w:i w:val="0"/>
                <w:color w:val="auto"/>
              </w:rPr>
              <w:t>Contribution to Outcome 2 made by linked programs</w:t>
            </w:r>
          </w:p>
          <w:p w:rsidR="00A01C5F" w:rsidRDefault="00BA7A7F">
            <w:pPr>
              <w:spacing w:before="60" w:after="60" w:line="240" w:lineRule="auto"/>
              <w:rPr>
                <w:rStyle w:val="ExampletextCharChar"/>
                <w:rFonts w:eastAsia="Calibri" w:cs="Arial"/>
                <w:i w:val="0"/>
              </w:rPr>
            </w:pPr>
            <w:r>
              <w:rPr>
                <w:rFonts w:eastAsia="Calibri" w:cs="Arial"/>
              </w:rPr>
              <w:t xml:space="preserve">The Department of Agriculture, Water and the Environment will work with the CER to establish legislation to underpin a voluntary biodiversity stewardship market. This will enable farmers who undertake biodiversity activities to gain access to new income streams whilst contributing to environmental outcomes. </w:t>
            </w:r>
          </w:p>
        </w:tc>
      </w:tr>
    </w:tbl>
    <w:p w:rsidR="00E15EC7" w:rsidRDefault="00E15EC7" w:rsidP="00590F07">
      <w:pPr>
        <w:keepLines w:val="0"/>
        <w:spacing w:after="200" w:line="276" w:lineRule="auto"/>
        <w:jc w:val="left"/>
        <w:rPr>
          <w:vanish/>
        </w:rPr>
      </w:pPr>
    </w:p>
    <w:p w:rsidR="00902EAF" w:rsidRDefault="00BA7A7F" w:rsidP="00902EAF">
      <w:pPr>
        <w:pStyle w:val="Heading5"/>
        <w:pageBreakBefore/>
        <w:spacing w:before="0" w:after="120" w:line="240" w:lineRule="auto"/>
        <w:rPr>
          <w:rFonts w:ascii="Arial" w:hAnsi="Arial" w:cs="Arial"/>
          <w:b/>
          <w:color w:val="000000"/>
        </w:rPr>
      </w:pPr>
      <w:bookmarkStart w:id="957" w:name="RG_MARKER_12498"/>
      <w:r>
        <w:rPr>
          <w:rFonts w:ascii="Arial" w:hAnsi="Arial" w:cs="Arial"/>
          <w:b/>
          <w:color w:val="000000"/>
        </w:rPr>
        <w:t>Budgeted expenses for Outcome 2</w:t>
      </w:r>
      <w:bookmarkEnd w:id="957"/>
    </w:p>
    <w:p w:rsidR="00D4582A" w:rsidRPr="00D4582A" w:rsidRDefault="00BA7A7F" w:rsidP="00D4582A">
      <w:r w:rsidRPr="00D4582A">
        <w:t>This</w:t>
      </w:r>
      <w:r>
        <w:t xml:space="preserve"> table shows how much CER</w:t>
      </w:r>
      <w:r w:rsidRPr="00D4582A">
        <w:t xml:space="preserve"> intends to spend (on an accrual basis) on achieving the outcome, broken down by program, as well as by Administered and Departmental funding sources.</w:t>
      </w:r>
    </w:p>
    <w:p w:rsidR="00D4582A" w:rsidRPr="00D4582A" w:rsidRDefault="00BA7A7F" w:rsidP="00D4582A">
      <w:pPr>
        <w:spacing w:after="20" w:line="240" w:lineRule="auto"/>
        <w:rPr>
          <w:rFonts w:ascii="Arial" w:hAnsi="Arial" w:cs="Arial"/>
          <w:b/>
        </w:rPr>
      </w:pPr>
      <w:r>
        <w:rPr>
          <w:rFonts w:ascii="Arial" w:hAnsi="Arial" w:cs="Arial"/>
          <w:b/>
        </w:rPr>
        <w:t>Table 2.2</w:t>
      </w:r>
      <w:r w:rsidRPr="00D4582A">
        <w:rPr>
          <w:rFonts w:ascii="Arial" w:hAnsi="Arial" w:cs="Arial"/>
          <w:b/>
        </w:rPr>
        <w:t xml:space="preserve">.1: Budgeted expenses for </w:t>
      </w:r>
      <w:r>
        <w:rPr>
          <w:rFonts w:ascii="Arial" w:hAnsi="Arial" w:cs="Arial"/>
          <w:b/>
        </w:rPr>
        <w:t>Outcome 2</w:t>
      </w:r>
    </w:p>
    <w:tbl>
      <w:tblPr>
        <w:tblStyle w:val="CDMRange1"/>
        <w:tblW w:w="7650" w:type="dxa"/>
        <w:tblLayout w:type="fixed"/>
        <w:tblLook w:val="0600" w:firstRow="0" w:lastRow="0" w:firstColumn="0" w:lastColumn="0" w:noHBand="1" w:noVBand="1"/>
      </w:tblPr>
      <w:tblGrid>
        <w:gridCol w:w="3300"/>
        <w:gridCol w:w="870"/>
        <w:gridCol w:w="870"/>
        <w:gridCol w:w="870"/>
        <w:gridCol w:w="870"/>
        <w:gridCol w:w="870"/>
      </w:tblGrid>
      <w:tr w:rsidR="00253274">
        <w:trPr>
          <w:trHeight w:val="675"/>
        </w:trPr>
        <w:tc>
          <w:tcPr>
            <w:tcW w:w="7650"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2:</w:t>
            </w:r>
            <w:r>
              <w:rPr>
                <w:rFonts w:ascii="Arial" w:eastAsia="Arial" w:hAnsi="Arial" w:cs="Arial"/>
                <w:color w:val="000000"/>
                <w:sz w:val="16"/>
                <w:szCs w:val="22"/>
                <w:lang w:val="en-US" w:eastAsia="en-US"/>
              </w:rPr>
              <w:t xml:space="preserve"> Contribute to the sustainability management of Australia's biodiversity through the administration of market based mechanisms that incentivise the preservation and improvement of diverse ecosystems.</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300" w:type="dxa"/>
            <w:tcBorders>
              <w:top w:val="dotted" w:sz="2" w:space="0" w:color="000000"/>
              <w:left w:val="nil"/>
              <w:bottom w:val="single" w:sz="4" w:space="0" w:color="000000"/>
              <w:right w:val="nil"/>
              <w:tl2br w:val="nil"/>
              <w:tr2bl w:val="nil"/>
            </w:tcBorders>
            <w:shd w:val="clear" w:color="auto" w:fill="auto"/>
            <w:tcMar>
              <w:left w:w="0" w:type="dxa"/>
              <w:right w:w="0" w:type="dxa"/>
            </w:tcMar>
            <w:vAlign w:val="center"/>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7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 Estimated actual</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70" w:type="dxa"/>
            <w:tcBorders>
              <w:top w:val="dotted" w:sz="2" w:space="0" w:color="000000"/>
              <w:left w:val="nil"/>
              <w:bottom w:val="single" w:sz="4"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2022­23 </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rsidR="00253274" w:rsidRDefault="00253274">
            <w:pPr>
              <w:keepLines w:val="0"/>
              <w:spacing w:after="0" w:line="240" w:lineRule="auto"/>
              <w:jc w:val="right"/>
              <w:rPr>
                <w:rFonts w:ascii="Arial" w:eastAsia="Arial" w:hAnsi="Arial" w:cs="Arial"/>
                <w:color w:val="000000"/>
                <w:sz w:val="16"/>
                <w:szCs w:val="22"/>
                <w:lang w:val="en-US" w:eastAsia="en-US"/>
              </w:rPr>
            </w:pP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7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7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7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5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Program 1: Clean Energy Regulator </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3,255</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802</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802</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802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3,255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802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802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802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87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3,255</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802</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802</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802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5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2 totals by resource type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3,255</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802</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802</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802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3,255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802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802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802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Outcome1</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87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3,255</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802</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802</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802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right"/>
              <w:rPr>
                <w:rFonts w:ascii="Arial" w:eastAsia="Arial" w:hAnsi="Arial" w:cs="Arial"/>
                <w:b/>
                <w:color w:val="000000"/>
                <w:sz w:val="16"/>
                <w:szCs w:val="22"/>
                <w:lang w:val="en-US" w:eastAsia="en-US"/>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right"/>
              <w:rPr>
                <w:rFonts w:ascii="Arial" w:eastAsia="Arial" w:hAnsi="Arial" w:cs="Arial"/>
                <w:b/>
                <w:color w:val="000000"/>
                <w:sz w:val="16"/>
                <w:szCs w:val="22"/>
                <w:lang w:val="en-US" w:eastAsia="en-US"/>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b/>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tc>
        <w:tc>
          <w:tcPr>
            <w:tcW w:w="870"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bl>
    <w:p w:rsidR="007E6680" w:rsidRPr="00330855" w:rsidRDefault="00BA7A7F" w:rsidP="0067361D">
      <w:pPr>
        <w:numPr>
          <w:ilvl w:val="0"/>
          <w:numId w:val="93"/>
        </w:numPr>
        <w:spacing w:after="0" w:line="240" w:lineRule="auto"/>
        <w:contextualSpacing/>
        <w:rPr>
          <w:rFonts w:ascii="Arial" w:hAnsi="Arial"/>
          <w:sz w:val="22"/>
          <w:szCs w:val="22"/>
          <w:lang w:eastAsia="en-US"/>
        </w:rPr>
      </w:pPr>
      <w:r w:rsidRPr="00D4582A">
        <w:rPr>
          <w:rFonts w:ascii="Arial" w:hAnsi="Arial" w:cs="Arial"/>
          <w:color w:val="000000"/>
          <w:sz w:val="16"/>
          <w:szCs w:val="16"/>
          <w:lang w:eastAsia="en-US"/>
        </w:rPr>
        <w:t>Expenses not requiring appropriation in the budget year are non-cash charges in relation to concessional loans, write-down and impairment of assets, depreciation and amortisation and a share of net loss from associates accounted for under the equity method.</w:t>
      </w:r>
    </w:p>
    <w:p w:rsidR="00330855" w:rsidRPr="00330855" w:rsidRDefault="00BA7A7F" w:rsidP="00330855">
      <w:pPr>
        <w:spacing w:after="0" w:line="240" w:lineRule="auto"/>
        <w:contextualSpacing/>
        <w:rPr>
          <w:rFonts w:ascii="Arial" w:hAnsi="Arial"/>
          <w:sz w:val="16"/>
          <w:szCs w:val="16"/>
          <w:lang w:eastAsia="en-US"/>
        </w:rPr>
      </w:pPr>
      <w:r w:rsidRPr="00330855">
        <w:rPr>
          <w:rFonts w:ascii="Arial" w:hAnsi="Arial"/>
          <w:sz w:val="16"/>
          <w:szCs w:val="16"/>
          <w:lang w:eastAsia="en-US"/>
        </w:rPr>
        <w:t>Note: Departmental appropriation splits and totals are indicative estimates and may change in the course of the budget year as government priorities change.</w:t>
      </w:r>
    </w:p>
    <w:p w:rsidR="00D86095" w:rsidRDefault="00BA7A7F" w:rsidP="006A3818">
      <w:pPr>
        <w:pStyle w:val="TableHeading"/>
        <w:keepLines/>
        <w:pageBreakBefore/>
      </w:pPr>
      <w:bookmarkStart w:id="958" w:name="RG_MARKER_12499"/>
      <w:r w:rsidRPr="002E3447">
        <w:t>Table 2.</w:t>
      </w:r>
      <w:bookmarkEnd w:id="958"/>
      <w:r>
        <w:t>2.2</w:t>
      </w:r>
      <w:r w:rsidRPr="002E3447">
        <w:t xml:space="preserve">: </w:t>
      </w:r>
      <w:r>
        <w:t>Performance measure for Outcome 2</w:t>
      </w:r>
    </w:p>
    <w:p w:rsidR="00091719" w:rsidRDefault="00BA7A7F" w:rsidP="00091719">
      <w:r>
        <w:t xml:space="preserve">Table 2.2.2 details the performance measures for each program associated with Outcome 2.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53274" w:rsidTr="009E7DCA">
        <w:trPr>
          <w:trHeight w:val="569"/>
          <w:tblHead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cPr>
          <w:p w:rsidR="009E7DCA" w:rsidRDefault="00BA7A7F" w:rsidP="0019500E">
            <w:pPr>
              <w:pStyle w:val="TableColumnHeadingLeft"/>
              <w:keepLines/>
            </w:pPr>
            <w:r w:rsidRPr="009E7DCA">
              <w:rPr>
                <w:color w:val="000000"/>
              </w:rPr>
              <w:t>Outcome 2</w:t>
            </w:r>
            <w:r w:rsidRPr="009E7DCA">
              <w:rPr>
                <w:color w:val="000000"/>
                <w:lang w:val="x-none"/>
              </w:rPr>
              <w:t xml:space="preserve"> </w:t>
            </w:r>
            <w:r w:rsidRPr="009E7DCA">
              <w:rPr>
                <w:color w:val="000000"/>
              </w:rPr>
              <w:t>– Contribute to the sustainable management of Australia’s biodiversity through the administration of market based mechanisms that incentivise the preservation and improvement of diverse ecosystems</w:t>
            </w:r>
          </w:p>
        </w:tc>
      </w:tr>
      <w:tr w:rsidR="00253274" w:rsidTr="009E7DCA">
        <w:trPr>
          <w:trHeight w:val="522"/>
          <w:tblHead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cPr>
          <w:p w:rsidR="00F14B5B" w:rsidRDefault="00BA7A7F">
            <w:pPr>
              <w:pStyle w:val="TableTextLeft"/>
              <w:rPr>
                <w:rFonts w:eastAsia="Calibri"/>
                <w:b/>
              </w:rPr>
            </w:pPr>
            <w:r>
              <w:rPr>
                <w:rFonts w:eastAsia="Calibri"/>
                <w:b/>
              </w:rPr>
              <w:t>Program 2.1</w:t>
            </w:r>
          </w:p>
          <w:p w:rsidR="009E7DCA" w:rsidRPr="00F14B5B" w:rsidRDefault="00BA7A7F">
            <w:pPr>
              <w:pStyle w:val="TableTextLeft"/>
              <w:rPr>
                <w:rFonts w:eastAsia="Times New Roman"/>
                <w:sz w:val="16"/>
                <w:szCs w:val="16"/>
              </w:rPr>
            </w:pPr>
            <w:r w:rsidRPr="00F14B5B">
              <w:rPr>
                <w:rFonts w:eastAsia="Calibri"/>
                <w:sz w:val="16"/>
                <w:szCs w:val="16"/>
              </w:rPr>
              <w:t>Effective and efficient regulation of the voluntary biodiversity market based scheme that contributes to improving Australia’s biodiversity.</w:t>
            </w:r>
          </w:p>
        </w:tc>
      </w:tr>
      <w:tr w:rsidR="00253274" w:rsidTr="00F14B5B">
        <w:trPr>
          <w:trHeight w:val="225"/>
        </w:trPr>
        <w:tc>
          <w:tcPr>
            <w:tcW w:w="1560" w:type="dxa"/>
            <w:tcBorders>
              <w:top w:val="single" w:sz="4" w:space="0" w:color="auto"/>
              <w:left w:val="single" w:sz="4" w:space="0" w:color="auto"/>
              <w:bottom w:val="double" w:sz="4" w:space="0" w:color="auto"/>
              <w:right w:val="single" w:sz="4" w:space="0" w:color="auto"/>
            </w:tcBorders>
            <w:hideMark/>
          </w:tcPr>
          <w:p w:rsidR="009E7DCA" w:rsidRDefault="00BA7A7F" w:rsidP="00F14B5B">
            <w:pPr>
              <w:tabs>
                <w:tab w:val="left" w:pos="709"/>
              </w:tabs>
              <w:spacing w:before="60" w:after="60" w:line="240" w:lineRule="auto"/>
              <w:rPr>
                <w:rFonts w:ascii="Arial" w:hAnsi="Arial" w:cs="Arial"/>
                <w:b/>
                <w:sz w:val="16"/>
                <w:szCs w:val="16"/>
              </w:rPr>
            </w:pPr>
            <w:r>
              <w:rPr>
                <w:rFonts w:ascii="Arial" w:hAnsi="Arial" w:cs="Arial"/>
                <w:b/>
                <w:sz w:val="16"/>
                <w:szCs w:val="16"/>
              </w:rPr>
              <w:t>Key Activities (a)</w:t>
            </w:r>
          </w:p>
        </w:tc>
        <w:tc>
          <w:tcPr>
            <w:tcW w:w="6236" w:type="dxa"/>
            <w:gridSpan w:val="2"/>
            <w:tcBorders>
              <w:top w:val="single" w:sz="4" w:space="0" w:color="auto"/>
              <w:left w:val="single" w:sz="4" w:space="0" w:color="auto"/>
              <w:bottom w:val="double" w:sz="4" w:space="0" w:color="auto"/>
              <w:right w:val="single" w:sz="4" w:space="0" w:color="auto"/>
            </w:tcBorders>
            <w:hideMark/>
          </w:tcPr>
          <w:p w:rsidR="009E7DCA" w:rsidRDefault="00BA7A7F" w:rsidP="00F14B5B">
            <w:pPr>
              <w:tabs>
                <w:tab w:val="left" w:pos="709"/>
              </w:tabs>
              <w:spacing w:before="60" w:after="60" w:line="240" w:lineRule="auto"/>
              <w:rPr>
                <w:rFonts w:ascii="Arial" w:hAnsi="Arial" w:cs="Arial"/>
                <w:i/>
                <w:sz w:val="16"/>
                <w:szCs w:val="16"/>
              </w:rPr>
            </w:pPr>
            <w:r>
              <w:rPr>
                <w:rFonts w:ascii="Arial" w:hAnsi="Arial" w:cs="Arial"/>
                <w:bCs/>
                <w:sz w:val="16"/>
                <w:szCs w:val="16"/>
              </w:rPr>
              <w:t>Key activities reported in the current corporate plan that relate to this program.</w:t>
            </w:r>
          </w:p>
        </w:tc>
      </w:tr>
      <w:tr w:rsidR="00253274" w:rsidTr="009E7DCA">
        <w:trPr>
          <w:trHeight w:val="258"/>
        </w:trPr>
        <w:tc>
          <w:tcPr>
            <w:tcW w:w="1560" w:type="dxa"/>
            <w:tcBorders>
              <w:top w:val="double" w:sz="4" w:space="0" w:color="auto"/>
              <w:left w:val="single" w:sz="4" w:space="0" w:color="auto"/>
              <w:bottom w:val="single" w:sz="4" w:space="0" w:color="auto"/>
              <w:right w:val="single" w:sz="4" w:space="0" w:color="auto"/>
            </w:tcBorders>
          </w:tcPr>
          <w:p w:rsidR="009E7DCA" w:rsidRPr="00F14B5B" w:rsidRDefault="00BA7A7F">
            <w:pPr>
              <w:pStyle w:val="TableTextBase"/>
              <w:rPr>
                <w:rFonts w:eastAsia="Calibri" w:cs="Times New Roman"/>
                <w:b/>
                <w:sz w:val="16"/>
                <w:szCs w:val="16"/>
              </w:rPr>
            </w:pPr>
            <w:r>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9E7DCA" w:rsidRDefault="00BA7A7F" w:rsidP="00171B06">
            <w:pPr>
              <w:pStyle w:val="TableTextBase"/>
              <w:rPr>
                <w:rFonts w:eastAsia="Calibri"/>
                <w:b/>
                <w:sz w:val="16"/>
                <w:szCs w:val="16"/>
              </w:rPr>
            </w:pPr>
            <w:r>
              <w:rPr>
                <w:rFonts w:eastAsia="Calibri"/>
                <w:b/>
                <w:sz w:val="16"/>
                <w:szCs w:val="16"/>
              </w:rPr>
              <w:t>Performance measures</w:t>
            </w:r>
            <w:r w:rsidR="005C4B51">
              <w:rPr>
                <w:rFonts w:eastAsia="Calibri"/>
                <w:b/>
                <w:sz w:val="16"/>
                <w:szCs w:val="16"/>
              </w:rPr>
              <w:t xml:space="preserve"> </w:t>
            </w:r>
            <w:r>
              <w:rPr>
                <w:rFonts w:eastAsia="Calibri"/>
                <w:b/>
                <w:sz w:val="16"/>
                <w:szCs w:val="16"/>
              </w:rPr>
              <w:t>(</w:t>
            </w:r>
            <w:r w:rsidR="005C4B51">
              <w:rPr>
                <w:rFonts w:eastAsia="Calibri"/>
                <w:b/>
                <w:sz w:val="16"/>
                <w:szCs w:val="16"/>
              </w:rPr>
              <w:t>b)</w:t>
            </w:r>
          </w:p>
        </w:tc>
        <w:tc>
          <w:tcPr>
            <w:tcW w:w="3118" w:type="dxa"/>
            <w:tcBorders>
              <w:top w:val="double" w:sz="4" w:space="0" w:color="auto"/>
              <w:left w:val="single" w:sz="4" w:space="0" w:color="auto"/>
              <w:bottom w:val="single" w:sz="4" w:space="0" w:color="auto"/>
              <w:right w:val="single" w:sz="4" w:space="0" w:color="auto"/>
            </w:tcBorders>
            <w:hideMark/>
          </w:tcPr>
          <w:p w:rsidR="009E7DCA" w:rsidRDefault="00BA7A7F">
            <w:pPr>
              <w:pStyle w:val="TableTextBase"/>
              <w:rPr>
                <w:rFonts w:eastAsia="Calibri"/>
                <w:b/>
                <w:sz w:val="16"/>
                <w:szCs w:val="16"/>
              </w:rPr>
            </w:pPr>
            <w:r>
              <w:rPr>
                <w:rFonts w:eastAsia="Calibri"/>
                <w:b/>
                <w:sz w:val="16"/>
                <w:szCs w:val="16"/>
              </w:rPr>
              <w:t>Expected Performance Results</w:t>
            </w:r>
          </w:p>
        </w:tc>
      </w:tr>
      <w:tr w:rsidR="00253274" w:rsidTr="009E7DCA">
        <w:trPr>
          <w:trHeight w:val="642"/>
        </w:trPr>
        <w:tc>
          <w:tcPr>
            <w:tcW w:w="1560" w:type="dxa"/>
            <w:tcBorders>
              <w:top w:val="single" w:sz="4" w:space="0" w:color="auto"/>
              <w:left w:val="single" w:sz="4" w:space="0" w:color="auto"/>
              <w:bottom w:val="dotted" w:sz="4" w:space="0" w:color="auto"/>
              <w:right w:val="single" w:sz="4" w:space="0" w:color="auto"/>
            </w:tcBorders>
          </w:tcPr>
          <w:p w:rsidR="009E7DCA" w:rsidRDefault="00BA7A7F">
            <w:pPr>
              <w:pStyle w:val="TableTextBase"/>
              <w:rPr>
                <w:rFonts w:eastAsia="Calibri" w:cs="Times New Roman"/>
                <w:sz w:val="16"/>
                <w:szCs w:val="16"/>
              </w:rPr>
            </w:pPr>
            <w:r>
              <w:rPr>
                <w:rFonts w:eastAsia="Calibri"/>
                <w:sz w:val="16"/>
                <w:szCs w:val="16"/>
              </w:rPr>
              <w:t xml:space="preserve">Current year </w:t>
            </w:r>
          </w:p>
          <w:p w:rsidR="009E7DCA" w:rsidRDefault="00BA7A7F">
            <w:pPr>
              <w:pStyle w:val="TableTextBase"/>
              <w:rPr>
                <w:rFonts w:eastAsia="Calibri"/>
                <w:sz w:val="16"/>
                <w:szCs w:val="16"/>
              </w:rPr>
            </w:pPr>
            <w:r>
              <w:rPr>
                <w:rFonts w:eastAsia="Calibri"/>
                <w:sz w:val="16"/>
                <w:szCs w:val="16"/>
              </w:rPr>
              <w:t>2021-22</w:t>
            </w:r>
          </w:p>
        </w:tc>
        <w:tc>
          <w:tcPr>
            <w:tcW w:w="3118" w:type="dxa"/>
            <w:tcBorders>
              <w:top w:val="single" w:sz="4" w:space="0" w:color="auto"/>
              <w:left w:val="single" w:sz="4" w:space="0" w:color="auto"/>
              <w:bottom w:val="dotted" w:sz="4" w:space="0" w:color="auto"/>
              <w:right w:val="single" w:sz="4" w:space="0" w:color="auto"/>
            </w:tcBorders>
          </w:tcPr>
          <w:p w:rsidR="009E7DCA" w:rsidRPr="009E7DCA" w:rsidRDefault="00BA7A7F" w:rsidP="009E7DCA">
            <w:pPr>
              <w:pStyle w:val="TableTextBase"/>
              <w:rPr>
                <w:rFonts w:eastAsia="Calibri"/>
                <w:sz w:val="16"/>
                <w:szCs w:val="16"/>
              </w:rPr>
            </w:pPr>
            <w:r w:rsidRPr="009E7DCA">
              <w:rPr>
                <w:rFonts w:eastAsia="Calibri"/>
                <w:sz w:val="16"/>
                <w:szCs w:val="16"/>
              </w:rPr>
              <w:t>N/A</w:t>
            </w:r>
          </w:p>
        </w:tc>
        <w:tc>
          <w:tcPr>
            <w:tcW w:w="3118" w:type="dxa"/>
            <w:tcBorders>
              <w:top w:val="single" w:sz="4" w:space="0" w:color="auto"/>
              <w:left w:val="single" w:sz="4" w:space="0" w:color="auto"/>
              <w:bottom w:val="dotted" w:sz="4" w:space="0" w:color="auto"/>
              <w:right w:val="single" w:sz="4" w:space="0" w:color="auto"/>
            </w:tcBorders>
          </w:tcPr>
          <w:p w:rsidR="009E7DCA" w:rsidRPr="009E7DCA" w:rsidRDefault="00BA7A7F">
            <w:pPr>
              <w:pStyle w:val="TableTextBase"/>
              <w:rPr>
                <w:rFonts w:eastAsia="Calibri"/>
                <w:sz w:val="16"/>
                <w:szCs w:val="16"/>
              </w:rPr>
            </w:pPr>
            <w:r w:rsidRPr="009E7DCA">
              <w:rPr>
                <w:rFonts w:eastAsia="Calibri"/>
                <w:sz w:val="16"/>
                <w:szCs w:val="16"/>
              </w:rPr>
              <w:t>N/A</w:t>
            </w:r>
          </w:p>
        </w:tc>
      </w:tr>
      <w:tr w:rsidR="00253274" w:rsidTr="009E7DCA">
        <w:trPr>
          <w:trHeight w:val="100"/>
        </w:trPr>
        <w:tc>
          <w:tcPr>
            <w:tcW w:w="1560" w:type="dxa"/>
            <w:tcBorders>
              <w:top w:val="single" w:sz="4" w:space="0" w:color="auto"/>
              <w:left w:val="single" w:sz="4" w:space="0" w:color="auto"/>
              <w:bottom w:val="dotted" w:sz="4" w:space="0" w:color="auto"/>
              <w:right w:val="single" w:sz="4" w:space="0" w:color="auto"/>
            </w:tcBorders>
          </w:tcPr>
          <w:p w:rsidR="009E7DCA" w:rsidRDefault="00BA7A7F">
            <w:pPr>
              <w:pStyle w:val="TableTextBase"/>
              <w:rPr>
                <w:rFonts w:eastAsia="Calibri"/>
                <w:b/>
                <w:sz w:val="16"/>
                <w:szCs w:val="16"/>
              </w:rPr>
            </w:pPr>
            <w:r>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9E7DCA" w:rsidRPr="009E7DCA" w:rsidRDefault="00BA7A7F">
            <w:pPr>
              <w:pStyle w:val="TableTextBase"/>
              <w:rPr>
                <w:rFonts w:eastAsia="Calibri"/>
                <w:b/>
                <w:sz w:val="16"/>
                <w:szCs w:val="16"/>
              </w:rPr>
            </w:pPr>
            <w:r w:rsidRPr="009E7DCA">
              <w:rPr>
                <w:rFonts w:eastAsia="Calibri"/>
                <w:b/>
                <w:sz w:val="16"/>
                <w:szCs w:val="16"/>
              </w:rPr>
              <w:t>Performance measures</w:t>
            </w:r>
            <w:r w:rsidR="005C4B51">
              <w:rPr>
                <w:rFonts w:eastAsia="Calibri"/>
                <w:b/>
                <w:sz w:val="16"/>
                <w:szCs w:val="16"/>
              </w:rPr>
              <w:t xml:space="preserve"> (b)</w:t>
            </w:r>
          </w:p>
        </w:tc>
        <w:tc>
          <w:tcPr>
            <w:tcW w:w="3118" w:type="dxa"/>
            <w:tcBorders>
              <w:top w:val="single" w:sz="4" w:space="0" w:color="auto"/>
              <w:left w:val="single" w:sz="4" w:space="0" w:color="auto"/>
              <w:bottom w:val="dotted" w:sz="4" w:space="0" w:color="auto"/>
              <w:right w:val="single" w:sz="4" w:space="0" w:color="auto"/>
            </w:tcBorders>
            <w:hideMark/>
          </w:tcPr>
          <w:p w:rsidR="009E7DCA" w:rsidRPr="009E7DCA" w:rsidRDefault="00BA7A7F" w:rsidP="001B398C">
            <w:pPr>
              <w:pStyle w:val="TableTextBase"/>
              <w:rPr>
                <w:rFonts w:eastAsia="Calibri"/>
                <w:b/>
                <w:sz w:val="16"/>
                <w:szCs w:val="16"/>
              </w:rPr>
            </w:pPr>
            <w:r>
              <w:rPr>
                <w:rFonts w:eastAsia="Calibri"/>
                <w:b/>
                <w:sz w:val="16"/>
                <w:szCs w:val="16"/>
              </w:rPr>
              <w:t xml:space="preserve">Planned </w:t>
            </w:r>
            <w:r w:rsidRPr="009E7DCA">
              <w:rPr>
                <w:rFonts w:eastAsia="Calibri"/>
                <w:b/>
                <w:sz w:val="16"/>
                <w:szCs w:val="16"/>
              </w:rPr>
              <w:t>Pe</w:t>
            </w:r>
            <w:r>
              <w:rPr>
                <w:rFonts w:eastAsia="Calibri"/>
                <w:b/>
                <w:sz w:val="16"/>
                <w:szCs w:val="16"/>
              </w:rPr>
              <w:t>rformance</w:t>
            </w:r>
            <w:r w:rsidRPr="009E7DCA">
              <w:rPr>
                <w:rFonts w:eastAsia="Calibri"/>
                <w:b/>
                <w:sz w:val="16"/>
                <w:szCs w:val="16"/>
              </w:rPr>
              <w:t xml:space="preserve"> Results</w:t>
            </w:r>
          </w:p>
        </w:tc>
      </w:tr>
      <w:tr w:rsidR="00253274" w:rsidTr="00F14B5B">
        <w:trPr>
          <w:trHeight w:val="100"/>
        </w:trPr>
        <w:tc>
          <w:tcPr>
            <w:tcW w:w="1560" w:type="dxa"/>
            <w:tcBorders>
              <w:top w:val="single" w:sz="4" w:space="0" w:color="auto"/>
              <w:left w:val="single" w:sz="4" w:space="0" w:color="auto"/>
              <w:bottom w:val="single" w:sz="4" w:space="0" w:color="auto"/>
              <w:right w:val="single" w:sz="4" w:space="0" w:color="auto"/>
            </w:tcBorders>
            <w:hideMark/>
          </w:tcPr>
          <w:p w:rsidR="009E7DCA" w:rsidRPr="00F14B5B" w:rsidRDefault="00BA7A7F">
            <w:pPr>
              <w:pStyle w:val="TableTextBase"/>
              <w:rPr>
                <w:rFonts w:eastAsia="Calibri"/>
                <w:sz w:val="16"/>
                <w:szCs w:val="16"/>
              </w:rPr>
            </w:pPr>
            <w:r w:rsidRPr="00F14B5B">
              <w:rPr>
                <w:rFonts w:eastAsia="Calibri"/>
                <w:sz w:val="16"/>
                <w:szCs w:val="16"/>
              </w:rPr>
              <w:t>Budget Year     2022-23</w:t>
            </w:r>
          </w:p>
        </w:tc>
        <w:tc>
          <w:tcPr>
            <w:tcW w:w="3118" w:type="dxa"/>
            <w:tcBorders>
              <w:top w:val="single" w:sz="4" w:space="0" w:color="auto"/>
              <w:left w:val="single" w:sz="4" w:space="0" w:color="auto"/>
              <w:bottom w:val="single" w:sz="4" w:space="0" w:color="auto"/>
              <w:right w:val="single" w:sz="4" w:space="0" w:color="auto"/>
            </w:tcBorders>
          </w:tcPr>
          <w:p w:rsidR="009E7DCA" w:rsidRPr="005C4B51" w:rsidRDefault="00BA7A7F">
            <w:pPr>
              <w:pStyle w:val="TableTextBase"/>
              <w:rPr>
                <w:rFonts w:eastAsia="Calibri"/>
                <w:sz w:val="16"/>
                <w:szCs w:val="16"/>
              </w:rPr>
            </w:pPr>
            <w:r w:rsidRPr="005C4B51">
              <w:rPr>
                <w:rFonts w:eastAsia="Calibri"/>
                <w:iCs/>
                <w:sz w:val="16"/>
                <w:szCs w:val="16"/>
                <w:lang w:val="en-AU"/>
              </w:rPr>
              <w:t>Biodiversity stewardship projects are established and administered in accordance with approved protocols and legislative requirements</w:t>
            </w:r>
            <w:r>
              <w:rPr>
                <w:rFonts w:eastAsia="Calibri"/>
                <w:iCs/>
                <w:sz w:val="16"/>
                <w:szCs w:val="16"/>
                <w:lang w:val="en-AU"/>
              </w:rPr>
              <w:t>.</w:t>
            </w:r>
          </w:p>
        </w:tc>
        <w:tc>
          <w:tcPr>
            <w:tcW w:w="3118" w:type="dxa"/>
            <w:tcBorders>
              <w:top w:val="single" w:sz="4" w:space="0" w:color="auto"/>
              <w:left w:val="single" w:sz="4" w:space="0" w:color="auto"/>
              <w:bottom w:val="single" w:sz="4" w:space="0" w:color="auto"/>
              <w:right w:val="single" w:sz="4" w:space="0" w:color="auto"/>
            </w:tcBorders>
          </w:tcPr>
          <w:p w:rsidR="009E7DCA" w:rsidRPr="005C4B51" w:rsidRDefault="00BA7A7F" w:rsidP="0019500E">
            <w:pPr>
              <w:pStyle w:val="TableTextBase"/>
              <w:rPr>
                <w:rFonts w:eastAsia="Calibri"/>
                <w:sz w:val="16"/>
                <w:szCs w:val="16"/>
              </w:rPr>
            </w:pPr>
            <w:r w:rsidRPr="005C4B51">
              <w:rPr>
                <w:rFonts w:eastAsia="Calibri"/>
                <w:iCs/>
                <w:sz w:val="16"/>
                <w:szCs w:val="16"/>
                <w:lang w:val="en-AU"/>
              </w:rPr>
              <w:t>75</w:t>
            </w:r>
            <w:r>
              <w:rPr>
                <w:rFonts w:eastAsia="Calibri"/>
                <w:iCs/>
                <w:sz w:val="16"/>
                <w:szCs w:val="16"/>
                <w:lang w:val="en-AU"/>
              </w:rPr>
              <w:t>%</w:t>
            </w:r>
            <w:r w:rsidRPr="005C4B51">
              <w:rPr>
                <w:rFonts w:eastAsia="Calibri"/>
                <w:iCs/>
                <w:sz w:val="16"/>
                <w:szCs w:val="16"/>
                <w:lang w:val="en-AU"/>
              </w:rPr>
              <w:t xml:space="preserve"> of biodiversity projects are registered within legislated deadlines</w:t>
            </w:r>
            <w:r>
              <w:rPr>
                <w:rFonts w:eastAsia="Calibri"/>
                <w:iCs/>
                <w:sz w:val="16"/>
                <w:szCs w:val="16"/>
                <w:lang w:val="en-AU"/>
              </w:rPr>
              <w:t>.</w:t>
            </w:r>
          </w:p>
        </w:tc>
      </w:tr>
      <w:tr w:rsidR="00253274" w:rsidTr="00F14B5B">
        <w:trPr>
          <w:trHeight w:val="491"/>
        </w:trPr>
        <w:tc>
          <w:tcPr>
            <w:tcW w:w="1560" w:type="dxa"/>
            <w:tcBorders>
              <w:top w:val="single" w:sz="4" w:space="0" w:color="auto"/>
              <w:left w:val="single" w:sz="4" w:space="0" w:color="auto"/>
              <w:bottom w:val="dotted" w:sz="4" w:space="0" w:color="auto"/>
              <w:right w:val="single" w:sz="4" w:space="0" w:color="auto"/>
            </w:tcBorders>
            <w:hideMark/>
          </w:tcPr>
          <w:p w:rsidR="009E7DCA" w:rsidRPr="00F14B5B" w:rsidRDefault="00BA7A7F">
            <w:pPr>
              <w:pStyle w:val="TableTextBase"/>
              <w:rPr>
                <w:rFonts w:eastAsia="Calibri"/>
                <w:sz w:val="16"/>
                <w:szCs w:val="16"/>
              </w:rPr>
            </w:pPr>
            <w:r w:rsidRPr="00F14B5B">
              <w:rPr>
                <w:rFonts w:eastAsia="Calibri"/>
                <w:sz w:val="16"/>
                <w:szCs w:val="16"/>
              </w:rPr>
              <w:t xml:space="preserve">Forward Estimates </w:t>
            </w:r>
          </w:p>
          <w:p w:rsidR="009E7DCA" w:rsidRPr="00F14B5B" w:rsidRDefault="00BA7A7F">
            <w:pPr>
              <w:pStyle w:val="TableTextBase"/>
              <w:rPr>
                <w:rFonts w:eastAsia="Calibri"/>
                <w:sz w:val="16"/>
                <w:szCs w:val="16"/>
              </w:rPr>
            </w:pPr>
            <w:r w:rsidRPr="00F14B5B">
              <w:rPr>
                <w:rFonts w:eastAsia="Calibri"/>
                <w:sz w:val="16"/>
                <w:szCs w:val="16"/>
              </w:rPr>
              <w:t>2023-26</w:t>
            </w:r>
          </w:p>
        </w:tc>
        <w:tc>
          <w:tcPr>
            <w:tcW w:w="3118" w:type="dxa"/>
            <w:tcBorders>
              <w:top w:val="single" w:sz="4" w:space="0" w:color="auto"/>
              <w:left w:val="single" w:sz="4" w:space="0" w:color="auto"/>
              <w:bottom w:val="dotted" w:sz="4" w:space="0" w:color="auto"/>
              <w:right w:val="single" w:sz="4" w:space="0" w:color="auto"/>
            </w:tcBorders>
          </w:tcPr>
          <w:p w:rsidR="009E7DCA" w:rsidRPr="005C4B51" w:rsidRDefault="00BA7A7F">
            <w:pPr>
              <w:pStyle w:val="TableTextBase"/>
              <w:rPr>
                <w:rFonts w:eastAsia="Calibri"/>
                <w:sz w:val="16"/>
                <w:szCs w:val="16"/>
              </w:rPr>
            </w:pPr>
            <w:r w:rsidRPr="005C4B51">
              <w:rPr>
                <w:rFonts w:eastAsia="Calibri"/>
                <w:iCs/>
                <w:sz w:val="16"/>
                <w:szCs w:val="16"/>
                <w:lang w:val="en-AU"/>
              </w:rPr>
              <w:t>As per 2022-23</w:t>
            </w:r>
          </w:p>
        </w:tc>
        <w:tc>
          <w:tcPr>
            <w:tcW w:w="3118" w:type="dxa"/>
            <w:tcBorders>
              <w:top w:val="single" w:sz="4" w:space="0" w:color="auto"/>
              <w:left w:val="single" w:sz="4" w:space="0" w:color="auto"/>
              <w:bottom w:val="dotted" w:sz="4" w:space="0" w:color="auto"/>
              <w:right w:val="single" w:sz="4" w:space="0" w:color="auto"/>
            </w:tcBorders>
          </w:tcPr>
          <w:p w:rsidR="009E7DCA" w:rsidRPr="005C4B51" w:rsidRDefault="00BA7A7F">
            <w:pPr>
              <w:pStyle w:val="TableTextBase"/>
              <w:rPr>
                <w:rFonts w:eastAsia="Calibri"/>
                <w:sz w:val="16"/>
                <w:szCs w:val="16"/>
              </w:rPr>
            </w:pPr>
            <w:r w:rsidRPr="005C4B51">
              <w:rPr>
                <w:rFonts w:eastAsia="Calibri"/>
                <w:iCs/>
                <w:sz w:val="16"/>
                <w:szCs w:val="16"/>
                <w:lang w:val="en-AU"/>
              </w:rPr>
              <w:t>As per 2022-23</w:t>
            </w:r>
          </w:p>
        </w:tc>
      </w:tr>
      <w:tr w:rsidR="00253274" w:rsidTr="009E7DCA">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9E7DCA" w:rsidRDefault="00BA7A7F" w:rsidP="005C4B51">
            <w:pPr>
              <w:pStyle w:val="TableTextBase"/>
              <w:rPr>
                <w:rFonts w:eastAsia="Cambria"/>
                <w:bCs/>
                <w:iCs/>
                <w:color w:val="0070C0"/>
                <w:spacing w:val="-6"/>
                <w:sz w:val="16"/>
                <w:szCs w:val="16"/>
                <w:lang w:val="x-none"/>
              </w:rPr>
            </w:pPr>
            <w:r>
              <w:rPr>
                <w:rFonts w:eastAsia="Calibri"/>
                <w:sz w:val="16"/>
                <w:szCs w:val="16"/>
              </w:rPr>
              <w:t xml:space="preserve">Material changes to Program </w:t>
            </w:r>
            <w:r w:rsidR="005C4B51">
              <w:rPr>
                <w:rFonts w:eastAsia="Calibri"/>
                <w:sz w:val="16"/>
                <w:szCs w:val="16"/>
              </w:rPr>
              <w:t>2</w:t>
            </w:r>
            <w:r>
              <w:rPr>
                <w:rFonts w:eastAsia="Calibri"/>
                <w:sz w:val="16"/>
                <w:szCs w:val="16"/>
              </w:rPr>
              <w:t>.</w:t>
            </w:r>
            <w:r w:rsidR="005C4B51">
              <w:rPr>
                <w:rFonts w:eastAsia="Calibri"/>
                <w:sz w:val="16"/>
                <w:szCs w:val="16"/>
              </w:rPr>
              <w:t>1</w:t>
            </w:r>
            <w:r>
              <w:rPr>
                <w:rFonts w:eastAsia="Calibri"/>
                <w:sz w:val="16"/>
                <w:szCs w:val="16"/>
              </w:rPr>
              <w:t xml:space="preserve"> </w:t>
            </w:r>
            <w:r w:rsidRPr="00E75C99">
              <w:rPr>
                <w:rFonts w:eastAsia="Calibri"/>
                <w:sz w:val="16"/>
                <w:szCs w:val="16"/>
              </w:rPr>
              <w:t>resulting from 2022-23 Budget Measures:</w:t>
            </w:r>
            <w:r w:rsidRPr="00E75C99">
              <w:rPr>
                <w:rStyle w:val="BodyTextChar"/>
                <w:rFonts w:ascii="Arial" w:eastAsia="Calibri" w:hAnsi="Arial" w:cs="Arial"/>
                <w:bCs/>
                <w:iCs/>
                <w:spacing w:val="-6"/>
                <w:sz w:val="16"/>
                <w:szCs w:val="16"/>
              </w:rPr>
              <w:t xml:space="preserve"> Nil</w:t>
            </w:r>
          </w:p>
        </w:tc>
      </w:tr>
    </w:tbl>
    <w:p w:rsidR="00FE7562" w:rsidRDefault="00BA7A7F" w:rsidP="00FE7562">
      <w:pPr>
        <w:pStyle w:val="ChartandTableFootnoteAlpha"/>
        <w:keepNext w:val="0"/>
        <w:keepLines w:val="0"/>
        <w:numPr>
          <w:ilvl w:val="0"/>
          <w:numId w:val="94"/>
        </w:numPr>
        <w:tabs>
          <w:tab w:val="num" w:pos="284"/>
        </w:tabs>
        <w:spacing w:line="240" w:lineRule="auto"/>
        <w:ind w:left="284" w:hanging="284"/>
      </w:pPr>
      <w:r>
        <w:t>Refers to updated key activities that will be reflected in the 2022-23 Corporate Plan.</w:t>
      </w:r>
    </w:p>
    <w:p w:rsidR="00FE7562" w:rsidRDefault="00BA7A7F" w:rsidP="00FE7562">
      <w:pPr>
        <w:pStyle w:val="ChartandTableFootnoteAlpha"/>
        <w:keepNext w:val="0"/>
        <w:keepLines w:val="0"/>
        <w:numPr>
          <w:ilvl w:val="0"/>
          <w:numId w:val="94"/>
        </w:numPr>
        <w:tabs>
          <w:tab w:val="num" w:pos="284"/>
        </w:tabs>
        <w:spacing w:line="240" w:lineRule="auto"/>
        <w:ind w:left="284" w:hanging="284"/>
      </w:pPr>
      <w:r>
        <w:t>Performance measures for Outcome 2 are derived from the key performance indicators identified in the Clean Energy Regulator Corporate Plan 2022-26.</w:t>
      </w:r>
    </w:p>
    <w:p w:rsidR="00FE7562" w:rsidRDefault="00FE7562" w:rsidP="00091719"/>
    <w:p w:rsidR="005B2053" w:rsidRPr="00110739" w:rsidRDefault="00BA7A7F" w:rsidP="00110739">
      <w:pPr>
        <w:pStyle w:val="Heading2"/>
        <w:pageBreakBefore/>
        <w:spacing w:after="120"/>
        <w:rPr>
          <w:b/>
          <w:sz w:val="26"/>
          <w:szCs w:val="26"/>
        </w:rPr>
      </w:pPr>
      <w:bookmarkStart w:id="959" w:name="RG_MARKER_11888"/>
      <w:bookmarkStart w:id="960" w:name="RG_MARKER_11963"/>
      <w:bookmarkStart w:id="961" w:name="RG_MARKER_12070"/>
      <w:r w:rsidRPr="00110739">
        <w:rPr>
          <w:b/>
          <w:sz w:val="26"/>
          <w:szCs w:val="26"/>
        </w:rPr>
        <w:t>Section 3</w:t>
      </w:r>
      <w:bookmarkStart w:id="962" w:name="_Toc449255782_4"/>
      <w:bookmarkStart w:id="963" w:name="_Toc446237038_4"/>
      <w:bookmarkStart w:id="964" w:name="_Toc436625460_4"/>
      <w:bookmarkStart w:id="965" w:name="_Toc436624159_4"/>
      <w:bookmarkEnd w:id="959"/>
      <w:bookmarkEnd w:id="960"/>
      <w:bookmarkEnd w:id="961"/>
      <w:r w:rsidRPr="00110739">
        <w:rPr>
          <w:b/>
          <w:sz w:val="26"/>
          <w:szCs w:val="26"/>
        </w:rPr>
        <w:t>: Budgeted financial statements</w:t>
      </w:r>
      <w:bookmarkEnd w:id="962"/>
      <w:bookmarkEnd w:id="963"/>
      <w:bookmarkEnd w:id="964"/>
      <w:bookmarkEnd w:id="965"/>
    </w:p>
    <w:p w:rsidR="002927BE" w:rsidRPr="002927BE" w:rsidRDefault="00BA7A7F" w:rsidP="002927BE">
      <w:r w:rsidRPr="002927BE">
        <w:t>Section 3 presents budgeted financial statements which provide a comprehensive snapshot of e</w:t>
      </w:r>
      <w:r>
        <w:t>ntity finances for the 2022­23 B</w:t>
      </w:r>
      <w:r w:rsidRPr="002927BE">
        <w:t>udget year, including the impact of budget measures and resourcing on financial statements.</w:t>
      </w:r>
    </w:p>
    <w:p w:rsidR="005B2053" w:rsidRPr="00110739" w:rsidRDefault="00BA7A7F" w:rsidP="005B2053">
      <w:pPr>
        <w:pStyle w:val="Heading3"/>
        <w:rPr>
          <w:smallCaps w:val="0"/>
          <w:sz w:val="22"/>
          <w:szCs w:val="26"/>
        </w:rPr>
      </w:pPr>
      <w:bookmarkStart w:id="966" w:name="_Toc210703218_4"/>
      <w:bookmarkStart w:id="967" w:name="_Toc190682533_4"/>
      <w:bookmarkStart w:id="968" w:name="_Toc190682316_4"/>
      <w:r w:rsidRPr="00110739">
        <w:rPr>
          <w:smallCaps w:val="0"/>
          <w:sz w:val="22"/>
          <w:szCs w:val="26"/>
        </w:rPr>
        <w:t>3.1</w:t>
      </w:r>
      <w:r w:rsidRPr="00110739">
        <w:rPr>
          <w:smallCaps w:val="0"/>
          <w:sz w:val="22"/>
          <w:szCs w:val="26"/>
        </w:rPr>
        <w:tab/>
        <w:t>Budgeted financial statements</w:t>
      </w:r>
      <w:bookmarkEnd w:id="966"/>
      <w:bookmarkEnd w:id="967"/>
      <w:bookmarkEnd w:id="968"/>
    </w:p>
    <w:p w:rsidR="0000614C" w:rsidRPr="00110739" w:rsidRDefault="00BA7A7F" w:rsidP="0000614C">
      <w:pPr>
        <w:pStyle w:val="Heading4"/>
        <w:rPr>
          <w:sz w:val="20"/>
        </w:rPr>
      </w:pPr>
      <w:r w:rsidRPr="00110739">
        <w:rPr>
          <w:sz w:val="20"/>
        </w:rPr>
        <w:t>3.1.1</w:t>
      </w:r>
      <w:r w:rsidRPr="00110739">
        <w:rPr>
          <w:sz w:val="20"/>
        </w:rPr>
        <w:tab/>
        <w:t>Differences between entity resourcing and financial statements</w:t>
      </w:r>
    </w:p>
    <w:p w:rsidR="00C52F7B" w:rsidRDefault="00BA7A7F" w:rsidP="00C52F7B">
      <w:pPr>
        <w:pStyle w:val="ExampleText0"/>
        <w:spacing w:after="160"/>
        <w:jc w:val="both"/>
        <w:rPr>
          <w:i w:val="0"/>
          <w:color w:val="auto"/>
        </w:rPr>
      </w:pPr>
      <w:r w:rsidRPr="00C52F7B">
        <w:rPr>
          <w:i w:val="0"/>
          <w:color w:val="auto"/>
        </w:rPr>
        <w:t>The entity resource statement (Table 1.1) provides a consolidated v</w:t>
      </w:r>
      <w:r>
        <w:rPr>
          <w:i w:val="0"/>
          <w:color w:val="auto"/>
        </w:rPr>
        <w:t>iew of all the resources in 2022-23</w:t>
      </w:r>
      <w:r w:rsidRPr="00C52F7B">
        <w:rPr>
          <w:i w:val="0"/>
          <w:color w:val="auto"/>
        </w:rPr>
        <w:t xml:space="preserve">. For departmental items, this includes equity injections and appropriation receivable that is yet to be drawn down to cover payables and provisions on the Departmental Balance Sheet (Table 3.2). The comprehensive income statement (Table 3.1) shows only the operating appropriation provided each year and excludes appropriation shown in the Departmental Capital Budget Statement </w:t>
      </w:r>
      <w:r>
        <w:rPr>
          <w:i w:val="0"/>
          <w:color w:val="auto"/>
        </w:rPr>
        <w:br/>
      </w:r>
      <w:r w:rsidRPr="00C52F7B">
        <w:rPr>
          <w:i w:val="0"/>
          <w:color w:val="auto"/>
        </w:rPr>
        <w:t>(Table 3.5).</w:t>
      </w:r>
    </w:p>
    <w:p w:rsidR="0000614C" w:rsidRPr="00110739" w:rsidRDefault="00BA7A7F" w:rsidP="0000614C">
      <w:pPr>
        <w:pStyle w:val="Heading4"/>
        <w:rPr>
          <w:sz w:val="20"/>
        </w:rPr>
      </w:pPr>
      <w:r w:rsidRPr="00110739">
        <w:rPr>
          <w:sz w:val="20"/>
        </w:rPr>
        <w:t>3.1.2</w:t>
      </w:r>
      <w:r w:rsidRPr="00110739">
        <w:rPr>
          <w:sz w:val="20"/>
        </w:rPr>
        <w:tab/>
        <w:t>Explanatory notes and analysis of budgeted financial statements</w:t>
      </w:r>
    </w:p>
    <w:p w:rsidR="0087630E" w:rsidRPr="00E30BA9" w:rsidRDefault="00BA7A7F" w:rsidP="0087630E">
      <w:pPr>
        <w:pStyle w:val="ExampleText0"/>
        <w:spacing w:after="160"/>
        <w:rPr>
          <w:rFonts w:cs="Arial"/>
          <w:b/>
          <w:i w:val="0"/>
          <w:color w:val="auto"/>
        </w:rPr>
      </w:pPr>
      <w:r w:rsidRPr="00E30BA9">
        <w:rPr>
          <w:rFonts w:cs="Arial"/>
          <w:b/>
          <w:i w:val="0"/>
          <w:color w:val="auto"/>
        </w:rPr>
        <w:t>Budgeted Departmental Comprehensive Income Statement</w:t>
      </w:r>
    </w:p>
    <w:p w:rsidR="00C52F7B" w:rsidRPr="00C52F7B" w:rsidRDefault="00BA7A7F" w:rsidP="00C52F7B">
      <w:pPr>
        <w:pStyle w:val="ExampleText0"/>
        <w:spacing w:after="160"/>
        <w:jc w:val="both"/>
        <w:rPr>
          <w:i w:val="0"/>
          <w:color w:val="auto"/>
        </w:rPr>
      </w:pPr>
      <w:r w:rsidRPr="00C52F7B">
        <w:rPr>
          <w:i w:val="0"/>
          <w:color w:val="auto"/>
        </w:rPr>
        <w:t>CER is budgeting to a break-even position excluding non-appropriated expenses relating to depreciation and amortisation.</w:t>
      </w:r>
    </w:p>
    <w:p w:rsidR="00EE5CF6" w:rsidRDefault="00BA7A7F" w:rsidP="00EE5CF6">
      <w:pPr>
        <w:pStyle w:val="ExampleText0"/>
        <w:spacing w:after="160"/>
        <w:jc w:val="both"/>
        <w:rPr>
          <w:i w:val="0"/>
          <w:color w:val="000000"/>
          <w:bdr w:val="none" w:sz="0" w:space="0" w:color="auto" w:frame="1"/>
        </w:rPr>
      </w:pPr>
      <w:r>
        <w:rPr>
          <w:i w:val="0"/>
          <w:color w:val="000000"/>
          <w:bdr w:val="none" w:sz="0" w:space="0" w:color="auto" w:frame="1"/>
        </w:rPr>
        <w:t>The budgeted Net Cost of Services to CER for delivering its programs in 2022-23 is $117.2 million (2021-22: $95.4 million).</w:t>
      </w:r>
    </w:p>
    <w:p w:rsidR="00EE5CF6" w:rsidRPr="00EE5CF6" w:rsidRDefault="00BA7A7F" w:rsidP="00EE5CF6">
      <w:pPr>
        <w:pStyle w:val="ExampleText0"/>
        <w:spacing w:after="160"/>
        <w:jc w:val="both"/>
        <w:rPr>
          <w:i w:val="0"/>
          <w:color w:val="000000"/>
          <w:bdr w:val="none" w:sz="0" w:space="0" w:color="auto" w:frame="1"/>
        </w:rPr>
      </w:pPr>
      <w:r>
        <w:rPr>
          <w:i w:val="0"/>
          <w:color w:val="000000"/>
          <w:bdr w:val="none" w:sz="0" w:space="0" w:color="auto" w:frame="1"/>
        </w:rPr>
        <w:t>Budgeted Revenue from Government in 2022-23 is estimated at $114.9 million (2021</w:t>
      </w:r>
      <w:r>
        <w:rPr>
          <w:i w:val="0"/>
          <w:color w:val="000000"/>
          <w:bdr w:val="none" w:sz="0" w:space="0" w:color="auto" w:frame="1"/>
        </w:rPr>
        <w:noBreakHyphen/>
        <w:t xml:space="preserve">22: $92.7 million). </w:t>
      </w:r>
    </w:p>
    <w:p w:rsidR="0087630E" w:rsidRPr="00E30BA9" w:rsidRDefault="00BA7A7F" w:rsidP="00E4479B">
      <w:pPr>
        <w:pStyle w:val="ExampleText0"/>
        <w:spacing w:after="160"/>
        <w:rPr>
          <w:rFonts w:cs="Arial"/>
          <w:b/>
          <w:i w:val="0"/>
          <w:color w:val="auto"/>
        </w:rPr>
      </w:pPr>
      <w:r w:rsidRPr="00E30BA9">
        <w:rPr>
          <w:rFonts w:cs="Arial"/>
          <w:b/>
          <w:i w:val="0"/>
          <w:color w:val="auto"/>
        </w:rPr>
        <w:t>Budgeted Departmental Balance Sheet</w:t>
      </w:r>
    </w:p>
    <w:p w:rsidR="00C52F7B" w:rsidRPr="00C52F7B" w:rsidRDefault="00BA7A7F" w:rsidP="00C52F7B">
      <w:pPr>
        <w:pStyle w:val="ExampleText0"/>
        <w:spacing w:after="160"/>
        <w:jc w:val="both"/>
        <w:rPr>
          <w:i w:val="0"/>
          <w:color w:val="auto"/>
        </w:rPr>
      </w:pPr>
      <w:r w:rsidRPr="00C52F7B">
        <w:rPr>
          <w:i w:val="0"/>
          <w:color w:val="auto"/>
        </w:rPr>
        <w:t>The statement shows the estimated end of year position for departmental assets and liabilities.</w:t>
      </w:r>
    </w:p>
    <w:p w:rsidR="00B87DBE" w:rsidRPr="00EE5CF6" w:rsidRDefault="00BA7A7F" w:rsidP="00EE5CF6">
      <w:pPr>
        <w:pStyle w:val="ExampleText0"/>
        <w:spacing w:after="160"/>
        <w:jc w:val="both"/>
        <w:rPr>
          <w:i w:val="0"/>
          <w:color w:val="000000"/>
          <w:bdr w:val="none" w:sz="0" w:space="0" w:color="auto" w:frame="1"/>
        </w:rPr>
      </w:pPr>
      <w:r>
        <w:rPr>
          <w:i w:val="0"/>
          <w:color w:val="000000"/>
          <w:bdr w:val="none" w:sz="0" w:space="0" w:color="auto" w:frame="1"/>
        </w:rPr>
        <w:t>The net assets position in 2022-23 is estimated to increase by $15.5 million to $40.6 million due to continued investment by the government in the replacement and development of new IT system capability. Total net assets and equity continue to increase in 2023-24 and then stabilise remaining years as a result of contributed equity received for recent budget measures.</w:t>
      </w:r>
    </w:p>
    <w:p w:rsidR="0087630E" w:rsidRPr="00E30BA9" w:rsidRDefault="00BA7A7F" w:rsidP="00E4479B">
      <w:pPr>
        <w:pStyle w:val="ExampleText0"/>
        <w:spacing w:after="160"/>
        <w:rPr>
          <w:rFonts w:cs="Arial"/>
          <w:b/>
          <w:i w:val="0"/>
          <w:color w:val="auto"/>
        </w:rPr>
      </w:pPr>
      <w:r w:rsidRPr="00E30BA9">
        <w:rPr>
          <w:rFonts w:cs="Arial"/>
          <w:b/>
          <w:i w:val="0"/>
          <w:color w:val="auto"/>
        </w:rPr>
        <w:t>Budgeted Departmental Capital Budget Statement</w:t>
      </w:r>
    </w:p>
    <w:p w:rsidR="00EE5CF6" w:rsidRDefault="00BA7A7F" w:rsidP="00EE5CF6">
      <w:pPr>
        <w:spacing w:after="0" w:line="240" w:lineRule="auto"/>
        <w:jc w:val="left"/>
        <w:rPr>
          <w:color w:val="000000"/>
          <w:bdr w:val="none" w:sz="0" w:space="0" w:color="auto" w:frame="1"/>
        </w:rPr>
      </w:pPr>
      <w:r>
        <w:rPr>
          <w:color w:val="000000"/>
          <w:bdr w:val="none" w:sz="0" w:space="0" w:color="auto" w:frame="1"/>
        </w:rPr>
        <w:t xml:space="preserve">The departmental capital budget statement shows the expected capital works program for the current and forward years. Total capital expenditure in 2022-23 is estimated to be $17.8 million. </w:t>
      </w:r>
    </w:p>
    <w:p w:rsidR="00EE5CF6" w:rsidRDefault="00EE5CF6" w:rsidP="00EE5CF6">
      <w:pPr>
        <w:spacing w:after="0" w:line="240" w:lineRule="auto"/>
        <w:jc w:val="left"/>
        <w:rPr>
          <w:color w:val="000000"/>
          <w:bdr w:val="none" w:sz="0" w:space="0" w:color="auto" w:frame="1"/>
        </w:rPr>
      </w:pPr>
    </w:p>
    <w:p w:rsidR="00BB020D" w:rsidRDefault="00BB020D" w:rsidP="00EE5CF6">
      <w:pPr>
        <w:spacing w:after="0" w:line="240" w:lineRule="auto"/>
        <w:jc w:val="left"/>
        <w:rPr>
          <w:color w:val="000000"/>
          <w:bdr w:val="none" w:sz="0" w:space="0" w:color="auto" w:frame="1"/>
        </w:rPr>
      </w:pPr>
    </w:p>
    <w:p w:rsidR="00BB020D" w:rsidRDefault="00BB020D" w:rsidP="00EE5CF6">
      <w:pPr>
        <w:spacing w:after="0" w:line="240" w:lineRule="auto"/>
        <w:jc w:val="left"/>
        <w:rPr>
          <w:color w:val="000000"/>
          <w:bdr w:val="none" w:sz="0" w:space="0" w:color="auto" w:frame="1"/>
        </w:rPr>
      </w:pPr>
    </w:p>
    <w:p w:rsidR="00BB020D" w:rsidRPr="00EE5CF6" w:rsidRDefault="00BB020D" w:rsidP="00EE5CF6">
      <w:pPr>
        <w:spacing w:after="0" w:line="240" w:lineRule="auto"/>
        <w:jc w:val="left"/>
        <w:rPr>
          <w:color w:val="000000"/>
          <w:bdr w:val="none" w:sz="0" w:space="0" w:color="auto" w:frame="1"/>
        </w:rPr>
      </w:pPr>
    </w:p>
    <w:p w:rsidR="001B4B32" w:rsidRPr="00E30BA9" w:rsidRDefault="00BA7A7F" w:rsidP="001B4B32">
      <w:pPr>
        <w:pStyle w:val="ExampleText0"/>
        <w:spacing w:after="160"/>
        <w:rPr>
          <w:rFonts w:cs="Arial"/>
          <w:b/>
          <w:i w:val="0"/>
          <w:color w:val="auto"/>
        </w:rPr>
      </w:pPr>
      <w:r w:rsidRPr="00E30BA9">
        <w:rPr>
          <w:rFonts w:cs="Arial"/>
          <w:b/>
          <w:i w:val="0"/>
          <w:color w:val="auto"/>
        </w:rPr>
        <w:t>Schedule of Budgeted Income and Expenses administered on behalf of government</w:t>
      </w:r>
    </w:p>
    <w:p w:rsidR="00C52F7B" w:rsidRPr="00C52F7B" w:rsidRDefault="00BA7A7F" w:rsidP="00C52F7B">
      <w:pPr>
        <w:pStyle w:val="NoSpacing"/>
        <w:spacing w:after="160"/>
        <w:rPr>
          <w:iCs/>
        </w:rPr>
      </w:pPr>
      <w:r w:rsidRPr="00C52F7B">
        <w:rPr>
          <w:iCs/>
        </w:rPr>
        <w:t>The schedule shows the estimated income and expenses for programs administered by the CER on behalf of the Australian Government.</w:t>
      </w:r>
      <w:r>
        <w:rPr>
          <w:iCs/>
        </w:rPr>
        <w:t xml:space="preserve"> </w:t>
      </w:r>
    </w:p>
    <w:p w:rsidR="006B6EF0" w:rsidRPr="004A0255" w:rsidRDefault="00BA7A7F" w:rsidP="004A0255">
      <w:pPr>
        <w:pStyle w:val="Heading3"/>
        <w:pageBreakBefore/>
        <w:spacing w:before="360" w:after="120"/>
        <w:rPr>
          <w:rFonts w:ascii="Arial Bold" w:hAnsi="Arial Bold"/>
          <w:smallCaps w:val="0"/>
          <w:sz w:val="22"/>
          <w:szCs w:val="22"/>
        </w:rPr>
      </w:pPr>
      <w:bookmarkStart w:id="969" w:name="RG_MARKER_11961"/>
      <w:bookmarkStart w:id="970" w:name="RG_MARKER_12186"/>
      <w:r w:rsidRPr="004A0255">
        <w:rPr>
          <w:rFonts w:ascii="Arial Bold" w:hAnsi="Arial Bold"/>
          <w:smallCaps w:val="0"/>
          <w:sz w:val="22"/>
          <w:szCs w:val="22"/>
        </w:rPr>
        <w:t>3.2</w:t>
      </w:r>
      <w:bookmarkEnd w:id="969"/>
      <w:bookmarkEnd w:id="970"/>
      <w:r w:rsidRPr="004A0255">
        <w:rPr>
          <w:rFonts w:ascii="Arial Bold" w:hAnsi="Arial Bold"/>
          <w:smallCaps w:val="0"/>
          <w:sz w:val="22"/>
          <w:szCs w:val="22"/>
        </w:rPr>
        <w:tab/>
        <w:t>Budgeted financial statements tables</w:t>
      </w:r>
    </w:p>
    <w:p w:rsidR="005E7F55" w:rsidRDefault="00BA7A7F" w:rsidP="0063246D">
      <w:pPr>
        <w:pStyle w:val="TableHeading"/>
        <w:keepLines/>
        <w:spacing w:before="0"/>
      </w:pPr>
      <w:r>
        <w:t>Table 3.1: Comprehensive income statement (showing net cost of services) for the period ended 30 June</w:t>
      </w:r>
    </w:p>
    <w:tbl>
      <w:tblPr>
        <w:tblStyle w:val="CDMRange1"/>
        <w:tblW w:w="7575" w:type="dxa"/>
        <w:tblLayout w:type="fixed"/>
        <w:tblLook w:val="0600" w:firstRow="0" w:lastRow="0" w:firstColumn="0" w:lastColumn="0" w:noHBand="1" w:noVBand="1"/>
      </w:tblPr>
      <w:tblGrid>
        <w:gridCol w:w="3450"/>
        <w:gridCol w:w="825"/>
        <w:gridCol w:w="825"/>
        <w:gridCol w:w="825"/>
        <w:gridCol w:w="825"/>
        <w:gridCol w:w="825"/>
      </w:tblGrid>
      <w:tr w:rsidR="00253274">
        <w:trPr>
          <w:trHeight w:val="900"/>
        </w:trPr>
        <w:tc>
          <w:tcPr>
            <w:tcW w:w="345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42,307</w:t>
            </w:r>
          </w:p>
        </w:tc>
        <w:tc>
          <w:tcPr>
            <w:tcW w:w="825" w:type="dxa"/>
            <w:tcBorders>
              <w:top w:val="nil"/>
              <w:left w:val="nil"/>
              <w:bottom w:val="nil"/>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44,916</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42,359</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41,865</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41,865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46,587</w:t>
            </w:r>
          </w:p>
        </w:tc>
        <w:tc>
          <w:tcPr>
            <w:tcW w:w="825" w:type="dxa"/>
            <w:tcBorders>
              <w:top w:val="nil"/>
              <w:left w:val="nil"/>
              <w:bottom w:val="nil"/>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72,711</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45,033</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42,320</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35,770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 (a)</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6,819</w:t>
            </w:r>
          </w:p>
        </w:tc>
        <w:tc>
          <w:tcPr>
            <w:tcW w:w="825" w:type="dxa"/>
            <w:tcBorders>
              <w:top w:val="nil"/>
              <w:left w:val="nil"/>
              <w:bottom w:val="nil"/>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5,575</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7,158</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9,681</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10,252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151</w:t>
            </w:r>
          </w:p>
        </w:tc>
        <w:tc>
          <w:tcPr>
            <w:tcW w:w="825" w:type="dxa"/>
            <w:tcBorders>
              <w:top w:val="nil"/>
              <w:left w:val="nil"/>
              <w:bottom w:val="nil"/>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530</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480</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440</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Losses from asset sales</w:t>
            </w:r>
          </w:p>
        </w:tc>
        <w:tc>
          <w:tcPr>
            <w:tcW w:w="825" w:type="dxa"/>
            <w:tcBorders>
              <w:top w:val="nil"/>
              <w:left w:val="nil"/>
              <w:bottom w:val="dotted" w:sz="2" w:space="0" w:color="000000"/>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6E6E6"/>
            <w:noWrap/>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95,864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123,732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95,030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94,306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88,277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3450" w:type="dxa"/>
            <w:tcBorders>
              <w:top w:val="nil"/>
              <w:left w:val="nil"/>
              <w:bottom w:val="nil"/>
              <w:right w:val="nil"/>
              <w:tl2br w:val="nil"/>
              <w:tr2bl w:val="nil"/>
            </w:tcBorders>
            <w:shd w:val="clear" w:color="auto" w:fill="auto"/>
            <w:tcMar>
              <w:left w:w="310"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6,100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6,100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310"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425</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425</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425</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6,525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(95,439)</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(117,207)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(94,605)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(93,881)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(87,852)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92,732</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114,892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90,807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87,670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81,190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(2,707)</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(2,315)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(3,798)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(6,211)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(6,662)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(2,707)</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(2,315)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(3,798)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(6,211)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(6,662)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450" w:type="dxa"/>
            <w:tcBorders>
              <w:top w:val="nil"/>
              <w:left w:val="nil"/>
              <w:bottom w:val="single" w:sz="4" w:space="0" w:color="000000"/>
              <w:right w:val="nil"/>
              <w:tl2br w:val="nil"/>
              <w:tr2bl w:val="nil"/>
            </w:tcBorders>
            <w:shd w:val="clear" w:color="auto" w:fill="auto"/>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(2,707)</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(2,315)</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(3,798)</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(6,211)</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(6,662)</w:t>
            </w:r>
          </w:p>
        </w:tc>
      </w:tr>
    </w:tbl>
    <w:p w:rsidR="007D7AAA" w:rsidRDefault="00BA7A7F">
      <w:pPr>
        <w:keepLines w:val="0"/>
        <w:spacing w:after="200" w:line="276" w:lineRule="auto"/>
        <w:jc w:val="left"/>
        <w:rPr>
          <w:rFonts w:ascii="Arial" w:hAnsi="Arial"/>
          <w:b/>
        </w:rPr>
      </w:pPr>
      <w:r>
        <w:br w:type="page"/>
      </w:r>
    </w:p>
    <w:p w:rsidR="00E02CEF" w:rsidRDefault="00BA7A7F" w:rsidP="0063246D">
      <w:pPr>
        <w:pStyle w:val="TableHeading"/>
        <w:keepLines/>
        <w:spacing w:before="0"/>
      </w:pPr>
      <w:r>
        <w:t>Table 3.1: Comprehensive income statement (showing net cost of services) for the period ended 30 June (continued)</w:t>
      </w:r>
    </w:p>
    <w:tbl>
      <w:tblPr>
        <w:tblStyle w:val="CDMRange2"/>
        <w:tblW w:w="7575" w:type="dxa"/>
        <w:tblLayout w:type="fixed"/>
        <w:tblLook w:val="0600" w:firstRow="0" w:lastRow="0" w:firstColumn="0" w:lastColumn="0" w:noHBand="1" w:noVBand="1"/>
      </w:tblPr>
      <w:tblGrid>
        <w:gridCol w:w="3450"/>
        <w:gridCol w:w="825"/>
        <w:gridCol w:w="825"/>
        <w:gridCol w:w="825"/>
        <w:gridCol w:w="825"/>
        <w:gridCol w:w="825"/>
      </w:tblGrid>
      <w:tr w:rsidR="00253274">
        <w:trPr>
          <w:trHeight w:val="255"/>
        </w:trPr>
        <w:tc>
          <w:tcPr>
            <w:tcW w:w="5100" w:type="dxa"/>
            <w:gridSpan w:val="3"/>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825" w:type="dxa"/>
            <w:tcBorders>
              <w:top w:val="nil"/>
              <w:left w:val="nil"/>
              <w:bottom w:val="single" w:sz="4" w:space="0" w:color="000000"/>
              <w:right w:val="nil"/>
              <w:tl2br w:val="nil"/>
              <w:tr2bl w:val="nil"/>
            </w:tcBorders>
            <w:shd w:val="clear" w:color="auto" w:fill="auto"/>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single" w:sz="4" w:space="0" w:color="000000"/>
              <w:right w:val="nil"/>
              <w:tl2br w:val="nil"/>
              <w:tr2bl w:val="nil"/>
            </w:tcBorders>
            <w:shd w:val="clear" w:color="auto" w:fill="auto"/>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single" w:sz="4" w:space="0" w:color="000000"/>
              <w:right w:val="nil"/>
              <w:tl2br w:val="nil"/>
              <w:tr2bl w:val="nil"/>
            </w:tcBorders>
            <w:shd w:val="clear" w:color="auto" w:fill="auto"/>
            <w:tcMar>
              <w:left w:w="0" w:type="dxa"/>
              <w:right w:w="0" w:type="dxa"/>
            </w:tcMa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45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450" w:type="dxa"/>
            <w:tcBorders>
              <w:top w:val="nil"/>
              <w:left w:val="nil"/>
              <w:bottom w:val="nil"/>
              <w:right w:val="nil"/>
              <w:tl2br w:val="nil"/>
              <w:tr2bl w:val="nil"/>
            </w:tcBorders>
            <w:shd w:val="clear" w:color="auto" w:fill="auto"/>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 </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(2,707)</w:t>
            </w:r>
          </w:p>
        </w:tc>
        <w:tc>
          <w:tcPr>
            <w:tcW w:w="82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(2,315)</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(3,798)</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(6,211)</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(6,662)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450" w:type="dxa"/>
            <w:tcBorders>
              <w:top w:val="nil"/>
              <w:left w:val="nil"/>
              <w:bottom w:val="nil"/>
              <w:right w:val="nil"/>
              <w:tl2br w:val="nil"/>
              <w:tr2bl w:val="nil"/>
            </w:tcBorders>
            <w:shd w:val="clear" w:color="auto" w:fill="auto"/>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previously funded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through revenue appropriations (a)</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3,013</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3,185</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4,768</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7,291</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7,862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450" w:type="dxa"/>
            <w:tcBorders>
              <w:top w:val="nil"/>
              <w:left w:val="nil"/>
              <w:bottom w:val="nil"/>
              <w:right w:val="nil"/>
              <w:tl2br w:val="nil"/>
              <w:tr2bl w:val="nil"/>
            </w:tcBorders>
            <w:shd w:val="clear" w:color="auto" w:fill="auto"/>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3,806</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2,390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2,390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2,390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50" w:type="dxa"/>
            <w:tcBorders>
              <w:top w:val="nil"/>
              <w:left w:val="nil"/>
              <w:bottom w:val="nil"/>
              <w:right w:val="nil"/>
              <w:tl2br w:val="nil"/>
              <w:tr2bl w:val="nil"/>
            </w:tcBorders>
            <w:shd w:val="clear" w:color="auto" w:fill="auto"/>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4,112</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3,260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3,360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3,470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50" w:type="dxa"/>
            <w:tcBorders>
              <w:top w:val="nil"/>
              <w:left w:val="nil"/>
              <w:bottom w:val="single" w:sz="4" w:space="0" w:color="000000"/>
              <w:right w:val="nil"/>
              <w:tl2br w:val="nil"/>
              <w:tr2bl w:val="nil"/>
            </w:tcBorders>
            <w:shd w:val="clear" w:color="auto" w:fill="auto"/>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 (Deficit)</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874BC5" w:rsidRPr="00874BC5" w:rsidRDefault="00BA7A7F" w:rsidP="004A0255">
      <w:pPr>
        <w:spacing w:after="0" w:line="240" w:lineRule="auto"/>
        <w:ind w:left="142" w:hanging="142"/>
        <w:rPr>
          <w:rStyle w:val="Hyperlink"/>
          <w:rFonts w:ascii="Arial" w:hAnsi="Arial" w:cs="Arial"/>
          <w:sz w:val="16"/>
          <w:szCs w:val="16"/>
        </w:rPr>
      </w:pPr>
      <w:r w:rsidRPr="00874BC5">
        <w:rPr>
          <w:rStyle w:val="Hyperlink"/>
          <w:rFonts w:ascii="Arial" w:hAnsi="Arial" w:cs="Arial"/>
          <w:sz w:val="16"/>
          <w:szCs w:val="16"/>
        </w:rPr>
        <w:t>Prepared on Australian Accounting Standards basis.</w:t>
      </w:r>
    </w:p>
    <w:p w:rsidR="00064A44" w:rsidRDefault="00BA7A7F" w:rsidP="00354E7C">
      <w:pPr>
        <w:pStyle w:val="ChartandTableFootnoteAlpha"/>
        <w:numPr>
          <w:ilvl w:val="0"/>
          <w:numId w:val="95"/>
        </w:numPr>
        <w:tabs>
          <w:tab w:val="left" w:pos="720"/>
        </w:tabs>
        <w:spacing w:line="240" w:lineRule="auto"/>
        <w:ind w:left="357" w:hanging="357"/>
        <w:rPr>
          <w:rFonts w:cs="Arial"/>
          <w:szCs w:val="16"/>
        </w:rPr>
      </w:pPr>
      <w:r>
        <w:rPr>
          <w:rFonts w:cs="Arial"/>
          <w:color w:val="000000"/>
          <w:szCs w:val="16"/>
        </w:rPr>
        <w:t xml:space="preserve">From 2010-11, the Government introduced net cash appropriation arrangements. This involved Bill </w:t>
      </w:r>
      <w:r w:rsidR="005D2CD1">
        <w:rPr>
          <w:rFonts w:cs="Arial"/>
          <w:color w:val="000000"/>
          <w:szCs w:val="16"/>
        </w:rPr>
        <w:t xml:space="preserve">1 </w:t>
      </w:r>
      <w:r>
        <w:rPr>
          <w:rFonts w:cs="Arial"/>
          <w:color w:val="000000"/>
          <w:szCs w:val="16"/>
        </w:rPr>
        <w:t xml:space="preserve">revenue appropriations for the depreciation/amortisation expenses of non-corporate Commonwealth entities (and select corporate Commonwealth entities) were replaced with a separate capital budget </w:t>
      </w:r>
      <w:r w:rsidRPr="005D2CD1">
        <w:rPr>
          <w:rFonts w:cs="Arial"/>
          <w:color w:val="000000"/>
          <w:szCs w:val="16"/>
        </w:rPr>
        <w:t>(the Departmental Capital Budget, or DCB) provided through Bill 1 equity appropriations. For information regarding DCBs, please refer to Table 3.5 Departmental Capital Budget Statement.</w:t>
      </w:r>
      <w:r w:rsidRPr="005D2CD1">
        <w:rPr>
          <w:rFonts w:cs="Arial"/>
          <w:szCs w:val="16"/>
        </w:rPr>
        <w:t xml:space="preserve"> </w:t>
      </w:r>
    </w:p>
    <w:p w:rsidR="00915587" w:rsidRDefault="00BA7A7F" w:rsidP="00354E7C">
      <w:pPr>
        <w:pStyle w:val="ChartandTableFootnoteAlpha"/>
        <w:numPr>
          <w:ilvl w:val="0"/>
          <w:numId w:val="95"/>
        </w:numPr>
        <w:tabs>
          <w:tab w:val="left" w:pos="720"/>
        </w:tabs>
        <w:spacing w:line="240" w:lineRule="auto"/>
        <w:ind w:left="357" w:hanging="357"/>
        <w:rPr>
          <w:rFonts w:cs="Arial"/>
          <w:szCs w:val="16"/>
        </w:rPr>
      </w:pPr>
      <w:r w:rsidRPr="00064A44">
        <w:rPr>
          <w:rFonts w:cs="Arial"/>
          <w:szCs w:val="16"/>
        </w:rPr>
        <w:t>Applies leases under AASB 16 Leases.</w:t>
      </w:r>
    </w:p>
    <w:p w:rsidR="00A2290F" w:rsidRPr="00A2290F" w:rsidRDefault="00A2290F" w:rsidP="00A2290F">
      <w:pPr>
        <w:rPr>
          <w:rFonts w:ascii="Arial" w:hAnsi="Arial" w:cs="Arial"/>
          <w:sz w:val="16"/>
          <w:szCs w:val="16"/>
        </w:rPr>
      </w:pPr>
    </w:p>
    <w:p w:rsidR="005E7F55" w:rsidRDefault="00BA7A7F" w:rsidP="0063246D">
      <w:pPr>
        <w:pStyle w:val="TableHeading"/>
        <w:keepLines/>
        <w:pageBreakBefore/>
        <w:spacing w:before="0"/>
        <w:rPr>
          <w:rStyle w:val="BookTitle"/>
          <w:i w:val="0"/>
          <w:iCs/>
          <w:spacing w:val="0"/>
          <w:bdr w:val="none" w:sz="0" w:space="0" w:color="auto" w:frame="1"/>
        </w:rPr>
      </w:pPr>
      <w:r>
        <w:rPr>
          <w:bdr w:val="none" w:sz="0" w:space="0" w:color="auto" w:frame="1"/>
        </w:rPr>
        <w:t xml:space="preserve">Table 3.2: Budgeted departmental balance sheet (as at </w:t>
      </w:r>
      <w:r>
        <w:t>30 June)</w:t>
      </w:r>
    </w:p>
    <w:tbl>
      <w:tblPr>
        <w:tblStyle w:val="CDMRange1"/>
        <w:tblW w:w="7875" w:type="dxa"/>
        <w:tblLayout w:type="fixed"/>
        <w:tblLook w:val="0600" w:firstRow="0" w:lastRow="0" w:firstColumn="0" w:lastColumn="0" w:noHBand="1" w:noVBand="1"/>
      </w:tblPr>
      <w:tblGrid>
        <w:gridCol w:w="3000"/>
        <w:gridCol w:w="975"/>
        <w:gridCol w:w="975"/>
        <w:gridCol w:w="975"/>
        <w:gridCol w:w="975"/>
        <w:gridCol w:w="975"/>
      </w:tblGrid>
      <w:tr w:rsidR="00253274">
        <w:trPr>
          <w:trHeight w:val="900"/>
        </w:trPr>
        <w:tc>
          <w:tcPr>
            <w:tcW w:w="300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20,789</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21,527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21,527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21,527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21,527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5,818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5,818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5,818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5,818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5,818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26,942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27,680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27,680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27,680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27,680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36,906</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33,302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29,698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26,094</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22,490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2,430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2,159</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1,888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1,617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1,346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11,524</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26,876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33,707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30,953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25,753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51,428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62,905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65,861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59,232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50,157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78,370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90,585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93,541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86,912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77,837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3,223</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3,223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3,223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3,223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4,217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4,217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4,217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4,217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4,217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35,739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32,479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29,119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25,649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22,059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35,739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32,479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29,119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25,649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22,059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13,245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13,245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13,245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13,245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13,245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13,245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13,245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13,245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13,245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13,245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53,201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49,941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46,581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43,111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39,521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25,169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40,644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46,960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43,801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38,316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0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0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96,338</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114,128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124,242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127,294</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128,471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0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9,598</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9,598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9,598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9,598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9,598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00"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Retained surplus / (accumulated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(80,767)</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(83,082)</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(86,880)</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(93,091)</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(99,753)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25,169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40,644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46,960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43,801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38,316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25,169</w:t>
            </w:r>
          </w:p>
        </w:tc>
        <w:tc>
          <w:tcPr>
            <w:tcW w:w="97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40,644</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46,960</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43,801</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38,316</w:t>
            </w:r>
          </w:p>
        </w:tc>
      </w:tr>
    </w:tbl>
    <w:p w:rsidR="005E7F55" w:rsidRPr="00445A7B" w:rsidRDefault="00BA7A7F" w:rsidP="00345E88">
      <w:pPr>
        <w:spacing w:before="40" w:after="0" w:line="240" w:lineRule="auto"/>
        <w:rPr>
          <w:rFonts w:ascii="Arial" w:eastAsia="Calibri" w:hAnsi="Arial" w:cs="Arial"/>
          <w:sz w:val="16"/>
          <w:szCs w:val="16"/>
          <w:bdr w:val="none" w:sz="0" w:space="0" w:color="auto" w:frame="1"/>
        </w:rPr>
      </w:pPr>
      <w:r w:rsidRPr="00445A7B">
        <w:rPr>
          <w:rFonts w:ascii="Arial" w:eastAsia="Calibri" w:hAnsi="Arial" w:cs="Arial"/>
          <w:sz w:val="16"/>
          <w:szCs w:val="16"/>
          <w:bdr w:val="none" w:sz="0" w:space="0" w:color="auto" w:frame="1"/>
        </w:rPr>
        <w:t>Prepared on Australian Accounting Standards basis.</w:t>
      </w:r>
    </w:p>
    <w:p w:rsidR="005E7F55" w:rsidRDefault="00BA7A7F" w:rsidP="004A0255">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00FC1FCC" w:rsidRPr="00445A7B">
        <w:rPr>
          <w:rFonts w:ascii="Arial" w:eastAsia="Calibri" w:hAnsi="Arial" w:cs="Arial"/>
          <w:sz w:val="16"/>
          <w:szCs w:val="16"/>
          <w:bdr w:val="none" w:sz="0" w:space="0" w:color="auto" w:frame="1"/>
        </w:rPr>
        <w:t>Equity is the residual interest in assets after deduction of liabilities.</w:t>
      </w:r>
      <w:r>
        <w:rPr>
          <w:rFonts w:ascii="Arial" w:eastAsia="Calibri" w:hAnsi="Arial" w:cs="Arial"/>
          <w:sz w:val="16"/>
          <w:szCs w:val="16"/>
          <w:bdr w:val="none" w:sz="0" w:space="0" w:color="auto" w:frame="1"/>
        </w:rPr>
        <w:br w:type="page"/>
      </w:r>
    </w:p>
    <w:p w:rsidR="005E7F55" w:rsidRDefault="00BA7A7F" w:rsidP="0063246D">
      <w:pPr>
        <w:pStyle w:val="TableHeading"/>
        <w:keepLines/>
        <w:spacing w:before="0"/>
        <w:rPr>
          <w:rStyle w:val="BookTitle"/>
          <w:i w:val="0"/>
          <w:iCs/>
        </w:rPr>
      </w:pPr>
      <w:r>
        <w:t>Table 3.3: Departmental statement of changes in equity – summary of movement (Budget year 2022­23)</w:t>
      </w:r>
    </w:p>
    <w:tbl>
      <w:tblPr>
        <w:tblStyle w:val="CDMRange2"/>
        <w:tblW w:w="7455" w:type="dxa"/>
        <w:tblLayout w:type="fixed"/>
        <w:tblLook w:val="0600" w:firstRow="0" w:lastRow="0" w:firstColumn="0" w:lastColumn="0" w:noHBand="1" w:noVBand="1"/>
      </w:tblPr>
      <w:tblGrid>
        <w:gridCol w:w="3750"/>
        <w:gridCol w:w="810"/>
        <w:gridCol w:w="915"/>
        <w:gridCol w:w="960"/>
        <w:gridCol w:w="1020"/>
      </w:tblGrid>
      <w:tr w:rsidR="00253274">
        <w:trPr>
          <w:trHeight w:val="900"/>
        </w:trPr>
        <w:tc>
          <w:tcPr>
            <w:tcW w:w="37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Asset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equity/</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7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(80,767)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9,598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96,338</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25,169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(2,315)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(2,315)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(2,315)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(2,315)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b/>
                <w:i/>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b/>
                <w:i/>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b/>
                <w:i/>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b/>
                <w:i/>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16,637</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16,637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1,153</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7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owners</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17,790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17,790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2023</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(83,082)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9,598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114,128</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40,644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5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(83,082)</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9,598</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114,128</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40,644</w:t>
            </w:r>
          </w:p>
        </w:tc>
      </w:tr>
    </w:tbl>
    <w:p w:rsidR="005E7F55" w:rsidRDefault="00BA7A7F" w:rsidP="00345E8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Pr>
          <w:rFonts w:ascii="Arial" w:eastAsia="Calibri" w:hAnsi="Arial" w:cs="Arial"/>
          <w:sz w:val="16"/>
          <w:szCs w:val="16"/>
          <w:bdr w:val="none" w:sz="0" w:space="0" w:color="auto" w:frame="1"/>
        </w:rPr>
        <w:br w:type="page"/>
      </w:r>
    </w:p>
    <w:p w:rsidR="005E7F55" w:rsidRDefault="00BA7A7F" w:rsidP="0063246D">
      <w:pPr>
        <w:pStyle w:val="TableHeading"/>
        <w:keepLines/>
        <w:spacing w:before="0"/>
        <w:rPr>
          <w:rStyle w:val="BookTitle"/>
          <w:i w:val="0"/>
          <w:iCs/>
        </w:rPr>
      </w:pPr>
      <w:r>
        <w:t>Table 3.4: Budgeted departmental statement of cash flows (for the period ended 30 June)</w:t>
      </w:r>
    </w:p>
    <w:tbl>
      <w:tblPr>
        <w:tblStyle w:val="CDMRange1"/>
        <w:tblW w:w="7575" w:type="dxa"/>
        <w:tblLayout w:type="fixed"/>
        <w:tblLook w:val="0600" w:firstRow="0" w:lastRow="0" w:firstColumn="0" w:lastColumn="0" w:noHBand="1" w:noVBand="1"/>
      </w:tblPr>
      <w:tblGrid>
        <w:gridCol w:w="3150"/>
        <w:gridCol w:w="885"/>
        <w:gridCol w:w="885"/>
        <w:gridCol w:w="885"/>
        <w:gridCol w:w="885"/>
        <w:gridCol w:w="885"/>
      </w:tblGrid>
      <w:tr w:rsidR="00253274">
        <w:trPr>
          <w:trHeight w:val="900"/>
        </w:trPr>
        <w:tc>
          <w:tcPr>
            <w:tcW w:w="315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tcMar>
              <w:left w:w="0" w:type="dxa"/>
              <w:right w:w="0" w:type="dxa"/>
            </w:tcMa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95,482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114,892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90,807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87,670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81,190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2,662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2,629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2,679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3,685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98,144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123,621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93,486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91,355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84,585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42,307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44,916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42,359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41,865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41,865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48,824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74,915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47,287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45,580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38,740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151</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91,282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120,361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90,126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87,885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80,995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6,862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3,260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3,360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3,470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11,312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17,052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10,114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3,052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11,312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17,052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10,114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3,052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(11,312)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(17,052)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(10,114)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(3,052)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8,562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17,052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10,114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3,052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8,562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17,052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10,114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3,052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i/>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i/>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i/>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i/>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i/>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4,112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3,260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3,360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3,470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8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dotted" w:sz="2" w:space="0" w:color="000000"/>
              <w:right w:val="nil"/>
              <w:tl2br w:val="nil"/>
              <w:tr2bl w:val="nil"/>
            </w:tcBorders>
            <w:shd w:val="clear" w:color="FFFFFF" w:fill="E6E6E6"/>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4,112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3,260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3,360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3,470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3,590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4,450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13,792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6,754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(2,413)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335</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335</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335</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335</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335</w:t>
            </w:r>
          </w:p>
        </w:tc>
      </w:tr>
    </w:tbl>
    <w:p w:rsidR="00E02CEF" w:rsidRPr="0063246D" w:rsidRDefault="00BA7A7F" w:rsidP="00345E8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rsidR="00E02CEF" w:rsidRDefault="00BA7A7F" w:rsidP="0063246D">
      <w:pPr>
        <w:pStyle w:val="TableHeading"/>
        <w:keepLines/>
        <w:spacing w:before="0"/>
        <w:rPr>
          <w:rStyle w:val="BookTitle"/>
          <w:i w:val="0"/>
          <w:iCs/>
        </w:rPr>
      </w:pPr>
      <w:r>
        <w:t>Table 3.5: Departmental capital budget statement (for the period ended  30 June)</w:t>
      </w:r>
    </w:p>
    <w:tbl>
      <w:tblPr>
        <w:tblStyle w:val="CDMRange2"/>
        <w:tblW w:w="7575" w:type="dxa"/>
        <w:tblLayout w:type="fixed"/>
        <w:tblLook w:val="0600" w:firstRow="0" w:lastRow="0" w:firstColumn="0" w:lastColumn="0" w:noHBand="1" w:noVBand="1"/>
      </w:tblPr>
      <w:tblGrid>
        <w:gridCol w:w="3300"/>
        <w:gridCol w:w="855"/>
        <w:gridCol w:w="855"/>
        <w:gridCol w:w="855"/>
        <w:gridCol w:w="855"/>
        <w:gridCol w:w="855"/>
      </w:tblGrid>
      <w:tr w:rsidR="00253274">
        <w:trPr>
          <w:trHeight w:val="900"/>
        </w:trPr>
        <w:tc>
          <w:tcPr>
            <w:tcW w:w="330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1,143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6,681</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16,637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8,955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1,883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7,824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17,790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10,114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3,052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7,824</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17,790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10,114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3,052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1,177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7,824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17,790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10,114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3,052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6,681</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15,899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8,955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1,883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DCB (b)</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1,143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(c)</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3,488</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11,312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17,052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10,114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3,052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47,122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17,052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10,114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3,052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25,060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less: gifted assets / lease incentives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10,750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11,312</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17,052</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10,114</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3,052</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1,177</w:t>
            </w:r>
          </w:p>
        </w:tc>
      </w:tr>
    </w:tbl>
    <w:p w:rsidR="00E02CEF" w:rsidRDefault="00BA7A7F" w:rsidP="00546C2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915587" w:rsidRPr="0063246D" w:rsidRDefault="00BA7A7F" w:rsidP="00345E88">
      <w:pPr>
        <w:pStyle w:val="ChartandTableFootnoteAlpha"/>
        <w:numPr>
          <w:ilvl w:val="0"/>
          <w:numId w:val="96"/>
        </w:numPr>
        <w:tabs>
          <w:tab w:val="left" w:pos="720"/>
        </w:tabs>
        <w:spacing w:line="240" w:lineRule="auto"/>
        <w:ind w:left="357" w:hanging="357"/>
        <w:contextualSpacing/>
        <w:jc w:val="left"/>
        <w:rPr>
          <w:rFonts w:cs="Arial"/>
          <w:szCs w:val="16"/>
        </w:rPr>
      </w:pPr>
      <w:r w:rsidRPr="0063246D">
        <w:rPr>
          <w:rFonts w:cs="Arial"/>
          <w:szCs w:val="16"/>
        </w:rPr>
        <w:t>Includes both current Bill 2 and prior Act 2/4/6 appropriations and special capital appropriations.</w:t>
      </w:r>
    </w:p>
    <w:p w:rsidR="005D2CD1" w:rsidRPr="0063246D" w:rsidRDefault="00BA7A7F" w:rsidP="00345E88">
      <w:pPr>
        <w:pStyle w:val="ChartandTableFootnoteAlpha"/>
        <w:numPr>
          <w:ilvl w:val="0"/>
          <w:numId w:val="96"/>
        </w:numPr>
        <w:tabs>
          <w:tab w:val="left" w:pos="720"/>
        </w:tabs>
        <w:spacing w:line="240" w:lineRule="auto"/>
        <w:ind w:left="357" w:hanging="357"/>
        <w:contextualSpacing/>
        <w:jc w:val="left"/>
        <w:rPr>
          <w:rFonts w:cs="Arial"/>
          <w:szCs w:val="16"/>
        </w:rPr>
      </w:pPr>
      <w:r w:rsidRPr="0063246D">
        <w:rPr>
          <w:rFonts w:cs="Arial"/>
          <w:szCs w:val="16"/>
        </w:rPr>
        <w:t>Includes purchases from current and previous years' Departmental Capital Budgets (DCBs).</w:t>
      </w:r>
    </w:p>
    <w:p w:rsidR="00E02CEF" w:rsidRPr="004A0255" w:rsidRDefault="00BA7A7F" w:rsidP="00345E88">
      <w:pPr>
        <w:pStyle w:val="ChartandTableFootnoteAlpha"/>
        <w:numPr>
          <w:ilvl w:val="0"/>
          <w:numId w:val="96"/>
        </w:numPr>
        <w:tabs>
          <w:tab w:val="left" w:pos="720"/>
        </w:tabs>
        <w:spacing w:line="240" w:lineRule="auto"/>
        <w:ind w:left="357" w:hanging="357"/>
        <w:contextualSpacing/>
        <w:jc w:val="left"/>
        <w:rPr>
          <w:rFonts w:eastAsia="Calibri" w:cs="Arial"/>
          <w:szCs w:val="16"/>
          <w:bdr w:val="none" w:sz="0" w:space="0" w:color="auto" w:frame="1"/>
        </w:rPr>
      </w:pPr>
      <w:r w:rsidRPr="0063246D">
        <w:rPr>
          <w:rFonts w:cs="Arial"/>
          <w:szCs w:val="16"/>
        </w:rPr>
        <w:t>Includes purchases from current and prior year cash reserves.</w:t>
      </w:r>
      <w:r>
        <w:br w:type="page"/>
      </w:r>
    </w:p>
    <w:p w:rsidR="00E02CEF" w:rsidRDefault="00BA7A7F" w:rsidP="00E02CEF">
      <w:pPr>
        <w:pStyle w:val="TableHeading"/>
        <w:keepLines/>
        <w:spacing w:before="0" w:after="0"/>
        <w:rPr>
          <w:rStyle w:val="BookTitle"/>
          <w:i w:val="0"/>
          <w:iCs/>
        </w:rPr>
      </w:pPr>
      <w:r>
        <w:t>Table 3.6: Statement of departmental asset movements (Budget year 2022­23)</w:t>
      </w:r>
    </w:p>
    <w:tbl>
      <w:tblPr>
        <w:tblStyle w:val="CDMRange1"/>
        <w:tblW w:w="7635" w:type="dxa"/>
        <w:tblLayout w:type="fixed"/>
        <w:tblLook w:val="0600" w:firstRow="0" w:lastRow="0" w:firstColumn="0" w:lastColumn="0" w:noHBand="1" w:noVBand="1"/>
      </w:tblPr>
      <w:tblGrid>
        <w:gridCol w:w="4035"/>
        <w:gridCol w:w="900"/>
        <w:gridCol w:w="900"/>
        <w:gridCol w:w="900"/>
        <w:gridCol w:w="900"/>
      </w:tblGrid>
      <w:tr w:rsidR="00253274">
        <w:trPr>
          <w:trHeight w:val="1125"/>
        </w:trPr>
        <w:tc>
          <w:tcPr>
            <w:tcW w:w="40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3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3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12,750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4,285</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72,160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89,195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3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25,060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3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(304)</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(1,855)</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(60,636)</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(62,795)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403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 - ROU assets</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3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36,906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2,430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11,524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50,860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3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3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03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17,052</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17,052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3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17,052</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17,052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3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35"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(1,214)</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(271)</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(1,700)</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(3,185)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35"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(2,390)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3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(3,604)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(1,700)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(5,575)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3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3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12,750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4,285</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89,212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106,247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3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25,060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3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(1,518)</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(2,126)</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(62,336)</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(65,980)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03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 - ROU assets</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(2,990)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33,302</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2,159</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26,876</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62,337</w:t>
            </w:r>
          </w:p>
        </w:tc>
      </w:tr>
    </w:tbl>
    <w:p w:rsidR="00E02CEF" w:rsidRPr="008934E6" w:rsidRDefault="00BA7A7F" w:rsidP="00E363CC">
      <w:pPr>
        <w:spacing w:before="40" w:after="0" w:line="240" w:lineRule="auto"/>
        <w:rPr>
          <w:rFonts w:ascii="Arial" w:eastAsia="Calibri" w:hAnsi="Arial" w:cs="Arial"/>
          <w:sz w:val="16"/>
          <w:szCs w:val="16"/>
          <w:bdr w:val="none" w:sz="0" w:space="0" w:color="auto" w:frame="1"/>
        </w:rPr>
      </w:pPr>
      <w:r w:rsidRPr="008934E6">
        <w:rPr>
          <w:rFonts w:ascii="Arial" w:eastAsia="Calibri" w:hAnsi="Arial" w:cs="Arial"/>
          <w:sz w:val="16"/>
          <w:szCs w:val="16"/>
          <w:bdr w:val="none" w:sz="0" w:space="0" w:color="auto" w:frame="1"/>
        </w:rPr>
        <w:t>Prepared on Australian Accounting Standards basis.</w:t>
      </w:r>
    </w:p>
    <w:p w:rsidR="00FC1FCC" w:rsidRPr="008934E6" w:rsidRDefault="00BA7A7F" w:rsidP="00E363CC">
      <w:pPr>
        <w:pStyle w:val="ListParagraph"/>
        <w:keepLines/>
        <w:numPr>
          <w:ilvl w:val="0"/>
          <w:numId w:val="97"/>
        </w:numPr>
        <w:spacing w:after="0" w:line="240" w:lineRule="auto"/>
        <w:ind w:left="357" w:hanging="357"/>
        <w:rPr>
          <w:rFonts w:eastAsia="Calibri" w:cs="Arial"/>
          <w:sz w:val="16"/>
          <w:szCs w:val="16"/>
          <w:bdr w:val="none" w:sz="0" w:space="0" w:color="auto" w:frame="1"/>
          <w:lang w:val="en-AU"/>
        </w:rPr>
      </w:pPr>
      <w:r w:rsidRPr="008934E6">
        <w:rPr>
          <w:rFonts w:ascii="Arial" w:eastAsia="Calibri" w:hAnsi="Arial" w:cs="Arial"/>
          <w:sz w:val="16"/>
          <w:szCs w:val="16"/>
          <w:bdr w:val="none" w:sz="0" w:space="0" w:color="auto" w:frame="1"/>
          <w:lang w:val="en-AU"/>
        </w:rPr>
        <w:t>'Appropriation equity' refers to equity injections appropriations provided through Appropriation Bill (No. 2) 2022­23.</w:t>
      </w:r>
    </w:p>
    <w:p w:rsidR="00915587" w:rsidRPr="004A0255" w:rsidRDefault="00BA7A7F" w:rsidP="00345E88">
      <w:pPr>
        <w:pStyle w:val="ListParagraph"/>
        <w:keepLines/>
        <w:numPr>
          <w:ilvl w:val="0"/>
          <w:numId w:val="97"/>
        </w:numPr>
        <w:spacing w:after="0" w:line="240" w:lineRule="auto"/>
        <w:ind w:left="357" w:hanging="357"/>
        <w:rPr>
          <w:rFonts w:eastAsia="Calibri" w:cs="Arial"/>
          <w:sz w:val="16"/>
          <w:szCs w:val="16"/>
          <w:bdr w:val="none" w:sz="0" w:space="0" w:color="auto" w:frame="1"/>
          <w:lang w:val="en-AU"/>
        </w:rPr>
      </w:pPr>
      <w:r w:rsidRPr="004A0255">
        <w:rPr>
          <w:rFonts w:ascii="Arial" w:eastAsia="Calibri" w:hAnsi="Arial" w:cs="Arial"/>
          <w:sz w:val="16"/>
          <w:szCs w:val="16"/>
          <w:bdr w:val="none" w:sz="0" w:space="0" w:color="auto" w:frame="1"/>
          <w:lang w:val="en-AU"/>
        </w:rPr>
        <w:br w:type="page"/>
      </w:r>
    </w:p>
    <w:p w:rsidR="00915587" w:rsidRDefault="00BA7A7F" w:rsidP="00915587">
      <w:pPr>
        <w:pStyle w:val="TableHeading"/>
        <w:keepLines/>
        <w:spacing w:before="240"/>
        <w:rPr>
          <w:rFonts w:cs="Arial"/>
        </w:rPr>
      </w:pPr>
      <w:r>
        <w:rPr>
          <w:rFonts w:cs="Arial"/>
        </w:rPr>
        <w:t>Table 3.7: Schedule of budgeted income and expenses administered on behalf of Government</w:t>
      </w:r>
      <w:r w:rsidR="00C22961">
        <w:rPr>
          <w:rFonts w:cs="Arial"/>
        </w:rPr>
        <w:t xml:space="preserve"> </w:t>
      </w:r>
      <w:r w:rsidR="00C22961">
        <w:t>(for the period ended 30 June)</w:t>
      </w:r>
    </w:p>
    <w:tbl>
      <w:tblPr>
        <w:tblStyle w:val="CDMRange2"/>
        <w:tblW w:w="7710" w:type="dxa"/>
        <w:tblLayout w:type="fixed"/>
        <w:tblLook w:val="0600" w:firstRow="0" w:lastRow="0" w:firstColumn="0" w:lastColumn="0" w:noHBand="1" w:noVBand="1"/>
      </w:tblPr>
      <w:tblGrid>
        <w:gridCol w:w="2835"/>
        <w:gridCol w:w="975"/>
        <w:gridCol w:w="975"/>
        <w:gridCol w:w="975"/>
        <w:gridCol w:w="975"/>
        <w:gridCol w:w="975"/>
      </w:tblGrid>
      <w:tr w:rsidR="00253274">
        <w:trPr>
          <w:trHeight w:val="900"/>
        </w:trPr>
        <w:tc>
          <w:tcPr>
            <w:tcW w:w="28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8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3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280,299</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4,340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4,326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4,326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3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236,915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238,392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252,092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296,695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222,386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83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administered on</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517,214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242,732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256,418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301,021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226,712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Taxation revenue</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3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taxes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277,213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taxation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277,213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1,229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3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28,632</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26,930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24,418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24,418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24,697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3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28,632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26,930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24,418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24,418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24,697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83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of</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305,845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28,159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25,647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25,647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25,926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3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(211,369)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(214,573)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(230,771)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(275,374)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(200,786)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35"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(211,369)</w:t>
            </w:r>
          </w:p>
        </w:tc>
        <w:tc>
          <w:tcPr>
            <w:tcW w:w="97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(214,573)</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(230,771)</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(275,374)</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(200,786)</w:t>
            </w:r>
          </w:p>
        </w:tc>
      </w:tr>
    </w:tbl>
    <w:p w:rsidR="00915587" w:rsidRPr="004A0255" w:rsidRDefault="00BA7A7F" w:rsidP="00E363CC">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Pr>
          <w:rFonts w:eastAsia="Calibri" w:cs="Arial"/>
          <w:sz w:val="16"/>
          <w:szCs w:val="16"/>
          <w:bdr w:val="none" w:sz="0" w:space="0" w:color="auto" w:frame="1"/>
        </w:rPr>
        <w:br w:type="page"/>
      </w:r>
    </w:p>
    <w:p w:rsidR="00915587" w:rsidRDefault="00BA7A7F" w:rsidP="00915587">
      <w:pPr>
        <w:pStyle w:val="TableHeading"/>
        <w:keepLines/>
        <w:spacing w:before="240"/>
      </w:pPr>
      <w:r>
        <w:rPr>
          <w:rFonts w:cs="Arial"/>
        </w:rPr>
        <w:t xml:space="preserve">Table 3.8: </w:t>
      </w:r>
      <w:r>
        <w:t xml:space="preserve">Schedule of budgeted assets and liabilities administered on behalf of Government </w:t>
      </w:r>
      <w:r>
        <w:rPr>
          <w:bdr w:val="none" w:sz="0" w:space="0" w:color="auto" w:frame="1"/>
        </w:rPr>
        <w:t xml:space="preserve">(as at </w:t>
      </w:r>
      <w:r>
        <w:t>30 June)</w:t>
      </w:r>
    </w:p>
    <w:tbl>
      <w:tblPr>
        <w:tblStyle w:val="CDMRange1"/>
        <w:tblW w:w="7800" w:type="dxa"/>
        <w:tblLayout w:type="fixed"/>
        <w:tblLook w:val="0600" w:firstRow="0" w:lastRow="0" w:firstColumn="0" w:lastColumn="0" w:noHBand="1" w:noVBand="1"/>
      </w:tblPr>
      <w:tblGrid>
        <w:gridCol w:w="2925"/>
        <w:gridCol w:w="975"/>
        <w:gridCol w:w="975"/>
        <w:gridCol w:w="975"/>
        <w:gridCol w:w="975"/>
        <w:gridCol w:w="975"/>
      </w:tblGrid>
      <w:tr w:rsidR="00253274">
        <w:trPr>
          <w:trHeight w:val="900"/>
        </w:trPr>
        <w:tc>
          <w:tcPr>
            <w:tcW w:w="292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2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Taxation receivables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1,042</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1,042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1,042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1,042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1,042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1,213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1,213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2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 behalf of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1,282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1,282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111</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47,114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47,114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47,114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47,114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47,114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47,225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47,225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47,225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47,225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47,225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860,625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860,625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860,625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860,625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860,625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860,625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860,625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860,625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860,625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860,625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2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 on</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907,850</w:t>
            </w:r>
          </w:p>
        </w:tc>
        <w:tc>
          <w:tcPr>
            <w:tcW w:w="975" w:type="dxa"/>
            <w:tcBorders>
              <w:top w:val="dotted" w:sz="2" w:space="0" w:color="000000"/>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907,850</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907,850</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907,850</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907,850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2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(906,568)</w:t>
            </w:r>
          </w:p>
        </w:tc>
        <w:tc>
          <w:tcPr>
            <w:tcW w:w="97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(906,568)</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(906,568)</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(906,568)</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(906,568)</w:t>
            </w:r>
          </w:p>
        </w:tc>
      </w:tr>
    </w:tbl>
    <w:p w:rsidR="00915587" w:rsidRPr="004A0255" w:rsidRDefault="00BA7A7F" w:rsidP="00E363CC">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Pr>
          <w:rFonts w:eastAsia="Calibri" w:cs="Arial"/>
          <w:sz w:val="16"/>
          <w:szCs w:val="16"/>
          <w:bdr w:val="none" w:sz="0" w:space="0" w:color="auto" w:frame="1"/>
        </w:rPr>
        <w:br w:type="page"/>
      </w:r>
    </w:p>
    <w:p w:rsidR="00915587" w:rsidRDefault="00BA7A7F" w:rsidP="0063246D">
      <w:pPr>
        <w:pStyle w:val="TableHeading"/>
        <w:keepLines/>
        <w:spacing w:before="0"/>
        <w:rPr>
          <w:rStyle w:val="BookTitle"/>
          <w:i w:val="0"/>
          <w:iCs/>
        </w:rPr>
      </w:pPr>
      <w:r>
        <w:t>Table 3.9: Schedule of budgeted administered cash flows (for the period ended 30 June)</w:t>
      </w:r>
    </w:p>
    <w:tbl>
      <w:tblPr>
        <w:tblStyle w:val="CDMRange2"/>
        <w:tblW w:w="7995" w:type="dxa"/>
        <w:tblLayout w:type="fixed"/>
        <w:tblLook w:val="0600" w:firstRow="0" w:lastRow="0" w:firstColumn="0" w:lastColumn="0" w:noHBand="1" w:noVBand="1"/>
      </w:tblPr>
      <w:tblGrid>
        <w:gridCol w:w="3120"/>
        <w:gridCol w:w="975"/>
        <w:gridCol w:w="975"/>
        <w:gridCol w:w="975"/>
        <w:gridCol w:w="975"/>
        <w:gridCol w:w="975"/>
      </w:tblGrid>
      <w:tr w:rsidR="00253274">
        <w:trPr>
          <w:trHeight w:val="900"/>
        </w:trPr>
        <w:tc>
          <w:tcPr>
            <w:tcW w:w="31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12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Sales of goods and rendering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of services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28,632</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26,930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24,418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24,418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24,697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Taxes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277,213</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1,229</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1,229</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1,229</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306,227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28,541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26,029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26,029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26,308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280,299</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4,340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4,326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4,326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356,107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238,392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252,092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296,695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222,386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636,788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243,114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256,800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301,403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227,094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 / (used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(330,561)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(214,573)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(230,771)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(275,374)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(200,786)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Special Account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Special Account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2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2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increase/(decrease) in</w:t>
            </w:r>
          </w:p>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(330,561)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(214,573)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(230,771)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(275,374)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(200,786)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2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reporting period</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975" w:type="dxa"/>
            <w:tcBorders>
              <w:top w:val="dotted" w:sz="2" w:space="0" w:color="000000"/>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120"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from Official Public Account for:</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4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636,788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243,114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256,800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301,403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227,094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120"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Total cash from Official Public Account</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636,788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243,114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256,800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301,403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227,094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20"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 Account for:</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44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(305,845)</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(28,159)</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(25,647)</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(25,647)</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(25,926)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20" w:type="dxa"/>
            <w:tcBorders>
              <w:top w:val="nil"/>
              <w:left w:val="nil"/>
              <w:bottom w:val="nil"/>
              <w:right w:val="nil"/>
              <w:tl2br w:val="nil"/>
              <w:tr2bl w:val="nil"/>
            </w:tcBorders>
            <w:shd w:val="clear" w:color="auto" w:fill="auto"/>
            <w:tcMar>
              <w:left w:w="44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GST Appropriation</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2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Total cash to Official Public Account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(306,227)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(28,541)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(26,029)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(26,029)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(26,308)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end of reporting period</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68</w:t>
            </w:r>
          </w:p>
        </w:tc>
        <w:tc>
          <w:tcPr>
            <w:tcW w:w="97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68</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68</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68</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68</w:t>
            </w:r>
          </w:p>
        </w:tc>
      </w:tr>
    </w:tbl>
    <w:p w:rsidR="00915587" w:rsidRDefault="00BA7A7F" w:rsidP="00E363CC">
      <w:pPr>
        <w:spacing w:before="4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296549" w:rsidRDefault="00BA7A7F" w:rsidP="004A0255">
      <w:pPr>
        <w:pStyle w:val="TableHeadingcontinued"/>
        <w:spacing w:after="0"/>
      </w:pPr>
      <w:r>
        <w:t>Table 3.10: Administered capital budget statement (for the period ended 30 June)</w:t>
      </w:r>
    </w:p>
    <w:p w:rsidR="00296549" w:rsidRDefault="00BA7A7F" w:rsidP="006A6C55">
      <w:pPr>
        <w:spacing w:line="240" w:lineRule="auto"/>
      </w:pPr>
      <w:r>
        <w:t>CER has no administered capital budget; therefore Table 3.10 is not presented.</w:t>
      </w:r>
    </w:p>
    <w:p w:rsidR="00296549" w:rsidRDefault="00BA7A7F" w:rsidP="004A0255">
      <w:pPr>
        <w:pStyle w:val="TableHeading"/>
        <w:keepLines/>
        <w:spacing w:before="0"/>
        <w:rPr>
          <w:rFonts w:cs="Arial"/>
        </w:rPr>
      </w:pPr>
      <w:r>
        <w:rPr>
          <w:rFonts w:cs="Arial"/>
        </w:rPr>
        <w:t>Table 3.11: Statement of administered asset movements (Budget year 2022­23)</w:t>
      </w:r>
    </w:p>
    <w:p w:rsidR="00296549" w:rsidRDefault="00BA7A7F" w:rsidP="006A6C55">
      <w:pPr>
        <w:spacing w:line="240" w:lineRule="auto"/>
        <w:sectPr w:rsidR="00296549" w:rsidSect="00F07738">
          <w:headerReference w:type="even" r:id="rId250"/>
          <w:headerReference w:type="default" r:id="rId251"/>
          <w:footerReference w:type="even" r:id="rId252"/>
          <w:footerReference w:type="default" r:id="rId253"/>
          <w:headerReference w:type="first" r:id="rId254"/>
          <w:footerReference w:type="first" r:id="rId255"/>
          <w:type w:val="continuous"/>
          <w:pgSz w:w="11906" w:h="16838"/>
          <w:pgMar w:top="2466" w:right="2098" w:bottom="2466" w:left="2098" w:header="1899" w:footer="1899" w:gutter="0"/>
          <w:pgBorders>
            <w:top w:val="nil"/>
            <w:left w:val="nil"/>
            <w:bottom w:val="nil"/>
            <w:right w:val="nil"/>
          </w:pgBorders>
          <w:cols w:space="720"/>
          <w:docGrid w:linePitch="360"/>
        </w:sectPr>
      </w:pPr>
      <w:r>
        <w:t>CER has no administered asset movements; therefore Table 3.11 is not presented.</w:t>
      </w:r>
    </w:p>
    <w:p w:rsidR="00D86095" w:rsidRDefault="00D86095">
      <w:pPr>
        <w:pageBreakBefore/>
      </w:pPr>
      <w:bookmarkStart w:id="971" w:name="RG_MARKER_11850"/>
      <w:bookmarkStart w:id="972" w:name="RG_MARKER_11857"/>
      <w:bookmarkStart w:id="973" w:name="RG_MARKER_11835"/>
      <w:bookmarkStart w:id="974" w:name="RG_MARKER_11833"/>
      <w:bookmarkEnd w:id="971"/>
      <w:bookmarkEnd w:id="972"/>
      <w:bookmarkEnd w:id="973"/>
      <w:bookmarkEnd w:id="974"/>
    </w:p>
    <w:p w:rsidR="00FA15D4" w:rsidRDefault="00BA7A7F" w:rsidP="00FE00F7">
      <w:pPr>
        <w:pStyle w:val="Department"/>
        <w:pageBreakBefore/>
        <w:jc w:val="left"/>
        <w:rPr>
          <w:smallCaps/>
          <w:color w:val="FFFFFF"/>
          <w:sz w:val="24"/>
          <w:szCs w:val="24"/>
        </w:rPr>
      </w:pPr>
      <w:bookmarkStart w:id="975" w:name="RG_MARKER_12121"/>
      <w:r w:rsidRPr="00FE00F7">
        <w:rPr>
          <w:smallCaps/>
          <w:color w:val="FFFFFF"/>
          <w:sz w:val="24"/>
          <w:szCs w:val="24"/>
        </w:rPr>
        <w:t>Department o</w:t>
      </w:r>
      <w:bookmarkEnd w:id="975"/>
    </w:p>
    <w:p w:rsidR="00FA15D4" w:rsidRDefault="00FA15D4" w:rsidP="002E6B3D">
      <w:pPr>
        <w:pStyle w:val="Department"/>
        <w:spacing w:before="1320"/>
        <w:rPr>
          <w:smallCaps/>
        </w:rPr>
      </w:pPr>
    </w:p>
    <w:p w:rsidR="00FA15D4" w:rsidRPr="00D24094" w:rsidRDefault="00FA15D4" w:rsidP="00FA15D4">
      <w:pPr>
        <w:pStyle w:val="PartHeading"/>
        <w:keepLines/>
        <w:spacing w:before="240" w:after="240"/>
        <w:rPr>
          <w:kern w:val="0"/>
          <w:szCs w:val="20"/>
        </w:rPr>
      </w:pPr>
    </w:p>
    <w:p w:rsidR="00FA15D4" w:rsidRPr="00D24094" w:rsidRDefault="00BA7A7F" w:rsidP="00FA15D4">
      <w:pPr>
        <w:pStyle w:val="PartHeading"/>
        <w:keepLines/>
        <w:spacing w:before="240" w:after="240"/>
        <w:rPr>
          <w:bCs w:val="0"/>
          <w:kern w:val="0"/>
          <w:szCs w:val="20"/>
        </w:rPr>
      </w:pPr>
      <w:r w:rsidRPr="00D24094">
        <w:rPr>
          <w:rFonts w:ascii="Arial" w:hAnsi="Arial"/>
          <w:bCs w:val="0"/>
          <w:kern w:val="0"/>
          <w:szCs w:val="20"/>
        </w:rPr>
        <w:t>Climate Change Authority</w:t>
      </w:r>
    </w:p>
    <w:p w:rsidR="00FA15D4" w:rsidRPr="00D24094" w:rsidRDefault="00FA15D4" w:rsidP="00FA15D4">
      <w:pPr>
        <w:pStyle w:val="PartHeading"/>
        <w:keepLines/>
        <w:spacing w:before="240" w:after="240"/>
        <w:rPr>
          <w:bCs w:val="0"/>
          <w:kern w:val="0"/>
          <w:sz w:val="48"/>
          <w:szCs w:val="48"/>
        </w:rPr>
      </w:pPr>
    </w:p>
    <w:p w:rsidR="00FA15D4" w:rsidRPr="00D24094" w:rsidRDefault="00FA15D4" w:rsidP="00FA15D4">
      <w:pPr>
        <w:pStyle w:val="PartHeading"/>
        <w:keepLines/>
        <w:spacing w:before="240" w:after="240"/>
        <w:rPr>
          <w:kern w:val="0"/>
          <w:sz w:val="48"/>
          <w:szCs w:val="48"/>
        </w:rPr>
      </w:pPr>
    </w:p>
    <w:p w:rsidR="00FA15D4" w:rsidRPr="00D24094" w:rsidRDefault="00BA7A7F" w:rsidP="00FA15D4">
      <w:pPr>
        <w:pStyle w:val="PartHeading-TOC"/>
        <w:rPr>
          <w:smallCaps w:val="0"/>
        </w:rPr>
      </w:pPr>
      <w:bookmarkStart w:id="976" w:name="_Toc508032982_5"/>
      <w:r w:rsidRPr="00D24094">
        <w:rPr>
          <w:bCs w:val="0"/>
          <w:smallCaps w:val="0"/>
        </w:rPr>
        <w:t>Entity resources and planned performance</w:t>
      </w:r>
      <w:bookmarkEnd w:id="976"/>
    </w:p>
    <w:p w:rsidR="00253274" w:rsidRDefault="00253274">
      <w:pPr>
        <w:keepLines w:val="0"/>
        <w:spacing w:after="160" w:line="259" w:lineRule="auto"/>
        <w:jc w:val="left"/>
        <w:rPr>
          <w:rFonts w:ascii="Calibri" w:eastAsia="Calibri" w:hAnsi="Calibri"/>
          <w:sz w:val="22"/>
          <w:szCs w:val="22"/>
          <w:lang w:val="en-US" w:eastAsia="en-US"/>
        </w:rPr>
      </w:pPr>
    </w:p>
    <w:p w:rsidR="007E6680" w:rsidRDefault="007E6680">
      <w:pPr>
        <w:keepLines w:val="0"/>
        <w:spacing w:after="160" w:line="259" w:lineRule="auto"/>
        <w:jc w:val="left"/>
        <w:rPr>
          <w:rFonts w:ascii="Calibri" w:eastAsia="Calibri" w:hAnsi="Calibri"/>
          <w:sz w:val="22"/>
          <w:szCs w:val="22"/>
          <w:lang w:val="en-US" w:eastAsia="en-US"/>
        </w:rPr>
      </w:pPr>
      <w:bookmarkStart w:id="977" w:name="RG_MARKER_12359"/>
      <w:bookmarkEnd w:id="977"/>
    </w:p>
    <w:p w:rsidR="00D86095" w:rsidRDefault="00BA7A7F">
      <w:pPr>
        <w:pageBreakBefore/>
      </w:pPr>
      <w:bookmarkStart w:id="978" w:name="RG_MARKER_11848"/>
      <w:r>
        <w:t xml:space="preserve">      </w:t>
      </w:r>
      <w:bookmarkEnd w:id="978"/>
    </w:p>
    <w:p w:rsidR="004D0F5B" w:rsidRPr="001C3145" w:rsidRDefault="00BA7A7F" w:rsidP="009420CE">
      <w:pPr>
        <w:pStyle w:val="ContentsHeading"/>
        <w:pageBreakBefore/>
        <w:spacing w:after="600"/>
        <w:rPr>
          <w:smallCaps w:val="0"/>
        </w:rPr>
      </w:pPr>
      <w:bookmarkStart w:id="979" w:name="RG_MARKER_11838"/>
      <w:bookmarkStart w:id="980" w:name="RG_MARKER_12126"/>
      <w:r w:rsidRPr="001C3145">
        <w:rPr>
          <w:smallCaps w:val="0"/>
        </w:rPr>
        <w:t>Climate Change Authority</w:t>
      </w:r>
      <w:bookmarkEnd w:id="979"/>
      <w:bookmarkEnd w:id="980"/>
    </w:p>
    <w:p w:rsidR="004D0F5B" w:rsidRPr="00846FBC" w:rsidRDefault="00BA7A7F" w:rsidP="00846FBC">
      <w:pPr>
        <w:pStyle w:val="TOC1"/>
      </w:pPr>
      <w:r w:rsidRPr="00846FBC">
        <w:t>Section 1: Entity overview and resources</w:t>
      </w:r>
      <w:r w:rsidRPr="00846FBC">
        <w:tab/>
        <w:t>223</w:t>
      </w:r>
    </w:p>
    <w:p w:rsidR="004D0F5B" w:rsidRDefault="00BA7A7F" w:rsidP="004D0F5B">
      <w:pPr>
        <w:pStyle w:val="TOC2"/>
      </w:pPr>
      <w:r>
        <w:t>1.1 Strategic direction statement</w:t>
      </w:r>
      <w:r>
        <w:tab/>
      </w:r>
      <w:r w:rsidRPr="00B75654">
        <w:t>223</w:t>
      </w:r>
    </w:p>
    <w:p w:rsidR="004D0F5B" w:rsidRDefault="00BA7A7F" w:rsidP="004D0F5B">
      <w:pPr>
        <w:pStyle w:val="TOC2"/>
      </w:pPr>
      <w:r>
        <w:t>1.2 Entity resource statement</w:t>
      </w:r>
      <w:r>
        <w:tab/>
      </w:r>
      <w:r w:rsidRPr="00B75654">
        <w:t>224</w:t>
      </w:r>
    </w:p>
    <w:p w:rsidR="00371743" w:rsidRDefault="00BA7A7F" w:rsidP="00371743">
      <w:pPr>
        <w:pStyle w:val="TOC2"/>
      </w:pPr>
      <w:r>
        <w:t>1.3 Budget measures</w:t>
      </w:r>
      <w:r>
        <w:tab/>
      </w:r>
      <w:r w:rsidRPr="00E64F53">
        <w:t>224</w:t>
      </w:r>
    </w:p>
    <w:p w:rsidR="004D0F5B" w:rsidRDefault="00BA7A7F" w:rsidP="00846FBC">
      <w:pPr>
        <w:pStyle w:val="TOC1"/>
      </w:pPr>
      <w:r>
        <w:t>S</w:t>
      </w:r>
      <w:r w:rsidRPr="002645FE">
        <w:t xml:space="preserve">ection 2: </w:t>
      </w:r>
      <w:r>
        <w:t>O</w:t>
      </w:r>
      <w:r w:rsidRPr="002645FE">
        <w:t xml:space="preserve">utcomes and </w:t>
      </w:r>
      <w:r>
        <w:t>p</w:t>
      </w:r>
      <w:r w:rsidRPr="002645FE">
        <w:t xml:space="preserve">lanned </w:t>
      </w:r>
      <w:r>
        <w:t>p</w:t>
      </w:r>
      <w:r w:rsidRPr="002645FE">
        <w:t>erformance</w:t>
      </w:r>
      <w:r>
        <w:tab/>
        <w:t>225</w:t>
      </w:r>
    </w:p>
    <w:p w:rsidR="004D0F5B" w:rsidRDefault="00BA7A7F" w:rsidP="004D0F5B">
      <w:pPr>
        <w:pStyle w:val="TOC2"/>
      </w:pPr>
      <w:r>
        <w:t>2.1 Budgeted expenses and performance for Outcome 1</w:t>
      </w:r>
      <w:r>
        <w:tab/>
        <w:t>226</w:t>
      </w:r>
    </w:p>
    <w:p w:rsidR="004D0F5B" w:rsidRDefault="00BA7A7F" w:rsidP="00846FBC">
      <w:pPr>
        <w:pStyle w:val="TOC1"/>
      </w:pPr>
      <w:r>
        <w:t>S</w:t>
      </w:r>
      <w:r w:rsidRPr="002645FE">
        <w:t xml:space="preserve">ection 3: </w:t>
      </w:r>
      <w:r>
        <w:t>B</w:t>
      </w:r>
      <w:r w:rsidRPr="002645FE">
        <w:t xml:space="preserve">udgeted </w:t>
      </w:r>
      <w:r>
        <w:t>f</w:t>
      </w:r>
      <w:r w:rsidRPr="002645FE">
        <w:t xml:space="preserve">inancial </w:t>
      </w:r>
      <w:r>
        <w:t>s</w:t>
      </w:r>
      <w:r w:rsidRPr="002645FE">
        <w:t>tatements</w:t>
      </w:r>
      <w:r>
        <w:tab/>
      </w:r>
      <w:r w:rsidRPr="004F6A3E">
        <w:t>230</w:t>
      </w:r>
    </w:p>
    <w:p w:rsidR="00D86095" w:rsidRDefault="00BA7A7F" w:rsidP="005F2963">
      <w:pPr>
        <w:pStyle w:val="TOC2"/>
      </w:pPr>
      <w:r>
        <w:t>3.1 Budgeted financial statements</w:t>
      </w:r>
      <w:r>
        <w:tab/>
      </w:r>
      <w:r w:rsidRPr="004F6A3E">
        <w:t>230</w:t>
      </w:r>
    </w:p>
    <w:p w:rsidR="00D86095" w:rsidRDefault="00BA7A7F">
      <w:pPr>
        <w:pageBreakBefore/>
        <w:sectPr w:rsidR="00D86095" w:rsidSect="00D86095">
          <w:headerReference w:type="even" r:id="rId256"/>
          <w:headerReference w:type="default" r:id="rId257"/>
          <w:footerReference w:type="even" r:id="rId258"/>
          <w:footerReference w:type="default" r:id="rId259"/>
          <w:headerReference w:type="first" r:id="rId260"/>
          <w:footerReference w:type="first" r:id="rId261"/>
          <w:type w:val="continuous"/>
          <w:pgSz w:w="11906" w:h="16838"/>
          <w:pgMar w:top="2466" w:right="2098" w:bottom="2466" w:left="2098" w:header="1899" w:footer="1899" w:gutter="0"/>
          <w:pgBorders>
            <w:top w:val="nil"/>
            <w:left w:val="nil"/>
            <w:bottom w:val="nil"/>
            <w:right w:val="nil"/>
          </w:pgBorders>
          <w:cols w:space="720"/>
          <w:docGrid w:linePitch="360"/>
        </w:sectPr>
      </w:pPr>
      <w:bookmarkStart w:id="981" w:name="RG_MARKER_11840"/>
      <w:bookmarkStart w:id="982" w:name="RG_MARKER_11897"/>
      <w:r>
        <w:t xml:space="preserve">     </w:t>
      </w:r>
      <w:bookmarkEnd w:id="981"/>
      <w:bookmarkEnd w:id="982"/>
    </w:p>
    <w:p w:rsidR="00A85152" w:rsidRPr="00F561F3" w:rsidRDefault="00BA7A7F" w:rsidP="00A85152">
      <w:pPr>
        <w:pStyle w:val="Heading1"/>
        <w:pageBreakBefore/>
        <w:rPr>
          <w:smallCaps w:val="0"/>
        </w:rPr>
      </w:pPr>
      <w:bookmarkStart w:id="983" w:name="RG_MARKER_11842"/>
      <w:bookmarkStart w:id="984" w:name="RG_MARKER_11919"/>
      <w:bookmarkStart w:id="985" w:name="RG_MARKER_12134"/>
      <w:r w:rsidRPr="00F561F3">
        <w:rPr>
          <w:smallCaps w:val="0"/>
        </w:rPr>
        <w:t>Climate Change Authority</w:t>
      </w:r>
      <w:bookmarkEnd w:id="983"/>
      <w:bookmarkEnd w:id="984"/>
      <w:bookmarkEnd w:id="985"/>
    </w:p>
    <w:p w:rsidR="00A85152" w:rsidRPr="00F561F3" w:rsidRDefault="00BA7A7F" w:rsidP="00F561F3">
      <w:pPr>
        <w:pStyle w:val="Heading2"/>
        <w:spacing w:after="120"/>
        <w:rPr>
          <w:b/>
          <w:sz w:val="26"/>
          <w:szCs w:val="26"/>
        </w:rPr>
      </w:pPr>
      <w:r w:rsidRPr="00F561F3">
        <w:rPr>
          <w:b/>
          <w:sz w:val="26"/>
          <w:szCs w:val="26"/>
        </w:rPr>
        <w:t>Section 1</w:t>
      </w:r>
      <w:bookmarkStart w:id="986" w:name="_Toc449255758_5"/>
      <w:bookmarkStart w:id="987" w:name="_Toc446237031_5"/>
      <w:r w:rsidRPr="00F561F3">
        <w:rPr>
          <w:b/>
          <w:sz w:val="26"/>
          <w:szCs w:val="26"/>
        </w:rPr>
        <w:t>: Entity overview and resources</w:t>
      </w:r>
      <w:bookmarkEnd w:id="986"/>
      <w:bookmarkEnd w:id="987"/>
    </w:p>
    <w:p w:rsidR="00A85152" w:rsidRPr="00F561F3" w:rsidRDefault="00BA7A7F" w:rsidP="00F561F3">
      <w:pPr>
        <w:pStyle w:val="Heading3"/>
        <w:numPr>
          <w:ilvl w:val="1"/>
          <w:numId w:val="98"/>
        </w:numPr>
        <w:spacing w:before="360" w:after="120" w:line="260" w:lineRule="exact"/>
        <w:ind w:left="357" w:hanging="357"/>
        <w:rPr>
          <w:smallCaps w:val="0"/>
          <w:sz w:val="22"/>
          <w:szCs w:val="22"/>
        </w:rPr>
      </w:pPr>
      <w:bookmarkStart w:id="988" w:name="_Toc210698428_4"/>
      <w:bookmarkStart w:id="989" w:name="_Toc210646449_4"/>
      <w:bookmarkStart w:id="990" w:name="_Toc210703209_4"/>
      <w:r w:rsidRPr="00F561F3">
        <w:rPr>
          <w:smallCaps w:val="0"/>
          <w:sz w:val="22"/>
          <w:szCs w:val="22"/>
        </w:rPr>
        <w:t>Strategic direction</w:t>
      </w:r>
      <w:bookmarkEnd w:id="988"/>
      <w:bookmarkEnd w:id="989"/>
      <w:bookmarkEnd w:id="990"/>
      <w:r w:rsidRPr="00F561F3">
        <w:rPr>
          <w:smallCaps w:val="0"/>
          <w:sz w:val="22"/>
          <w:szCs w:val="22"/>
        </w:rPr>
        <w:t xml:space="preserve"> statement</w:t>
      </w:r>
    </w:p>
    <w:p w:rsidR="00CC192A" w:rsidRDefault="00BA7A7F" w:rsidP="00CC192A">
      <w:r w:rsidRPr="00D45F9F">
        <w:t>The Climate Change Authority (CCA) i</w:t>
      </w:r>
      <w:r>
        <w:t>s a non-corporate Commonwealth entity and a statutory a</w:t>
      </w:r>
      <w:r w:rsidRPr="00D45F9F">
        <w:t xml:space="preserve">gency operating under the </w:t>
      </w:r>
      <w:r w:rsidRPr="00D45F9F">
        <w:rPr>
          <w:i/>
        </w:rPr>
        <w:t xml:space="preserve">Climate Change Authority Act 2011. </w:t>
      </w:r>
      <w:r w:rsidRPr="00D45F9F">
        <w:t>The CCA is responsible for the Outcome:</w:t>
      </w:r>
    </w:p>
    <w:p w:rsidR="00566302" w:rsidRPr="00CC192A" w:rsidRDefault="00BA7A7F" w:rsidP="00CC192A">
      <w:pPr>
        <w:pStyle w:val="ListParagraph"/>
        <w:keepLines/>
        <w:numPr>
          <w:ilvl w:val="0"/>
          <w:numId w:val="99"/>
        </w:numPr>
        <w:ind w:left="357" w:hanging="357"/>
        <w:jc w:val="left"/>
        <w:rPr>
          <w:rFonts w:eastAsia="Times New Roman" w:cs="Times New Roman"/>
          <w:sz w:val="20"/>
          <w:szCs w:val="20"/>
          <w:lang w:val="en-AU"/>
        </w:rPr>
      </w:pPr>
      <w:r w:rsidRPr="00CC192A">
        <w:rPr>
          <w:rFonts w:eastAsia="Times New Roman" w:cs="Times New Roman"/>
          <w:sz w:val="20"/>
          <w:szCs w:val="20"/>
          <w:lang w:val="en-AU"/>
        </w:rPr>
        <w:t>Provide expert advice to the Australian Government on climate change initiatives, including through conducting regular and specifically commissioned reviews and through undertaking climate change research.</w:t>
      </w:r>
    </w:p>
    <w:p w:rsidR="009A7C8B" w:rsidRDefault="00BA7A7F" w:rsidP="00445024">
      <w:r w:rsidRPr="00D45F9F">
        <w:t xml:space="preserve">The specific functions of the </w:t>
      </w:r>
      <w:r>
        <w:t>CCA a</w:t>
      </w:r>
      <w:r w:rsidRPr="00D45F9F">
        <w:t xml:space="preserve">re set out in the </w:t>
      </w:r>
      <w:r>
        <w:rPr>
          <w:i/>
        </w:rPr>
        <w:t xml:space="preserve">Climate Change Authority Act </w:t>
      </w:r>
      <w:r w:rsidRPr="00D45F9F">
        <w:rPr>
          <w:i/>
        </w:rPr>
        <w:t>2011</w:t>
      </w:r>
      <w:r w:rsidRPr="00D45F9F">
        <w:t>. These include conducting statutory reviews of climate change policies, special reviews and research about matters relating to climate change.</w:t>
      </w:r>
    </w:p>
    <w:p w:rsidR="009226BA" w:rsidRDefault="00BA7A7F" w:rsidP="009226BA">
      <w:r>
        <w:t xml:space="preserve">The CCA has amended its Outcome Statement to more accurately reflect, consistent with its legislation, that it can research and provide advice on all climate change matters.  </w:t>
      </w:r>
    </w:p>
    <w:p w:rsidR="009226BA" w:rsidRDefault="009226BA" w:rsidP="00445024"/>
    <w:p w:rsidR="00A90180" w:rsidRPr="009A7C8B" w:rsidRDefault="00A90180" w:rsidP="00A90180">
      <w:pPr>
        <w:jc w:val="left"/>
        <w:rPr>
          <w:vanish/>
        </w:rPr>
        <w:sectPr w:rsidR="00A90180" w:rsidRPr="009A7C8B" w:rsidSect="00711A2B">
          <w:headerReference w:type="even" r:id="rId262"/>
          <w:headerReference w:type="default" r:id="rId263"/>
          <w:footerReference w:type="even" r:id="rId264"/>
          <w:footerReference w:type="default" r:id="rId265"/>
          <w:headerReference w:type="first" r:id="rId266"/>
          <w:footerReference w:type="first" r:id="rId267"/>
          <w:type w:val="continuous"/>
          <w:pgSz w:w="11906" w:h="16838"/>
          <w:pgMar w:top="2466" w:right="2098" w:bottom="2466" w:left="2098" w:header="1899" w:footer="1899" w:gutter="0"/>
          <w:pgBorders>
            <w:top w:val="nil"/>
            <w:left w:val="nil"/>
            <w:bottom w:val="nil"/>
            <w:right w:val="nil"/>
          </w:pgBorders>
          <w:cols w:space="720"/>
          <w:docGrid w:linePitch="360"/>
        </w:sectPr>
      </w:pPr>
    </w:p>
    <w:p w:rsidR="004C2526" w:rsidRPr="002332F3" w:rsidRDefault="00BA7A7F" w:rsidP="002332F3">
      <w:pPr>
        <w:pStyle w:val="Heading3"/>
        <w:pageBreakBefore/>
        <w:spacing w:before="360" w:after="120"/>
        <w:rPr>
          <w:smallCaps w:val="0"/>
          <w:sz w:val="22"/>
          <w:szCs w:val="22"/>
        </w:rPr>
      </w:pPr>
      <w:bookmarkStart w:id="991" w:name="RG_MARKER_11921"/>
      <w:bookmarkStart w:id="992" w:name="RG_MARKER_12190"/>
      <w:r w:rsidRPr="002332F3">
        <w:rPr>
          <w:smallCaps w:val="0"/>
          <w:sz w:val="22"/>
          <w:szCs w:val="22"/>
        </w:rPr>
        <w:t>1.2</w:t>
      </w:r>
      <w:bookmarkEnd w:id="991"/>
      <w:bookmarkEnd w:id="992"/>
      <w:r w:rsidRPr="002332F3">
        <w:rPr>
          <w:smallCaps w:val="0"/>
          <w:sz w:val="22"/>
          <w:szCs w:val="22"/>
        </w:rPr>
        <w:tab/>
        <w:t>Entity resource statement</w:t>
      </w:r>
    </w:p>
    <w:p w:rsidR="007A7DBB" w:rsidRPr="007A7DBB" w:rsidRDefault="00BA7A7F" w:rsidP="007A7DBB">
      <w:bookmarkStart w:id="993" w:name="OLE_LINK12_4"/>
      <w:bookmarkStart w:id="994" w:name="OLE_LINK11_4"/>
      <w:r w:rsidRPr="007A7DBB">
        <w:t>Table 1.1 shows the total funding from all sources available to the entity for its operations and to deliver programs and services on behalf of the Government.</w:t>
      </w:r>
    </w:p>
    <w:p w:rsidR="007A7DBB" w:rsidRDefault="00BA7A7F" w:rsidP="007A7DBB">
      <w:r w:rsidRPr="007A7DBB">
        <w:t>The table summarises how resources will be applied by outcome (government strategic policy objectives) and by administered (on behalf of the Government or the public) and departmental (for the entity’s operations) classification.</w:t>
      </w:r>
    </w:p>
    <w:p w:rsidR="008A24E9" w:rsidRPr="007A7DBB" w:rsidRDefault="00BA7A7F" w:rsidP="007A7DBB">
      <w:r>
        <w:t xml:space="preserve">For more detailed information on special accounts and special appropriations, please refer to </w:t>
      </w:r>
      <w:r>
        <w:rPr>
          <w:i/>
        </w:rPr>
        <w:t>Budget Paper No. 4 – Agency Resourcing</w:t>
      </w:r>
      <w:r>
        <w:t>.</w:t>
      </w:r>
    </w:p>
    <w:p w:rsidR="007A7DBB" w:rsidRPr="007A7DBB" w:rsidRDefault="00BA7A7F" w:rsidP="007A7DBB">
      <w:r w:rsidRPr="007A7DBB">
        <w:t>Information in this table is presented on a resourcing (that is, appropriations/cash available) basis, whilst the ‘Budgeted expenses by Outcome</w:t>
      </w:r>
      <w:r>
        <w:t xml:space="preserve"> 1</w:t>
      </w:r>
      <w:r w:rsidRPr="007A7DBB">
        <w:t>’ tables in Section 2 and the financial statements in Section 3 are presented on an accrual basis.</w:t>
      </w:r>
      <w:bookmarkEnd w:id="993"/>
      <w:bookmarkEnd w:id="994"/>
    </w:p>
    <w:p w:rsidR="004C2526" w:rsidRDefault="00BA7A7F" w:rsidP="00177229">
      <w:pPr>
        <w:pStyle w:val="TableHeading"/>
        <w:keepLines/>
        <w:spacing w:before="240" w:after="0"/>
      </w:pPr>
      <w:r w:rsidRPr="004C2526">
        <w:t xml:space="preserve">Table 1.1: </w:t>
      </w:r>
      <w:r>
        <w:rPr>
          <w:snapToGrid w:val="0"/>
        </w:rPr>
        <w:t>CCA</w:t>
      </w:r>
      <w:r w:rsidRPr="004C2526">
        <w:t xml:space="preserve"> </w:t>
      </w:r>
      <w:r>
        <w:t>resource statement – B</w:t>
      </w:r>
      <w:r w:rsidRPr="00612A36">
        <w:t xml:space="preserve">udget estimates </w:t>
      </w:r>
      <w:r w:rsidRPr="004C2526">
        <w:t xml:space="preserve">for </w:t>
      </w:r>
      <w:r>
        <w:t>2022­23</w:t>
      </w:r>
      <w:r w:rsidRPr="004C2526">
        <w:t xml:space="preserve"> </w:t>
      </w:r>
      <w:r w:rsidRPr="00612A36">
        <w:t>as at Budget March</w:t>
      </w:r>
      <w:r w:rsidRPr="004C2526">
        <w:t xml:space="preserve"> </w:t>
      </w:r>
      <w:r>
        <w:t>2022</w:t>
      </w:r>
    </w:p>
    <w:tbl>
      <w:tblPr>
        <w:tblStyle w:val="CDMRange1"/>
        <w:tblW w:w="7725" w:type="dxa"/>
        <w:tblLayout w:type="fixed"/>
        <w:tblLook w:val="0600" w:firstRow="0" w:lastRow="0" w:firstColumn="0" w:lastColumn="0" w:noHBand="1" w:noVBand="1"/>
      </w:tblPr>
      <w:tblGrid>
        <w:gridCol w:w="5475"/>
        <w:gridCol w:w="1125"/>
        <w:gridCol w:w="1125"/>
      </w:tblGrid>
      <w:tr w:rsidR="00253274">
        <w:trPr>
          <w:trHeight w:val="870"/>
        </w:trPr>
        <w:tc>
          <w:tcPr>
            <w:tcW w:w="54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  Estimated actual</w:t>
            </w:r>
          </w:p>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 Estimate</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2,584</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500</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3,084</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3,084</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7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CCA</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3,084</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47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4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11</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w:t>
            </w:r>
          </w:p>
        </w:tc>
      </w:tr>
    </w:tbl>
    <w:p w:rsidR="00420293" w:rsidRDefault="00BA7A7F" w:rsidP="00BE5748">
      <w:pPr>
        <w:spacing w:before="40" w:after="0" w:line="240" w:lineRule="auto"/>
        <w:rPr>
          <w:rFonts w:ascii="Arial" w:eastAsia="Calibri" w:hAnsi="Arial" w:cs="Arial"/>
          <w:sz w:val="16"/>
          <w:bdr w:val="none" w:sz="0" w:space="0" w:color="auto" w:frame="1"/>
        </w:rPr>
      </w:pPr>
      <w:r w:rsidRPr="00D51C4B">
        <w:rPr>
          <w:rFonts w:ascii="Arial" w:eastAsia="Calibri" w:hAnsi="Arial" w:cs="Arial"/>
          <w:sz w:val="16"/>
          <w:szCs w:val="16"/>
          <w:bdr w:val="none" w:sz="0" w:space="0" w:color="auto" w:frame="1"/>
        </w:rPr>
        <w:t>All figures shown above are GST exclusive - these may not match figures in the cash flow statement.</w:t>
      </w:r>
      <w:r>
        <w:rPr>
          <w:rFonts w:ascii="Arial" w:eastAsia="Calibri" w:hAnsi="Arial" w:cs="Arial"/>
          <w:sz w:val="16"/>
          <w:szCs w:val="16"/>
          <w:bdr w:val="none" w:sz="0" w:space="0" w:color="auto" w:frame="1"/>
        </w:rPr>
        <w:t xml:space="preserve"> Prepared on a resourcing (i.e. appropriations available) basis.</w:t>
      </w:r>
    </w:p>
    <w:p w:rsidR="00B31D3F" w:rsidRDefault="00BA7A7F" w:rsidP="00E95549">
      <w:pPr>
        <w:pStyle w:val="ChartandTableFootnoteAlpha"/>
        <w:keepNext w:val="0"/>
        <w:keepLines w:val="0"/>
        <w:numPr>
          <w:ilvl w:val="0"/>
          <w:numId w:val="100"/>
        </w:numPr>
        <w:tabs>
          <w:tab w:val="left" w:pos="720"/>
        </w:tabs>
        <w:spacing w:line="240" w:lineRule="auto"/>
      </w:pPr>
      <w:r w:rsidRPr="0003587B">
        <w:t>Appropriation Bill (No. 1) 2022­23.</w:t>
      </w:r>
    </w:p>
    <w:p w:rsidR="007433C2" w:rsidRPr="002B47E5" w:rsidRDefault="00BA7A7F" w:rsidP="002B47E5">
      <w:pPr>
        <w:pStyle w:val="ListParagraph"/>
        <w:keepLines/>
        <w:numPr>
          <w:ilvl w:val="0"/>
          <w:numId w:val="100"/>
        </w:numPr>
        <w:spacing w:after="200" w:line="276" w:lineRule="auto"/>
        <w:jc w:val="left"/>
        <w:rPr>
          <w:rFonts w:eastAsia="Times New Roman" w:cs="Arial"/>
          <w:sz w:val="16"/>
          <w:szCs w:val="16"/>
          <w:lang w:val="en-AU"/>
        </w:rPr>
      </w:pPr>
      <w:r w:rsidRPr="002B47E5">
        <w:rPr>
          <w:rFonts w:ascii="Arial" w:eastAsia="Times New Roman" w:hAnsi="Arial" w:cs="Arial"/>
          <w:sz w:val="16"/>
          <w:szCs w:val="16"/>
          <w:lang w:val="en-AU"/>
        </w:rPr>
        <w:t>Estimated External Revenue receipts under section 74 of the PGPA Act 2013.</w:t>
      </w:r>
    </w:p>
    <w:p w:rsidR="00253274" w:rsidRDefault="00253274"/>
    <w:p w:rsidR="003E027B" w:rsidRPr="00A851C9" w:rsidRDefault="00BA7A7F" w:rsidP="00A851C9">
      <w:pPr>
        <w:pStyle w:val="Heading3"/>
        <w:spacing w:before="0" w:after="120"/>
        <w:rPr>
          <w:smallCaps w:val="0"/>
          <w:sz w:val="22"/>
          <w:szCs w:val="22"/>
        </w:rPr>
      </w:pPr>
      <w:bookmarkStart w:id="995" w:name="RG_MARKER_11924"/>
      <w:bookmarkStart w:id="996" w:name="RG_MARKER_11940"/>
      <w:bookmarkStart w:id="997" w:name="RG_MARKER_12136"/>
      <w:r w:rsidRPr="00A851C9">
        <w:rPr>
          <w:smallCaps w:val="0"/>
          <w:sz w:val="22"/>
          <w:szCs w:val="22"/>
        </w:rPr>
        <w:t>1.3</w:t>
      </w:r>
      <w:bookmarkEnd w:id="995"/>
      <w:bookmarkEnd w:id="996"/>
      <w:bookmarkEnd w:id="997"/>
      <w:r w:rsidRPr="00A851C9">
        <w:rPr>
          <w:smallCaps w:val="0"/>
          <w:sz w:val="22"/>
          <w:szCs w:val="22"/>
        </w:rPr>
        <w:tab/>
        <w:t>Budget measures</w:t>
      </w:r>
    </w:p>
    <w:p w:rsidR="00571056" w:rsidRDefault="00BA7A7F" w:rsidP="00571056">
      <w:r>
        <w:t>There are no new Budget measures relating to CCA detailed in Budget Paper No. 2; therefore Table 1.2 is not presented.</w:t>
      </w:r>
    </w:p>
    <w:p w:rsidR="00FD26B4" w:rsidRPr="001D50B1" w:rsidRDefault="00BA7A7F" w:rsidP="001D50B1">
      <w:pPr>
        <w:pStyle w:val="Heading2"/>
        <w:pageBreakBefore/>
        <w:spacing w:after="120"/>
        <w:rPr>
          <w:b/>
          <w:sz w:val="26"/>
          <w:szCs w:val="26"/>
        </w:rPr>
      </w:pPr>
      <w:bookmarkStart w:id="998" w:name="RG_MARKER_11844"/>
      <w:bookmarkStart w:id="999" w:name="RG_MARKER_12220"/>
      <w:bookmarkStart w:id="1000" w:name="_Toc436624143_5"/>
      <w:bookmarkStart w:id="1001" w:name="_Toc436625444_5"/>
      <w:bookmarkStart w:id="1002" w:name="_Toc446237032_5"/>
      <w:bookmarkStart w:id="1003" w:name="_Toc449255764_5"/>
      <w:bookmarkStart w:id="1004" w:name="_Toc490972409_5"/>
      <w:bookmarkStart w:id="1005" w:name="_Toc491014629_5"/>
      <w:bookmarkStart w:id="1006" w:name="_Toc491014771_5"/>
      <w:bookmarkStart w:id="1007" w:name="_Toc491014951_5"/>
      <w:bookmarkStart w:id="1008" w:name="_Toc491015098_5"/>
      <w:bookmarkStart w:id="1009" w:name="_Toc491029242_5"/>
      <w:bookmarkStart w:id="1010" w:name="_Toc491030331_5"/>
      <w:bookmarkStart w:id="1011" w:name="_Toc491030790_5"/>
      <w:bookmarkStart w:id="1012" w:name="_Toc491031353_5"/>
      <w:bookmarkStart w:id="1013" w:name="_Toc491031940_5"/>
      <w:bookmarkStart w:id="1014" w:name="_Toc491032113_5"/>
      <w:bookmarkStart w:id="1015" w:name="_Toc491032221_5"/>
      <w:bookmarkStart w:id="1016" w:name="_Toc491032328_5"/>
      <w:bookmarkStart w:id="1017" w:name="_Toc491771720_5"/>
      <w:bookmarkStart w:id="1018" w:name="_Toc491773295_5"/>
      <w:bookmarkStart w:id="1019" w:name="_Toc23559353_5"/>
      <w:bookmarkStart w:id="1020" w:name="_Toc23559387_5"/>
      <w:bookmarkStart w:id="1021" w:name="_Toc23559674_5"/>
      <w:bookmarkStart w:id="1022" w:name="_Toc23560142_5"/>
      <w:bookmarkStart w:id="1023" w:name="_Toc23563436_5"/>
      <w:bookmarkStart w:id="1024" w:name="_Toc77998688_5"/>
      <w:bookmarkStart w:id="1025" w:name="_Toc79399717_5"/>
      <w:bookmarkStart w:id="1026" w:name="_Toc112211966_5"/>
      <w:bookmarkStart w:id="1027" w:name="_Toc112212060_5"/>
      <w:bookmarkStart w:id="1028" w:name="_Toc112137878_5"/>
      <w:bookmarkStart w:id="1029" w:name="_Toc112137900_5"/>
      <w:bookmarkStart w:id="1030" w:name="_Toc210646453_5"/>
      <w:bookmarkStart w:id="1031" w:name="_Toc210698432_5"/>
      <w:bookmarkStart w:id="1032" w:name="_Toc210703214_5"/>
      <w:r w:rsidRPr="001D50B1">
        <w:rPr>
          <w:b/>
          <w:sz w:val="26"/>
          <w:szCs w:val="26"/>
        </w:rPr>
        <w:t>Section 2</w:t>
      </w:r>
      <w:bookmarkEnd w:id="998"/>
      <w:bookmarkEnd w:id="999"/>
      <w:bookmarkEnd w:id="1000"/>
      <w:bookmarkEnd w:id="1001"/>
      <w:bookmarkEnd w:id="1002"/>
      <w:bookmarkEnd w:id="1003"/>
      <w:r w:rsidRPr="001D50B1">
        <w:rPr>
          <w:b/>
          <w:sz w:val="26"/>
          <w:szCs w:val="26"/>
        </w:rPr>
        <w:t xml:space="preserve">: </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r w:rsidRPr="001D50B1">
        <w:rPr>
          <w:b/>
          <w:sz w:val="26"/>
          <w:szCs w:val="26"/>
        </w:rPr>
        <w:t>Outcomes and planned performanc</w:t>
      </w:r>
      <w:bookmarkEnd w:id="1031"/>
      <w:bookmarkEnd w:id="1032"/>
      <w:r w:rsidRPr="001D50B1">
        <w:rPr>
          <w:b/>
          <w:sz w:val="26"/>
          <w:szCs w:val="26"/>
        </w:rPr>
        <w:t>e</w:t>
      </w:r>
      <w:bookmarkStart w:id="1033" w:name="_Toc436624145_11"/>
      <w:bookmarkStart w:id="1034" w:name="_Toc436625446_11"/>
      <w:bookmarkStart w:id="1035" w:name="_Toc449255766_11"/>
      <w:bookmarkStart w:id="1036" w:name="_Toc490972410_11"/>
      <w:bookmarkStart w:id="1037" w:name="_Toc491014630_11"/>
      <w:bookmarkStart w:id="1038" w:name="_Toc491014772_11"/>
      <w:bookmarkStart w:id="1039" w:name="_Toc491014952_11"/>
      <w:bookmarkStart w:id="1040" w:name="_Toc491015099_11"/>
      <w:bookmarkStart w:id="1041" w:name="_Toc491029243_11"/>
      <w:bookmarkStart w:id="1042" w:name="_Toc491030332_11"/>
      <w:bookmarkStart w:id="1043" w:name="_Toc491030791_11"/>
      <w:bookmarkStart w:id="1044" w:name="_Toc491031354_11"/>
      <w:bookmarkStart w:id="1045" w:name="_Toc491031941_11"/>
      <w:bookmarkStart w:id="1046" w:name="_Toc491032114_11"/>
      <w:bookmarkStart w:id="1047" w:name="_Toc491032222_11"/>
      <w:bookmarkStart w:id="1048" w:name="_Toc491032329_11"/>
      <w:bookmarkStart w:id="1049" w:name="_Toc491771721_11"/>
      <w:bookmarkStart w:id="1050" w:name="_Toc491773296_11"/>
      <w:bookmarkStart w:id="1051" w:name="_Toc23559354_11"/>
      <w:bookmarkStart w:id="1052" w:name="_Toc23559388_11"/>
      <w:bookmarkStart w:id="1053" w:name="_Toc23559675_11"/>
      <w:bookmarkStart w:id="1054" w:name="_Toc23560143_11"/>
      <w:bookmarkStart w:id="1055" w:name="_Toc23563437_11"/>
      <w:bookmarkStart w:id="1056" w:name="_Toc77998689_11"/>
      <w:bookmarkStart w:id="1057" w:name="_Toc79406118_11"/>
      <w:bookmarkStart w:id="1058" w:name="_Toc79467820_11"/>
      <w:bookmarkStart w:id="1059" w:name="_Toc112211967_11"/>
      <w:bookmarkStart w:id="1060" w:name="_Toc112212061_11"/>
      <w:bookmarkStart w:id="1061" w:name="_Toc112137879_11"/>
      <w:bookmarkStart w:id="1062" w:name="_Toc112137901_11"/>
      <w:bookmarkStart w:id="1063" w:name="_Toc210646454_11"/>
      <w:bookmarkStart w:id="1064" w:name="_Toc210698433_11"/>
      <w:bookmarkStart w:id="1065" w:name="_Toc210703215_11"/>
    </w:p>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rsidR="00FD26B4" w:rsidRDefault="00BA7A7F" w:rsidP="00FD26B4">
      <w:r>
        <w:t xml:space="preserve">Government outcomes are the intended results, impacts or consequences of actions by the Government on the Australian community. Commonwealth </w:t>
      </w:r>
      <w:r>
        <w:rPr>
          <w:color w:val="000000"/>
        </w:rPr>
        <w:t xml:space="preserve">programs </w:t>
      </w:r>
      <w:r>
        <w:t xml:space="preserve">are the primary vehicle by which government entities achieve the intended results of their outcome statements. Entities are required to identify the </w:t>
      </w:r>
      <w:r>
        <w:rPr>
          <w:color w:val="000000"/>
        </w:rPr>
        <w:t>programs</w:t>
      </w:r>
      <w:r>
        <w:t xml:space="preserve"> which contribute to government outcomes over the Budget and forward years.</w:t>
      </w:r>
    </w:p>
    <w:p w:rsidR="00FD26B4" w:rsidRDefault="00BA7A7F" w:rsidP="00FD26B4">
      <w:r>
        <w:t xml:space="preserve">Each outcome is described below together with its related </w:t>
      </w:r>
      <w:r>
        <w:rPr>
          <w:color w:val="000000"/>
        </w:rPr>
        <w:t>programs</w:t>
      </w:r>
      <w:r>
        <w:t>. The following provides detailed information on expenses for each outcome and program, further broken down by funding source.</w:t>
      </w:r>
    </w:p>
    <w:p w:rsidR="00DB5BF6" w:rsidRDefault="00BA7A7F" w:rsidP="00DB5BF6">
      <w:pPr>
        <w:pBdr>
          <w:top w:val="single" w:sz="2" w:space="6" w:color="auto"/>
          <w:left w:val="single" w:sz="2" w:space="4" w:color="auto"/>
          <w:bottom w:val="single" w:sz="2" w:space="6" w:color="auto"/>
          <w:right w:val="single" w:sz="2" w:space="4" w:color="auto"/>
        </w:pBdr>
        <w:spacing w:after="120" w:line="240" w:lineRule="auto"/>
        <w:rPr>
          <w:b/>
        </w:rPr>
      </w:pPr>
      <w:r>
        <w:rPr>
          <w:b/>
        </w:rPr>
        <w:t>Note:</w:t>
      </w:r>
    </w:p>
    <w:p w:rsidR="00DB5BF6" w:rsidRDefault="00BA7A7F" w:rsidP="00DB5BF6">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Commonwealth performance framework established by the </w:t>
      </w:r>
      <w:r>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rsidR="00803956" w:rsidRDefault="00BA7A7F" w:rsidP="00BD5EAF">
      <w:pPr>
        <w:pBdr>
          <w:top w:val="single" w:sz="2" w:space="6" w:color="auto"/>
          <w:left w:val="single" w:sz="2" w:space="4" w:color="auto"/>
          <w:bottom w:val="single" w:sz="2" w:space="6" w:color="auto"/>
          <w:right w:val="single" w:sz="2" w:space="4" w:color="auto"/>
        </w:pBdr>
        <w:spacing w:after="0"/>
      </w:pPr>
      <w:r>
        <w:t>The most recent corporate plan for CCA can be found at:</w:t>
      </w:r>
    </w:p>
    <w:p w:rsidR="003A6159" w:rsidRDefault="000D7E34" w:rsidP="00DB5BF6">
      <w:pPr>
        <w:pBdr>
          <w:top w:val="single" w:sz="2" w:space="6" w:color="auto"/>
          <w:left w:val="single" w:sz="2" w:space="4" w:color="auto"/>
          <w:bottom w:val="single" w:sz="2" w:space="6" w:color="auto"/>
          <w:right w:val="single" w:sz="2" w:space="4" w:color="auto"/>
        </w:pBdr>
        <w:rPr>
          <w:rStyle w:val="Hyperlink"/>
        </w:rPr>
      </w:pPr>
      <w:hyperlink r:id="rId268" w:history="1">
        <w:r w:rsidR="00BA7A7F">
          <w:rPr>
            <w:rStyle w:val="Hyperlink"/>
          </w:rPr>
          <w:t>https://www.climatechangeauthority.gov.au/corporate-plans</w:t>
        </w:r>
      </w:hyperlink>
    </w:p>
    <w:p w:rsidR="00803956" w:rsidRDefault="00BA7A7F" w:rsidP="00BD5EAF">
      <w:pPr>
        <w:pBdr>
          <w:top w:val="single" w:sz="2" w:space="6" w:color="auto"/>
          <w:left w:val="single" w:sz="2" w:space="4" w:color="auto"/>
          <w:bottom w:val="single" w:sz="2" w:space="6" w:color="auto"/>
          <w:right w:val="single" w:sz="2" w:space="4" w:color="auto"/>
        </w:pBdr>
        <w:spacing w:after="0"/>
      </w:pPr>
      <w:r>
        <w:t>The most recent annual performance statement can be found in the annual report at:</w:t>
      </w:r>
    </w:p>
    <w:p w:rsidR="003A6159" w:rsidRPr="003A6159" w:rsidRDefault="000D7E34" w:rsidP="003A6159">
      <w:pPr>
        <w:pBdr>
          <w:top w:val="single" w:sz="2" w:space="6" w:color="auto"/>
          <w:left w:val="single" w:sz="2" w:space="4" w:color="auto"/>
          <w:bottom w:val="single" w:sz="2" w:space="6" w:color="auto"/>
          <w:right w:val="single" w:sz="2" w:space="4" w:color="auto"/>
        </w:pBdr>
      </w:pPr>
      <w:hyperlink r:id="rId269" w:history="1">
        <w:r w:rsidR="00BA7A7F" w:rsidRPr="003A6159">
          <w:rPr>
            <w:rStyle w:val="Hyperlink"/>
          </w:rPr>
          <w:t>https://www.climatechangeauthority.gov.au/annual-reports</w:t>
        </w:r>
      </w:hyperlink>
    </w:p>
    <w:p w:rsidR="00285C26" w:rsidRPr="00FD26B4" w:rsidRDefault="00285C26" w:rsidP="00DB5BF6">
      <w:pPr>
        <w:spacing w:after="120" w:line="240" w:lineRule="auto"/>
        <w:rPr>
          <w:vanish/>
        </w:rPr>
      </w:pPr>
    </w:p>
    <w:p w:rsidR="007D76B1" w:rsidRPr="001D51D3" w:rsidRDefault="00BA7A7F" w:rsidP="007D76B1">
      <w:pPr>
        <w:pStyle w:val="Heading3"/>
        <w:pageBreakBefore/>
        <w:rPr>
          <w:smallCaps w:val="0"/>
          <w:sz w:val="22"/>
          <w:szCs w:val="22"/>
        </w:rPr>
      </w:pPr>
      <w:bookmarkStart w:id="1066" w:name="RG_MARKER_11853"/>
      <w:bookmarkStart w:id="1067" w:name="RG_MARKER_11856"/>
      <w:bookmarkStart w:id="1068" w:name="_Toc210703215_12"/>
      <w:bookmarkStart w:id="1069" w:name="_Toc210698433_12"/>
      <w:bookmarkStart w:id="1070" w:name="_Toc210646454_12"/>
      <w:bookmarkStart w:id="1071" w:name="_Toc112137901_12"/>
      <w:bookmarkStart w:id="1072" w:name="_Toc112137879_12"/>
      <w:bookmarkStart w:id="1073" w:name="_Toc112212061_12"/>
      <w:bookmarkStart w:id="1074" w:name="_Toc112211967_12"/>
      <w:bookmarkStart w:id="1075" w:name="_Toc79467820_12"/>
      <w:bookmarkStart w:id="1076" w:name="_Toc79406118_12"/>
      <w:bookmarkStart w:id="1077" w:name="_Toc77998689_12"/>
      <w:bookmarkStart w:id="1078" w:name="_Toc23563437_12"/>
      <w:bookmarkStart w:id="1079" w:name="_Toc23560143_12"/>
      <w:bookmarkStart w:id="1080" w:name="_Toc23559675_12"/>
      <w:bookmarkStart w:id="1081" w:name="_Toc23559388_12"/>
      <w:bookmarkStart w:id="1082" w:name="_Toc23559354_12"/>
      <w:bookmarkStart w:id="1083" w:name="_Toc491773296_12"/>
      <w:bookmarkStart w:id="1084" w:name="_Toc491771721_12"/>
      <w:bookmarkStart w:id="1085" w:name="_Toc491032329_12"/>
      <w:bookmarkStart w:id="1086" w:name="_Toc491032222_12"/>
      <w:bookmarkStart w:id="1087" w:name="_Toc491032114_12"/>
      <w:bookmarkStart w:id="1088" w:name="_Toc491031941_12"/>
      <w:bookmarkStart w:id="1089" w:name="_Toc491031354_12"/>
      <w:bookmarkStart w:id="1090" w:name="_Toc491030791_12"/>
      <w:bookmarkStart w:id="1091" w:name="_Toc491030332_12"/>
      <w:bookmarkStart w:id="1092" w:name="_Toc491029243_12"/>
      <w:bookmarkStart w:id="1093" w:name="_Toc491015099_12"/>
      <w:bookmarkStart w:id="1094" w:name="_Toc491014952_12"/>
      <w:bookmarkStart w:id="1095" w:name="_Toc491014772_12"/>
      <w:bookmarkStart w:id="1096" w:name="_Toc491014630_12"/>
      <w:bookmarkStart w:id="1097" w:name="_Toc490972410_12"/>
      <w:bookmarkStart w:id="1098" w:name="_Toc449255766_12"/>
      <w:bookmarkStart w:id="1099" w:name="_Toc436625446_12"/>
      <w:bookmarkStart w:id="1100" w:name="_Toc436624145_12"/>
      <w:r w:rsidRPr="001D51D3">
        <w:rPr>
          <w:smallCaps w:val="0"/>
          <w:sz w:val="22"/>
          <w:szCs w:val="22"/>
        </w:rPr>
        <w:t>2.1</w:t>
      </w:r>
      <w:bookmarkEnd w:id="1066"/>
      <w:bookmarkEnd w:id="1067"/>
      <w:r w:rsidRPr="001D51D3">
        <w:rPr>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253274" w:rsidTr="004D238B">
        <w:tc>
          <w:tcPr>
            <w:tcW w:w="7713" w:type="dxa"/>
            <w:tcBorders>
              <w:top w:val="single" w:sz="2" w:space="0" w:color="auto"/>
              <w:left w:val="single" w:sz="2" w:space="0" w:color="auto"/>
              <w:bottom w:val="single" w:sz="2" w:space="0" w:color="auto"/>
              <w:right w:val="single" w:sz="2" w:space="0" w:color="auto"/>
            </w:tcBorders>
            <w:shd w:val="clear" w:color="auto" w:fill="E6E6E6"/>
            <w:hideMark/>
          </w:tcP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rsidR="004D238B" w:rsidRDefault="00BA7A7F" w:rsidP="000F14C4">
            <w:pPr>
              <w:pStyle w:val="TableColumnHeadingLeft"/>
              <w:keepLines/>
            </w:pPr>
            <w:r>
              <w:rPr>
                <w:color w:val="000000"/>
              </w:rPr>
              <w:t>Outcome 1: Provide expert advice to the Australian Government on climate change initiatives, including through conducting regular and specifically commissioned reviews and through undertaking climate change research</w:t>
            </w:r>
          </w:p>
        </w:tc>
      </w:tr>
    </w:tbl>
    <w:p w:rsidR="004D238B" w:rsidRPr="001D51D3" w:rsidRDefault="00BA7A7F" w:rsidP="0057698E">
      <w:pPr>
        <w:pStyle w:val="Heading4"/>
        <w:spacing w:before="240"/>
        <w:rPr>
          <w:rFonts w:cs="Arial"/>
          <w:sz w:val="20"/>
        </w:rPr>
      </w:pPr>
      <w:r w:rsidRPr="001D51D3">
        <w:rPr>
          <w:rFonts w:cs="Arial"/>
          <w:sz w:val="20"/>
        </w:rPr>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253274" w:rsidTr="000F14C4">
        <w:trPr>
          <w:trHeight w:val="113"/>
        </w:trPr>
        <w:tc>
          <w:tcPr>
            <w:tcW w:w="7655" w:type="dxa"/>
            <w:tcBorders>
              <w:top w:val="single" w:sz="4" w:space="0" w:color="auto"/>
              <w:left w:val="single" w:sz="4" w:space="0" w:color="auto"/>
              <w:bottom w:val="dotted" w:sz="4" w:space="0" w:color="auto"/>
              <w:right w:val="single" w:sz="4" w:space="0" w:color="auto"/>
            </w:tcBorders>
            <w:hideMark/>
          </w:tcPr>
          <w:p w:rsidR="004D238B" w:rsidRPr="00396445" w:rsidRDefault="00BA7A7F" w:rsidP="0057698E">
            <w:pPr>
              <w:pStyle w:val="ExampleText0"/>
              <w:spacing w:before="60" w:after="60" w:line="240" w:lineRule="auto"/>
              <w:rPr>
                <w:color w:val="auto"/>
              </w:rPr>
            </w:pPr>
            <w:r w:rsidRPr="00396445">
              <w:rPr>
                <w:rStyle w:val="ExampletextCharChar"/>
                <w:b/>
                <w:color w:val="auto"/>
              </w:rPr>
              <w:t xml:space="preserve">Department of Industry, Science, Energy and Resources </w:t>
            </w:r>
            <w:r w:rsidRPr="00396445">
              <w:rPr>
                <w:rStyle w:val="ExampletextCharChar"/>
                <w:i/>
                <w:color w:val="auto"/>
              </w:rPr>
              <w:t xml:space="preserve"> </w:t>
            </w:r>
          </w:p>
        </w:tc>
      </w:tr>
      <w:tr w:rsidR="00253274" w:rsidTr="000F14C4">
        <w:trPr>
          <w:trHeight w:val="113"/>
        </w:trPr>
        <w:tc>
          <w:tcPr>
            <w:tcW w:w="7655" w:type="dxa"/>
            <w:tcBorders>
              <w:top w:val="dotted" w:sz="4" w:space="0" w:color="auto"/>
              <w:left w:val="single" w:sz="4" w:space="0" w:color="auto"/>
              <w:bottom w:val="single" w:sz="4" w:space="0" w:color="auto"/>
              <w:right w:val="single" w:sz="4" w:space="0" w:color="auto"/>
            </w:tcBorders>
            <w:hideMark/>
          </w:tcPr>
          <w:p w:rsidR="004D238B" w:rsidRPr="00396445" w:rsidRDefault="00BA7A7F" w:rsidP="0057698E">
            <w:pPr>
              <w:spacing w:before="60" w:after="60" w:line="240" w:lineRule="auto"/>
              <w:rPr>
                <w:rStyle w:val="ExampletextCharChar"/>
                <w:b/>
                <w:i w:val="0"/>
                <w:iCs/>
                <w:color w:val="auto"/>
              </w:rPr>
            </w:pPr>
            <w:r w:rsidRPr="00396445">
              <w:rPr>
                <w:rStyle w:val="ExampletextCharChar"/>
                <w:b/>
                <w:i w:val="0"/>
                <w:iCs/>
                <w:color w:val="auto"/>
              </w:rPr>
              <w:t>Programs</w:t>
            </w:r>
          </w:p>
          <w:p w:rsidR="00C61FC5" w:rsidRPr="00396445" w:rsidRDefault="00BA7A7F" w:rsidP="0057698E">
            <w:pPr>
              <w:keepLines w:val="0"/>
              <w:numPr>
                <w:ilvl w:val="0"/>
                <w:numId w:val="101"/>
              </w:numPr>
              <w:spacing w:before="60" w:after="60" w:line="240" w:lineRule="auto"/>
              <w:rPr>
                <w:rStyle w:val="ExampletextCharChar"/>
                <w:i w:val="0"/>
                <w:color w:val="auto"/>
              </w:rPr>
            </w:pPr>
            <w:r w:rsidRPr="00396445">
              <w:rPr>
                <w:rStyle w:val="ExampletextCharChar"/>
                <w:i w:val="0"/>
                <w:color w:val="auto"/>
              </w:rPr>
              <w:t>Program 2.1 – Reducing Australia's greenhouse gas emissions</w:t>
            </w:r>
          </w:p>
          <w:p w:rsidR="004D238B" w:rsidRPr="00396445" w:rsidRDefault="00BA7A7F" w:rsidP="0057698E">
            <w:pPr>
              <w:keepLines w:val="0"/>
              <w:numPr>
                <w:ilvl w:val="0"/>
                <w:numId w:val="101"/>
              </w:numPr>
              <w:spacing w:before="60" w:after="60" w:line="240" w:lineRule="auto"/>
              <w:rPr>
                <w:rStyle w:val="ExampletextCharChar"/>
                <w:i w:val="0"/>
                <w:iCs/>
                <w:color w:val="auto"/>
              </w:rPr>
            </w:pPr>
            <w:r w:rsidRPr="00396445">
              <w:rPr>
                <w:rStyle w:val="ExampletextCharChar"/>
                <w:i w:val="0"/>
                <w:color w:val="auto"/>
              </w:rPr>
              <w:t>Program 3.1 – Supporting reliable, secure and affordable energy</w:t>
            </w:r>
          </w:p>
        </w:tc>
      </w:tr>
      <w:tr w:rsidR="00253274" w:rsidTr="000F14C4">
        <w:trPr>
          <w:trHeight w:val="113"/>
        </w:trPr>
        <w:tc>
          <w:tcPr>
            <w:tcW w:w="7655" w:type="dxa"/>
            <w:tcBorders>
              <w:top w:val="single" w:sz="4" w:space="0" w:color="auto"/>
              <w:left w:val="single" w:sz="4" w:space="0" w:color="auto"/>
              <w:bottom w:val="single" w:sz="4" w:space="0" w:color="auto"/>
              <w:right w:val="single" w:sz="4" w:space="0" w:color="auto"/>
            </w:tcBorders>
            <w:hideMark/>
          </w:tcPr>
          <w:p w:rsidR="004D238B" w:rsidRPr="00396445" w:rsidRDefault="00BA7A7F" w:rsidP="0057698E">
            <w:pPr>
              <w:spacing w:before="60" w:after="60" w:line="240" w:lineRule="auto"/>
              <w:rPr>
                <w:rStyle w:val="ExampletextCharChar"/>
                <w:b/>
                <w:i w:val="0"/>
                <w:iCs/>
                <w:color w:val="auto"/>
              </w:rPr>
            </w:pPr>
            <w:r w:rsidRPr="00396445">
              <w:rPr>
                <w:rStyle w:val="ExampletextCharChar"/>
                <w:b/>
                <w:i w:val="0"/>
                <w:iCs/>
                <w:color w:val="auto"/>
              </w:rPr>
              <w:t>Contribution to Outcome 1 made by linked programs</w:t>
            </w:r>
          </w:p>
          <w:p w:rsidR="004D238B" w:rsidRPr="00396445" w:rsidRDefault="00BA7A7F" w:rsidP="000F14C4">
            <w:pPr>
              <w:spacing w:before="60" w:after="60" w:line="240" w:lineRule="auto"/>
              <w:rPr>
                <w:rStyle w:val="ExampletextCharChar"/>
                <w:i w:val="0"/>
                <w:color w:val="auto"/>
              </w:rPr>
            </w:pPr>
            <w:r w:rsidRPr="00396445">
              <w:rPr>
                <w:rStyle w:val="ExampletextCharChar"/>
                <w:i w:val="0"/>
                <w:color w:val="auto"/>
              </w:rPr>
              <w:t xml:space="preserve">The Climate Change Authority supports the Department of Industry, Science, Energy and Resources in reducing Australia’s greenhouse gas emissions by providing independent climate change policy advice to the Government, </w:t>
            </w:r>
            <w:r w:rsidRPr="00396445">
              <w:rPr>
                <w:rStyle w:val="ExampletextCharChar"/>
                <w:i w:val="0"/>
                <w:iCs/>
                <w:color w:val="auto"/>
              </w:rPr>
              <w:t>including in relation to the energy sector.</w:t>
            </w:r>
          </w:p>
        </w:tc>
      </w:tr>
      <w:tr w:rsidR="00253274" w:rsidTr="000F14C4">
        <w:trPr>
          <w:trHeight w:val="113"/>
          <w:tblHeader/>
        </w:trPr>
        <w:tc>
          <w:tcPr>
            <w:tcW w:w="7655" w:type="dxa"/>
            <w:tcBorders>
              <w:top w:val="single" w:sz="4" w:space="0" w:color="auto"/>
              <w:left w:val="single" w:sz="4" w:space="0" w:color="auto"/>
              <w:bottom w:val="dotted" w:sz="4" w:space="0" w:color="auto"/>
              <w:right w:val="single" w:sz="4" w:space="0" w:color="auto"/>
            </w:tcBorders>
            <w:hideMark/>
          </w:tcPr>
          <w:p w:rsidR="000F14C4" w:rsidRDefault="00BA7A7F">
            <w:pPr>
              <w:pStyle w:val="ExampleText0"/>
              <w:spacing w:before="60" w:after="60" w:line="240" w:lineRule="auto"/>
            </w:pPr>
            <w:r>
              <w:rPr>
                <w:rStyle w:val="ExampletextCharChar"/>
                <w:b/>
                <w:color w:val="auto"/>
              </w:rPr>
              <w:t xml:space="preserve">Bureau of Meteorology </w:t>
            </w:r>
          </w:p>
        </w:tc>
      </w:tr>
      <w:tr w:rsidR="00253274" w:rsidTr="000F14C4">
        <w:trPr>
          <w:trHeight w:val="113"/>
        </w:trPr>
        <w:tc>
          <w:tcPr>
            <w:tcW w:w="7655" w:type="dxa"/>
            <w:tcBorders>
              <w:top w:val="dotted" w:sz="4" w:space="0" w:color="auto"/>
              <w:left w:val="single" w:sz="4" w:space="0" w:color="auto"/>
              <w:bottom w:val="single" w:sz="4" w:space="0" w:color="auto"/>
              <w:right w:val="single" w:sz="4" w:space="0" w:color="auto"/>
            </w:tcBorders>
            <w:hideMark/>
          </w:tcPr>
          <w:p w:rsidR="000F14C4" w:rsidRPr="000F14C4" w:rsidRDefault="00BA7A7F">
            <w:pPr>
              <w:spacing w:before="60" w:after="60" w:line="240" w:lineRule="auto"/>
              <w:rPr>
                <w:rStyle w:val="ExampletextCharChar"/>
                <w:b/>
                <w:i w:val="0"/>
                <w:color w:val="auto"/>
              </w:rPr>
            </w:pPr>
            <w:r w:rsidRPr="000F14C4">
              <w:rPr>
                <w:rStyle w:val="ExampletextCharChar"/>
                <w:b/>
                <w:i w:val="0"/>
                <w:color w:val="auto"/>
              </w:rPr>
              <w:t>Program</w:t>
            </w:r>
          </w:p>
          <w:p w:rsidR="000F14C4" w:rsidRPr="000F14C4" w:rsidRDefault="00BA7A7F" w:rsidP="000F14C4">
            <w:pPr>
              <w:keepLines w:val="0"/>
              <w:numPr>
                <w:ilvl w:val="0"/>
                <w:numId w:val="102"/>
              </w:numPr>
              <w:spacing w:before="60" w:after="60" w:line="240" w:lineRule="auto"/>
              <w:ind w:left="714" w:hanging="357"/>
              <w:rPr>
                <w:rStyle w:val="ExampletextCharChar"/>
                <w:i w:val="0"/>
                <w:color w:val="auto"/>
              </w:rPr>
            </w:pPr>
            <w:r w:rsidRPr="000F14C4">
              <w:rPr>
                <w:rStyle w:val="ExampletextCharChar"/>
                <w:i w:val="0"/>
                <w:color w:val="auto"/>
              </w:rPr>
              <w:t>Program 1.1 – Bureau of Meteorology</w:t>
            </w:r>
          </w:p>
        </w:tc>
      </w:tr>
      <w:tr w:rsidR="00253274" w:rsidTr="000F14C4">
        <w:trPr>
          <w:trHeight w:val="113"/>
        </w:trPr>
        <w:tc>
          <w:tcPr>
            <w:tcW w:w="7655" w:type="dxa"/>
            <w:tcBorders>
              <w:top w:val="single" w:sz="4" w:space="0" w:color="auto"/>
              <w:left w:val="single" w:sz="4" w:space="0" w:color="auto"/>
              <w:bottom w:val="single" w:sz="4" w:space="0" w:color="auto"/>
              <w:right w:val="single" w:sz="4" w:space="0" w:color="auto"/>
            </w:tcBorders>
            <w:hideMark/>
          </w:tcPr>
          <w:p w:rsidR="000F14C4" w:rsidRPr="000F14C4" w:rsidRDefault="00BA7A7F">
            <w:pPr>
              <w:spacing w:before="60" w:after="60" w:line="240" w:lineRule="auto"/>
              <w:rPr>
                <w:rStyle w:val="ExampletextCharChar"/>
                <w:b/>
                <w:i w:val="0"/>
                <w:color w:val="auto"/>
              </w:rPr>
            </w:pPr>
            <w:r w:rsidRPr="000F14C4">
              <w:rPr>
                <w:rStyle w:val="ExampletextCharChar"/>
                <w:b/>
                <w:i w:val="0"/>
                <w:color w:val="auto"/>
              </w:rPr>
              <w:t>Contribution to Outcome 1 made by linked program</w:t>
            </w:r>
          </w:p>
          <w:p w:rsidR="000F14C4" w:rsidRPr="000F14C4" w:rsidRDefault="00BA7A7F">
            <w:pPr>
              <w:spacing w:before="60" w:after="60"/>
              <w:rPr>
                <w:rStyle w:val="ExampletextCharChar"/>
                <w:i w:val="0"/>
                <w:color w:val="auto"/>
              </w:rPr>
            </w:pPr>
            <w:r w:rsidRPr="000F14C4">
              <w:rPr>
                <w:rStyle w:val="ExampletextCharChar"/>
                <w:i w:val="0"/>
                <w:color w:val="auto"/>
              </w:rPr>
              <w:t xml:space="preserve">The Climate Change Authority has a strategic relationship agreement with the Bureau for climate research and advice. </w:t>
            </w:r>
          </w:p>
        </w:tc>
      </w:tr>
    </w:tbl>
    <w:p w:rsidR="006776B9" w:rsidRDefault="006776B9" w:rsidP="00017278">
      <w:pPr>
        <w:keepLines w:val="0"/>
        <w:spacing w:after="200" w:line="276" w:lineRule="auto"/>
        <w:jc w:val="left"/>
        <w:rPr>
          <w:rFonts w:ascii="Arial" w:hAnsi="Arial" w:cs="Arial"/>
          <w:b/>
          <w:vanish/>
        </w:rPr>
      </w:pPr>
    </w:p>
    <w:p w:rsidR="00FD4DE5" w:rsidRDefault="00BA7A7F" w:rsidP="00FD4DE5">
      <w:pPr>
        <w:pStyle w:val="Heading5"/>
        <w:pageBreakBefore/>
        <w:spacing w:before="0" w:after="120" w:line="240" w:lineRule="auto"/>
        <w:rPr>
          <w:rFonts w:ascii="Arial" w:hAnsi="Arial" w:cs="Arial"/>
          <w:b/>
          <w:color w:val="000000"/>
        </w:rPr>
      </w:pPr>
      <w:bookmarkStart w:id="1101" w:name="RG_MARKER_12333"/>
      <w:r>
        <w:rPr>
          <w:rFonts w:ascii="Arial" w:hAnsi="Arial" w:cs="Arial"/>
          <w:b/>
          <w:color w:val="000000"/>
        </w:rPr>
        <w:t>Budgeted expenses for Outcome 1</w:t>
      </w:r>
      <w:bookmarkEnd w:id="1101"/>
    </w:p>
    <w:p w:rsidR="00B26BBB" w:rsidRPr="00B26BBB" w:rsidRDefault="00BA7A7F" w:rsidP="00B26BBB">
      <w:r w:rsidRPr="00B26BBB">
        <w:t>This</w:t>
      </w:r>
      <w:r>
        <w:t xml:space="preserve"> table shows how much CCA</w:t>
      </w:r>
      <w:r w:rsidRPr="00B26BBB">
        <w:t xml:space="preserve"> intends to spend (on an accrual basis) on achieving the outcome, broken down by program, </w:t>
      </w:r>
      <w:r>
        <w:t>as well as by d</w:t>
      </w:r>
      <w:r w:rsidRPr="00B26BBB">
        <w:t>epartmental funding sources.</w:t>
      </w:r>
    </w:p>
    <w:p w:rsidR="00B26BBB" w:rsidRPr="00B26BBB" w:rsidRDefault="00BA7A7F" w:rsidP="00B26BBB">
      <w:pPr>
        <w:spacing w:after="20" w:line="240" w:lineRule="auto"/>
        <w:rPr>
          <w:rFonts w:ascii="Arial" w:hAnsi="Arial" w:cs="Arial"/>
          <w:b/>
        </w:rPr>
      </w:pPr>
      <w:r w:rsidRPr="00B26BBB">
        <w:rPr>
          <w:rFonts w:ascii="Arial" w:hAnsi="Arial" w:cs="Arial"/>
          <w:b/>
        </w:rPr>
        <w:t>Table 2.1.1: Budgeted expenses for Outcome 1</w:t>
      </w:r>
    </w:p>
    <w:tbl>
      <w:tblPr>
        <w:tblStyle w:val="CDMRange1"/>
        <w:tblW w:w="7650" w:type="dxa"/>
        <w:tblLayout w:type="fixed"/>
        <w:tblLook w:val="0600" w:firstRow="0" w:lastRow="0" w:firstColumn="0" w:lastColumn="0" w:noHBand="1" w:noVBand="1"/>
      </w:tblPr>
      <w:tblGrid>
        <w:gridCol w:w="3300"/>
        <w:gridCol w:w="870"/>
        <w:gridCol w:w="870"/>
        <w:gridCol w:w="870"/>
        <w:gridCol w:w="870"/>
        <w:gridCol w:w="870"/>
      </w:tblGrid>
      <w:tr w:rsidR="00253274">
        <w:trPr>
          <w:trHeight w:val="675"/>
        </w:trPr>
        <w:tc>
          <w:tcPr>
            <w:tcW w:w="7650"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Outcome 1: </w:t>
            </w:r>
            <w:r>
              <w:rPr>
                <w:rFonts w:ascii="Arial" w:eastAsia="Arial" w:hAnsi="Arial" w:cs="Arial"/>
                <w:color w:val="000000"/>
                <w:sz w:val="16"/>
                <w:szCs w:val="22"/>
                <w:lang w:val="en-US" w:eastAsia="en-US"/>
              </w:rPr>
              <w:t>Provide expert advice to the Australian Government on climate change initiatives, including through conducting regular and specifically commissioned reviews and through undertaking climate change research</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 Estimated actual</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7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2022­23 </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rsidR="00253274" w:rsidRDefault="00253274">
            <w:pPr>
              <w:keepLines w:val="0"/>
              <w:spacing w:after="0" w:line="240" w:lineRule="auto"/>
              <w:jc w:val="right"/>
              <w:rPr>
                <w:rFonts w:ascii="Arial" w:eastAsia="Arial" w:hAnsi="Arial" w:cs="Arial"/>
                <w:color w:val="000000"/>
                <w:sz w:val="16"/>
                <w:szCs w:val="22"/>
                <w:lang w:val="en-US" w:eastAsia="en-US"/>
              </w:rPr>
            </w:pP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5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1.1: Reviewing Climate Change Policies</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2,584</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2,610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2,650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1,673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(a)</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500</w:t>
            </w:r>
          </w:p>
        </w:tc>
        <w:tc>
          <w:tcPr>
            <w:tcW w:w="87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00" w:type="dxa"/>
            <w:tcBorders>
              <w:top w:val="nil"/>
              <w:left w:val="nil"/>
              <w:bottom w:val="nil"/>
              <w:right w:val="nil"/>
              <w:tl2br w:val="nil"/>
              <w:tr2bl w:val="nil"/>
            </w:tcBorders>
            <w:shd w:val="clear" w:color="auto" w:fill="auto"/>
            <w:tcMar>
              <w:left w:w="40" w:type="dxa"/>
              <w:right w:w="175"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3,084</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2,610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2,650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1,673</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3,084</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2,610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2,650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1,673</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50" w:type="dxa"/>
            <w:gridSpan w:val="6"/>
            <w:tcBorders>
              <w:top w:val="dotted" w:sz="2" w:space="0" w:color="000000"/>
              <w:left w:val="dotted" w:sz="2" w:space="0" w:color="000000"/>
              <w:bottom w:val="dotted" w:sz="2" w:space="0" w:color="000000"/>
              <w:right w:val="dotted" w:sz="2" w:space="0" w:color="000000"/>
              <w:tl2br w:val="nil"/>
              <w:tr2bl w:val="nil"/>
            </w:tcBorders>
            <w:shd w:val="clear" w:color="FFFFFF" w:fill="E6E6E6"/>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resource type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2,584</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2,610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2,650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1,673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(a)</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500</w:t>
            </w:r>
          </w:p>
        </w:tc>
        <w:tc>
          <w:tcPr>
            <w:tcW w:w="87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00" w:type="dxa"/>
            <w:tcBorders>
              <w:top w:val="nil"/>
              <w:left w:val="nil"/>
              <w:bottom w:val="nil"/>
              <w:right w:val="nil"/>
              <w:tl2br w:val="nil"/>
              <w:tr2bl w:val="nil"/>
            </w:tcBorders>
            <w:shd w:val="clear" w:color="auto" w:fill="auto"/>
            <w:tcMar>
              <w:left w:w="40" w:type="dxa"/>
              <w:right w:w="175"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3,084</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2,610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2,650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1,673</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3,084</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2,610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2,650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1,673</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30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7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4"/>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87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bl>
    <w:p w:rsidR="007D1733" w:rsidRPr="00FA0356" w:rsidRDefault="00BA7A7F" w:rsidP="007D1733">
      <w:pPr>
        <w:spacing w:before="40" w:after="0" w:line="240" w:lineRule="auto"/>
        <w:rPr>
          <w:rFonts w:ascii="Arial" w:hAnsi="Arial" w:cs="Arial"/>
          <w:sz w:val="16"/>
          <w:szCs w:val="16"/>
        </w:rPr>
      </w:pPr>
      <w:r w:rsidRPr="00C522BA">
        <w:rPr>
          <w:rFonts w:ascii="Arial" w:hAnsi="Arial" w:cs="Arial"/>
          <w:sz w:val="16"/>
          <w:szCs w:val="16"/>
        </w:rPr>
        <w:t xml:space="preserve"> (a) Estimated expenses incurred in relation to receipts retained under section 74 of the PGPA Act 2013.</w:t>
      </w:r>
    </w:p>
    <w:p w:rsidR="007D1733" w:rsidRDefault="00BA7A7F" w:rsidP="005B3B2C">
      <w:pPr>
        <w:spacing w:before="40" w:after="0" w:line="240" w:lineRule="auto"/>
        <w:rPr>
          <w:rFonts w:ascii="Arial" w:hAnsi="Arial" w:cs="Arial"/>
          <w:sz w:val="16"/>
          <w:szCs w:val="16"/>
        </w:rPr>
      </w:pPr>
      <w:r w:rsidRPr="007D1733">
        <w:rPr>
          <w:rFonts w:ascii="Arial" w:hAnsi="Arial" w:cs="Arial"/>
          <w:sz w:val="16"/>
          <w:szCs w:val="16"/>
        </w:rPr>
        <w:t>Note: Departmental appropriation splits and totals are indicative estimates and may change in the course of the budget year as government priorities change.</w:t>
      </w:r>
    </w:p>
    <w:p w:rsidR="00D86095" w:rsidRDefault="00BA7A7F" w:rsidP="002614E5">
      <w:pPr>
        <w:pStyle w:val="TableHeading"/>
        <w:keepLines/>
        <w:pageBreakBefore/>
      </w:pPr>
      <w:bookmarkStart w:id="1102" w:name="RG_MARKER_12221"/>
      <w:r w:rsidRPr="002E3447">
        <w:t>Table 2.1</w:t>
      </w:r>
      <w:bookmarkEnd w:id="1102"/>
      <w:r>
        <w:t>.2</w:t>
      </w:r>
      <w:r w:rsidRPr="002E3447">
        <w:t xml:space="preserve">: </w:t>
      </w:r>
      <w:r>
        <w:t xml:space="preserve">Performance measure for </w:t>
      </w:r>
      <w:r w:rsidRPr="002E3447">
        <w:t>Outcome 1</w:t>
      </w:r>
    </w:p>
    <w:p w:rsidR="00780B1F" w:rsidRDefault="00BA7A7F" w:rsidP="00780B1F">
      <w:r>
        <w:t xml:space="preserve">Table 2.1.2 details the performance measures for each program associated with Outcome 1. It also provides information on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53274" w:rsidTr="006C7B94">
        <w:trPr>
          <w:trHeight w:val="569"/>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780B1F" w:rsidRDefault="00BA7A7F">
            <w:pPr>
              <w:pStyle w:val="TableColumnHeadingLeft"/>
              <w:keepLines/>
            </w:pPr>
            <w:r w:rsidRPr="008C301E">
              <w:rPr>
                <w:rStyle w:val="TableHeadingChar"/>
                <w:b/>
                <w:color w:val="000000"/>
              </w:rPr>
              <w:t>Outcome 1</w:t>
            </w:r>
            <w:r w:rsidRPr="008C301E">
              <w:rPr>
                <w:b w:val="0"/>
                <w:color w:val="000000"/>
                <w:lang w:val="x-none"/>
              </w:rPr>
              <w:t xml:space="preserve"> </w:t>
            </w:r>
            <w:r w:rsidRPr="008C301E">
              <w:rPr>
                <w:b w:val="0"/>
                <w:color w:val="000000"/>
              </w:rPr>
              <w:t>– Provide</w:t>
            </w:r>
            <w:r>
              <w:rPr>
                <w:color w:val="000000"/>
              </w:rPr>
              <w:t xml:space="preserve"> expert advice to the Australian Government on climate change initiatives, including through conducting regular and specifically commissioned reviews and undertaking climate change research</w:t>
            </w:r>
          </w:p>
        </w:tc>
      </w:tr>
      <w:tr w:rsidR="00253274" w:rsidTr="006C7B94">
        <w:trPr>
          <w:trHeight w:val="522"/>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780B1F" w:rsidRDefault="00BA7A7F">
            <w:pPr>
              <w:pStyle w:val="TableTextLeft"/>
              <w:rPr>
                <w:rFonts w:eastAsia="Arial"/>
                <w:b/>
              </w:rPr>
            </w:pPr>
            <w:r>
              <w:rPr>
                <w:rFonts w:eastAsia="Calibri"/>
                <w:b/>
              </w:rPr>
              <w:t xml:space="preserve">Program 1.1- </w:t>
            </w:r>
            <w:r>
              <w:rPr>
                <w:rFonts w:eastAsia="Arial"/>
                <w:b/>
              </w:rPr>
              <w:t>Reviewing climate change policies</w:t>
            </w:r>
          </w:p>
          <w:p w:rsidR="00780B1F" w:rsidRDefault="00BA7A7F">
            <w:pPr>
              <w:pStyle w:val="TableTextLeft"/>
              <w:rPr>
                <w:rFonts w:eastAsia="Times New Roman"/>
                <w:sz w:val="16"/>
                <w:szCs w:val="16"/>
              </w:rPr>
            </w:pPr>
            <w:r>
              <w:rPr>
                <w:rFonts w:eastAsia="Arial"/>
                <w:sz w:val="16"/>
                <w:szCs w:val="16"/>
              </w:rPr>
              <w:t>The Climate Change Authority’s objective is to provide rigorous, independent and balanced advice to the</w:t>
            </w:r>
            <w:r>
              <w:rPr>
                <w:rFonts w:eastAsia="Calibri"/>
                <w:sz w:val="16"/>
                <w:szCs w:val="16"/>
              </w:rPr>
              <w:t xml:space="preserve"> </w:t>
            </w:r>
            <w:r>
              <w:rPr>
                <w:rFonts w:eastAsia="Arial"/>
                <w:sz w:val="16"/>
                <w:szCs w:val="16"/>
              </w:rPr>
              <w:t>Minister for Industry, Energy and Emissions Reduction, to assist the Department and the Australian Parliament on climate change policy, in order to improve the quality of life for all Australians.</w:t>
            </w:r>
          </w:p>
        </w:tc>
      </w:tr>
      <w:tr w:rsidR="00253274" w:rsidTr="006C7B94">
        <w:trPr>
          <w:trHeight w:val="694"/>
        </w:trPr>
        <w:tc>
          <w:tcPr>
            <w:tcW w:w="1560" w:type="dxa"/>
            <w:tcBorders>
              <w:top w:val="single" w:sz="4" w:space="0" w:color="auto"/>
              <w:left w:val="single" w:sz="4" w:space="0" w:color="auto"/>
              <w:bottom w:val="double" w:sz="4" w:space="0" w:color="auto"/>
              <w:right w:val="single" w:sz="4" w:space="0" w:color="auto"/>
            </w:tcBorders>
            <w:hideMark/>
          </w:tcPr>
          <w:p w:rsidR="00780B1F" w:rsidRDefault="00BA7A7F" w:rsidP="006C7B94">
            <w:pPr>
              <w:tabs>
                <w:tab w:val="left" w:pos="709"/>
              </w:tabs>
              <w:spacing w:before="60" w:after="60" w:line="240" w:lineRule="auto"/>
              <w:rPr>
                <w:rFonts w:ascii="Arial" w:hAnsi="Arial" w:cs="Arial"/>
                <w:b/>
                <w:sz w:val="16"/>
                <w:szCs w:val="16"/>
              </w:rPr>
            </w:pPr>
            <w:r>
              <w:rPr>
                <w:rFonts w:ascii="Arial" w:hAnsi="Arial" w:cs="Arial"/>
                <w:b/>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rsidR="00780B1F" w:rsidRDefault="00BA7A7F" w:rsidP="006C7B94">
            <w:pPr>
              <w:tabs>
                <w:tab w:val="left" w:pos="709"/>
              </w:tabs>
              <w:spacing w:before="60" w:after="60" w:line="240" w:lineRule="auto"/>
              <w:rPr>
                <w:rFonts w:ascii="Arial" w:hAnsi="Arial" w:cs="Arial"/>
                <w:bCs/>
                <w:sz w:val="16"/>
                <w:szCs w:val="16"/>
              </w:rPr>
            </w:pPr>
            <w:r>
              <w:rPr>
                <w:rFonts w:ascii="Arial" w:hAnsi="Arial" w:cs="Arial"/>
                <w:bCs/>
                <w:sz w:val="16"/>
                <w:szCs w:val="16"/>
              </w:rPr>
              <w:t>Key activities reported in the current corporate plan that relate to this program include:</w:t>
            </w:r>
          </w:p>
          <w:p w:rsidR="00780B1F" w:rsidRPr="00D57E34" w:rsidRDefault="00BA7A7F" w:rsidP="006C7B94">
            <w:pPr>
              <w:pStyle w:val="Tabletext"/>
              <w:numPr>
                <w:ilvl w:val="0"/>
                <w:numId w:val="103"/>
              </w:numPr>
              <w:tabs>
                <w:tab w:val="left" w:pos="720"/>
              </w:tabs>
              <w:spacing w:before="60" w:after="60" w:line="240" w:lineRule="auto"/>
              <w:rPr>
                <w:rFonts w:ascii="Arial" w:eastAsia="Calibri" w:hAnsi="Arial" w:cs="Arial"/>
                <w:bCs/>
                <w:color w:val="auto"/>
                <w:lang w:eastAsia="en-US"/>
              </w:rPr>
            </w:pPr>
            <w:r w:rsidRPr="00D57E34">
              <w:rPr>
                <w:rFonts w:ascii="Arial" w:eastAsia="Calibri" w:hAnsi="Arial" w:cs="Arial"/>
                <w:bCs/>
                <w:color w:val="auto"/>
              </w:rPr>
              <w:t xml:space="preserve">Complete self-initiated research on enhancing Australia’s competitiveness in a </w:t>
            </w:r>
            <w:r w:rsidRPr="00D57E34">
              <w:rPr>
                <w:rFonts w:ascii="Arial" w:eastAsia="Calibri" w:hAnsi="Arial" w:cs="Arial"/>
                <w:bCs/>
                <w:color w:val="auto"/>
                <w:lang w:eastAsia="en-US"/>
              </w:rPr>
              <w:t xml:space="preserve">decarbonising world. </w:t>
            </w:r>
          </w:p>
          <w:p w:rsidR="00780B1F" w:rsidRPr="00D57E34" w:rsidRDefault="00BA7A7F" w:rsidP="006C7B94">
            <w:pPr>
              <w:pStyle w:val="Tabletext"/>
              <w:numPr>
                <w:ilvl w:val="0"/>
                <w:numId w:val="103"/>
              </w:numPr>
              <w:tabs>
                <w:tab w:val="left" w:pos="720"/>
              </w:tabs>
              <w:spacing w:before="60" w:after="60" w:line="240" w:lineRule="auto"/>
              <w:rPr>
                <w:rFonts w:ascii="Arial" w:eastAsia="Calibri" w:hAnsi="Arial" w:cs="Arial"/>
                <w:bCs/>
                <w:color w:val="auto"/>
                <w:lang w:eastAsia="en-US"/>
              </w:rPr>
            </w:pPr>
            <w:r w:rsidRPr="00D57E34">
              <w:rPr>
                <w:rFonts w:ascii="Arial" w:eastAsia="Calibri" w:hAnsi="Arial" w:cs="Arial"/>
                <w:bCs/>
                <w:color w:val="auto"/>
                <w:lang w:eastAsia="en-US"/>
              </w:rPr>
              <w:t>Complete reviews of the Carbon Credits legislation and the National Greenhouse and Energy Reporting legislation by December 2023</w:t>
            </w:r>
            <w:r w:rsidR="008A2EFA" w:rsidRPr="00D57E34">
              <w:rPr>
                <w:rFonts w:ascii="Arial" w:eastAsia="Calibri" w:hAnsi="Arial" w:cs="Arial"/>
                <w:bCs/>
                <w:color w:val="auto"/>
                <w:lang w:eastAsia="en-US"/>
              </w:rPr>
              <w:t>.</w:t>
            </w:r>
          </w:p>
          <w:p w:rsidR="00780B1F" w:rsidRPr="00D57E34" w:rsidRDefault="00BA7A7F" w:rsidP="006C7B94">
            <w:pPr>
              <w:pStyle w:val="Tabletext"/>
              <w:numPr>
                <w:ilvl w:val="0"/>
                <w:numId w:val="103"/>
              </w:numPr>
              <w:tabs>
                <w:tab w:val="left" w:pos="720"/>
              </w:tabs>
              <w:spacing w:before="60" w:after="60" w:line="240" w:lineRule="auto"/>
              <w:rPr>
                <w:rFonts w:ascii="Arial" w:eastAsia="Calibri" w:hAnsi="Arial" w:cs="Arial"/>
                <w:bCs/>
                <w:color w:val="auto"/>
                <w:lang w:eastAsia="en-US"/>
              </w:rPr>
            </w:pPr>
            <w:r w:rsidRPr="00D57E34">
              <w:rPr>
                <w:rFonts w:ascii="Arial" w:eastAsia="Calibri" w:hAnsi="Arial" w:cs="Arial"/>
                <w:bCs/>
                <w:color w:val="auto"/>
              </w:rPr>
              <w:t xml:space="preserve">Complete other Special Reviews as requested by the Government or the </w:t>
            </w:r>
            <w:r w:rsidRPr="00D57E34">
              <w:rPr>
                <w:rFonts w:ascii="Arial" w:eastAsia="Calibri" w:hAnsi="Arial" w:cs="Arial"/>
                <w:bCs/>
                <w:color w:val="auto"/>
                <w:lang w:eastAsia="en-US"/>
              </w:rPr>
              <w:t>Parliament</w:t>
            </w:r>
            <w:r w:rsidR="008A2EFA" w:rsidRPr="00D57E34">
              <w:rPr>
                <w:rFonts w:ascii="Arial" w:eastAsia="Calibri" w:hAnsi="Arial" w:cs="Arial"/>
                <w:bCs/>
                <w:color w:val="auto"/>
                <w:lang w:eastAsia="en-US"/>
              </w:rPr>
              <w:t>.</w:t>
            </w:r>
          </w:p>
          <w:p w:rsidR="00780B1F" w:rsidRDefault="00BA7A7F" w:rsidP="006C7B94">
            <w:pPr>
              <w:pStyle w:val="Tabletext"/>
              <w:numPr>
                <w:ilvl w:val="0"/>
                <w:numId w:val="103"/>
              </w:numPr>
              <w:tabs>
                <w:tab w:val="left" w:pos="720"/>
              </w:tabs>
              <w:spacing w:before="60" w:after="60" w:line="240" w:lineRule="auto"/>
              <w:rPr>
                <w:rFonts w:eastAsia="Times New Roman" w:cs="Times New Roman"/>
              </w:rPr>
            </w:pPr>
            <w:r w:rsidRPr="00D57E34">
              <w:rPr>
                <w:rFonts w:ascii="Arial" w:eastAsia="Calibri" w:hAnsi="Arial" w:cs="Arial"/>
                <w:bCs/>
                <w:color w:val="auto"/>
                <w:lang w:eastAsia="en-US"/>
              </w:rPr>
              <w:t>Identify and undertake other self-generated research on climate change matters</w:t>
            </w:r>
            <w:r w:rsidRPr="00D57E34">
              <w:rPr>
                <w:rFonts w:eastAsia="Calibri"/>
                <w:color w:val="auto"/>
              </w:rPr>
              <w:t>.</w:t>
            </w:r>
          </w:p>
        </w:tc>
      </w:tr>
      <w:tr w:rsidR="00253274" w:rsidTr="006C7B94">
        <w:trPr>
          <w:trHeight w:val="258"/>
        </w:trPr>
        <w:tc>
          <w:tcPr>
            <w:tcW w:w="1560" w:type="dxa"/>
            <w:tcBorders>
              <w:top w:val="double" w:sz="4" w:space="0" w:color="auto"/>
              <w:left w:val="single" w:sz="4" w:space="0" w:color="auto"/>
              <w:bottom w:val="single" w:sz="4" w:space="0" w:color="auto"/>
              <w:right w:val="single" w:sz="4" w:space="0" w:color="auto"/>
            </w:tcBorders>
          </w:tcPr>
          <w:p w:rsidR="00780B1F" w:rsidRDefault="00BA7A7F" w:rsidP="006C7B94">
            <w:pPr>
              <w:pStyle w:val="TableTextBase"/>
              <w:rPr>
                <w:rFonts w:eastAsia="Calibri"/>
                <w:b/>
                <w:sz w:val="16"/>
                <w:szCs w:val="16"/>
              </w:rPr>
            </w:pPr>
            <w:r>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780B1F" w:rsidRDefault="00BA7A7F" w:rsidP="006C7B94">
            <w:pPr>
              <w:pStyle w:val="TableTextBase"/>
              <w:rPr>
                <w:rFonts w:eastAsia="Calibri"/>
                <w:b/>
                <w:sz w:val="16"/>
                <w:szCs w:val="16"/>
              </w:rPr>
            </w:pPr>
            <w:r>
              <w:rPr>
                <w:rFonts w:eastAsia="Calibri"/>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780B1F" w:rsidRDefault="00BA7A7F" w:rsidP="006C7B94">
            <w:pPr>
              <w:pStyle w:val="TableTextBase"/>
              <w:rPr>
                <w:rFonts w:eastAsia="Calibri"/>
                <w:b/>
                <w:sz w:val="16"/>
                <w:szCs w:val="16"/>
              </w:rPr>
            </w:pPr>
            <w:r>
              <w:rPr>
                <w:rFonts w:eastAsia="Calibri"/>
                <w:b/>
                <w:sz w:val="16"/>
                <w:szCs w:val="16"/>
              </w:rPr>
              <w:t>Expected Performance Results</w:t>
            </w:r>
          </w:p>
        </w:tc>
      </w:tr>
      <w:tr w:rsidR="00253274" w:rsidTr="0010012F">
        <w:trPr>
          <w:trHeight w:val="642"/>
        </w:trPr>
        <w:tc>
          <w:tcPr>
            <w:tcW w:w="1560" w:type="dxa"/>
            <w:vMerge w:val="restart"/>
            <w:tcBorders>
              <w:top w:val="single" w:sz="4" w:space="0" w:color="auto"/>
              <w:left w:val="single" w:sz="4" w:space="0" w:color="auto"/>
              <w:right w:val="single" w:sz="4" w:space="0" w:color="auto"/>
            </w:tcBorders>
          </w:tcPr>
          <w:p w:rsidR="006C7B94" w:rsidRDefault="00BA7A7F" w:rsidP="006C7B94">
            <w:pPr>
              <w:pStyle w:val="TableTextBase"/>
              <w:rPr>
                <w:rFonts w:eastAsia="Calibri"/>
                <w:sz w:val="16"/>
                <w:szCs w:val="16"/>
              </w:rPr>
            </w:pPr>
            <w:r>
              <w:rPr>
                <w:rFonts w:eastAsia="Calibri"/>
                <w:sz w:val="16"/>
                <w:szCs w:val="16"/>
              </w:rPr>
              <w:t>Current year</w:t>
            </w:r>
          </w:p>
          <w:p w:rsidR="006C7B94" w:rsidRDefault="00BA7A7F" w:rsidP="006C7B94">
            <w:pPr>
              <w:pStyle w:val="TableTextBase"/>
              <w:rPr>
                <w:rFonts w:eastAsia="Calibri"/>
                <w:sz w:val="16"/>
                <w:szCs w:val="16"/>
              </w:rPr>
            </w:pPr>
            <w:r>
              <w:rPr>
                <w:rFonts w:eastAsia="Calibri"/>
                <w:sz w:val="16"/>
                <w:szCs w:val="16"/>
              </w:rPr>
              <w:t>2021-22</w:t>
            </w:r>
          </w:p>
        </w:tc>
        <w:tc>
          <w:tcPr>
            <w:tcW w:w="3118" w:type="dxa"/>
            <w:tcBorders>
              <w:top w:val="single" w:sz="4" w:space="0" w:color="auto"/>
              <w:left w:val="single" w:sz="4" w:space="0" w:color="auto"/>
              <w:bottom w:val="dotted" w:sz="4" w:space="0" w:color="auto"/>
              <w:right w:val="single" w:sz="4" w:space="0" w:color="auto"/>
            </w:tcBorders>
            <w:hideMark/>
          </w:tcPr>
          <w:p w:rsidR="006C7B94" w:rsidRDefault="00BA7A7F" w:rsidP="006C7B94">
            <w:pPr>
              <w:pStyle w:val="TableTextBase"/>
              <w:rPr>
                <w:rFonts w:eastAsia="Calibri" w:cs="Times New Roman"/>
                <w:i/>
                <w:color w:val="0070C0"/>
                <w:sz w:val="16"/>
                <w:szCs w:val="16"/>
              </w:rPr>
            </w:pPr>
            <w:r>
              <w:rPr>
                <w:rFonts w:eastAsia="Calibri"/>
                <w:sz w:val="16"/>
                <w:szCs w:val="16"/>
              </w:rPr>
              <w:t>The Authority’s reviews and research reports are timely, of high quality and used in public policy forums and discussions</w:t>
            </w:r>
            <w:r>
              <w:rPr>
                <w:rFonts w:eastAsia="Calibri"/>
                <w:i/>
                <w:color w:val="0070C0"/>
                <w:sz w:val="16"/>
                <w:szCs w:val="16"/>
              </w:rPr>
              <w:t>.</w:t>
            </w:r>
          </w:p>
        </w:tc>
        <w:tc>
          <w:tcPr>
            <w:tcW w:w="3118" w:type="dxa"/>
            <w:tcBorders>
              <w:top w:val="single" w:sz="4" w:space="0" w:color="auto"/>
              <w:left w:val="single" w:sz="4" w:space="0" w:color="auto"/>
              <w:bottom w:val="dotted" w:sz="4" w:space="0" w:color="auto"/>
              <w:right w:val="single" w:sz="4" w:space="0" w:color="auto"/>
            </w:tcBorders>
          </w:tcPr>
          <w:p w:rsidR="006C7B94"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Pr>
                <w:rFonts w:ascii="Arial" w:eastAsia="Calibri" w:hAnsi="Arial" w:cs="Arial"/>
                <w:bCs/>
                <w:color w:val="auto"/>
                <w:lang w:eastAsia="en-US"/>
              </w:rPr>
              <w:t xml:space="preserve">Reviews and research reports draw on the best available knowledge and are informed by a broad range of perspectives. </w:t>
            </w:r>
          </w:p>
          <w:p w:rsidR="006C7B94" w:rsidRPr="006C7B94"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sidRPr="006C7B94">
              <w:rPr>
                <w:rFonts w:ascii="Arial" w:eastAsia="Calibri" w:hAnsi="Arial" w:cs="Arial"/>
                <w:bCs/>
                <w:color w:val="auto"/>
                <w:lang w:eastAsia="en-US"/>
              </w:rPr>
              <w:t>Forecast: On-track</w:t>
            </w:r>
          </w:p>
          <w:p w:rsidR="006C7B94" w:rsidRPr="006C7B94" w:rsidRDefault="006C7B94"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p>
          <w:p w:rsidR="006C7B94"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Pr>
                <w:rFonts w:ascii="Arial" w:eastAsia="Calibri" w:hAnsi="Arial" w:cs="Arial"/>
                <w:bCs/>
                <w:color w:val="auto"/>
                <w:lang w:eastAsia="en-US"/>
              </w:rPr>
              <w:t xml:space="preserve">The Authority’s analysis, findings and advice are communicated clearly and effectively. </w:t>
            </w:r>
          </w:p>
          <w:p w:rsidR="006C7B94" w:rsidRPr="006C7B94"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sidRPr="006C7B94">
              <w:rPr>
                <w:rFonts w:ascii="Arial" w:eastAsia="Calibri" w:hAnsi="Arial" w:cs="Arial"/>
                <w:bCs/>
                <w:color w:val="auto"/>
                <w:lang w:eastAsia="en-US"/>
              </w:rPr>
              <w:t>Forecast: On-track</w:t>
            </w:r>
          </w:p>
          <w:p w:rsidR="006C7B94" w:rsidRPr="006C7B94" w:rsidRDefault="006C7B94"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p>
          <w:p w:rsidR="006C7B94"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Pr>
                <w:rFonts w:ascii="Arial" w:eastAsia="Calibri" w:hAnsi="Arial" w:cs="Arial"/>
                <w:bCs/>
                <w:color w:val="auto"/>
                <w:lang w:eastAsia="en-US"/>
              </w:rPr>
              <w:t>Reviews and research reports are provided by the due date.</w:t>
            </w:r>
          </w:p>
          <w:p w:rsidR="006C7B94" w:rsidRPr="006C7B94"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sidRPr="006C7B94">
              <w:rPr>
                <w:rFonts w:ascii="Arial" w:eastAsia="Calibri" w:hAnsi="Arial" w:cs="Arial"/>
                <w:bCs/>
                <w:color w:val="auto"/>
                <w:lang w:eastAsia="en-US"/>
              </w:rPr>
              <w:t>Forecast: On-track</w:t>
            </w:r>
          </w:p>
          <w:p w:rsidR="006C7B94" w:rsidRPr="006C7B94" w:rsidRDefault="006C7B94"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p>
          <w:p w:rsidR="006C7B94"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Pr>
                <w:rFonts w:ascii="Arial" w:eastAsia="Calibri" w:hAnsi="Arial" w:cs="Arial"/>
                <w:bCs/>
                <w:color w:val="auto"/>
                <w:lang w:eastAsia="en-US"/>
              </w:rPr>
              <w:t>Research and review reports are relevant to the government and stakeholders of the day, and influence the public debate on climate change policy.</w:t>
            </w:r>
          </w:p>
          <w:p w:rsidR="006C7B94" w:rsidRPr="006C7B94"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Pr>
                <w:rFonts w:ascii="Arial" w:eastAsia="Calibri" w:hAnsi="Arial" w:cs="Arial"/>
                <w:bCs/>
                <w:color w:val="auto"/>
                <w:lang w:eastAsia="en-US"/>
              </w:rPr>
              <w:t>F</w:t>
            </w:r>
            <w:r w:rsidRPr="006C7B94">
              <w:rPr>
                <w:rFonts w:ascii="Arial" w:eastAsia="Calibri" w:hAnsi="Arial" w:cs="Arial"/>
                <w:bCs/>
                <w:color w:val="auto"/>
                <w:lang w:eastAsia="en-US"/>
              </w:rPr>
              <w:t>orecast: On-track</w:t>
            </w:r>
          </w:p>
          <w:p w:rsidR="006C7B94" w:rsidRDefault="006C7B94"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p>
          <w:p w:rsidR="008C301E" w:rsidRPr="006C7B94" w:rsidRDefault="008C301E"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p>
          <w:p w:rsidR="006C7B94"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Pr>
                <w:rFonts w:ascii="Arial" w:eastAsia="Calibri" w:hAnsi="Arial" w:cs="Arial"/>
                <w:bCs/>
                <w:color w:val="auto"/>
                <w:lang w:eastAsia="en-US"/>
              </w:rPr>
              <w:t>Government considers the Authority’s findings and recommendations in</w:t>
            </w:r>
            <w:r w:rsidRPr="006C7B94">
              <w:rPr>
                <w:rFonts w:ascii="Arial" w:eastAsia="Calibri" w:hAnsi="Arial" w:cs="Arial"/>
                <w:bCs/>
                <w:color w:val="auto"/>
                <w:lang w:eastAsia="en-US"/>
              </w:rPr>
              <w:t xml:space="preserve"> </w:t>
            </w:r>
            <w:r>
              <w:rPr>
                <w:rFonts w:ascii="Arial" w:eastAsia="Calibri" w:hAnsi="Arial" w:cs="Arial"/>
                <w:bCs/>
                <w:color w:val="auto"/>
                <w:lang w:eastAsia="en-US"/>
              </w:rPr>
              <w:t>developing and implementing policy.</w:t>
            </w:r>
          </w:p>
          <w:p w:rsidR="006C7B94" w:rsidRPr="00780B1F"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Pr>
                <w:rFonts w:ascii="Arial" w:eastAsia="Calibri" w:hAnsi="Arial" w:cs="Arial"/>
                <w:bCs/>
                <w:color w:val="auto"/>
                <w:lang w:eastAsia="en-US"/>
              </w:rPr>
              <w:t>Forecast: On-track</w:t>
            </w:r>
          </w:p>
        </w:tc>
      </w:tr>
      <w:tr w:rsidR="00253274" w:rsidTr="006C7B94">
        <w:trPr>
          <w:trHeight w:val="100"/>
        </w:trPr>
        <w:tc>
          <w:tcPr>
            <w:tcW w:w="1560" w:type="dxa"/>
            <w:vMerge/>
            <w:tcBorders>
              <w:left w:val="single" w:sz="4" w:space="0" w:color="auto"/>
              <w:bottom w:val="dotted" w:sz="4" w:space="0" w:color="auto"/>
              <w:right w:val="single" w:sz="4" w:space="0" w:color="auto"/>
            </w:tcBorders>
            <w:vAlign w:val="bottom"/>
            <w:hideMark/>
          </w:tcPr>
          <w:p w:rsidR="006C7B94" w:rsidRDefault="006C7B94" w:rsidP="006C7B94">
            <w:pPr>
              <w:pStyle w:val="TableTextBase"/>
              <w:rPr>
                <w:rFonts w:eastAsia="Times New Roman"/>
                <w:sz w:val="16"/>
                <w:szCs w:val="16"/>
                <w:lang w:val="en-AU" w:eastAsia="en-AU"/>
              </w:rPr>
            </w:pPr>
          </w:p>
        </w:tc>
        <w:tc>
          <w:tcPr>
            <w:tcW w:w="3118" w:type="dxa"/>
            <w:tcBorders>
              <w:top w:val="single" w:sz="4" w:space="0" w:color="auto"/>
              <w:left w:val="single" w:sz="4" w:space="0" w:color="auto"/>
              <w:bottom w:val="dotted" w:sz="4" w:space="0" w:color="auto"/>
              <w:right w:val="single" w:sz="4" w:space="0" w:color="auto"/>
            </w:tcBorders>
            <w:hideMark/>
          </w:tcPr>
          <w:p w:rsidR="006C7B94" w:rsidRDefault="00BA7A7F" w:rsidP="006C7B94">
            <w:pPr>
              <w:pStyle w:val="TableTextBase"/>
              <w:rPr>
                <w:rFonts w:eastAsia="Calibri" w:cs="Times New Roman"/>
                <w:b/>
                <w:sz w:val="16"/>
                <w:szCs w:val="16"/>
              </w:rPr>
            </w:pPr>
            <w:r>
              <w:rPr>
                <w:rFonts w:eastAsia="Calibri"/>
                <w:sz w:val="16"/>
                <w:szCs w:val="16"/>
              </w:rPr>
              <w:t>The Authority’s public consultation processes are transparent, accessible and are highly regarded by stakeholders.</w:t>
            </w:r>
          </w:p>
        </w:tc>
        <w:tc>
          <w:tcPr>
            <w:tcW w:w="3118" w:type="dxa"/>
            <w:tcBorders>
              <w:top w:val="single" w:sz="4" w:space="0" w:color="auto"/>
              <w:left w:val="single" w:sz="4" w:space="0" w:color="auto"/>
              <w:bottom w:val="dotted" w:sz="4" w:space="0" w:color="auto"/>
              <w:right w:val="single" w:sz="4" w:space="0" w:color="auto"/>
            </w:tcBorders>
            <w:hideMark/>
          </w:tcPr>
          <w:p w:rsidR="006C7B94"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Pr>
                <w:rFonts w:ascii="Arial" w:eastAsia="Calibri" w:hAnsi="Arial" w:cs="Arial"/>
                <w:bCs/>
                <w:color w:val="auto"/>
                <w:lang w:eastAsia="en-US"/>
              </w:rPr>
              <w:t xml:space="preserve">Public consultation is comprehensive, representative and transparent. </w:t>
            </w:r>
          </w:p>
          <w:p w:rsidR="006C7B94" w:rsidRDefault="00BA7A7F" w:rsidP="006C7B94">
            <w:pPr>
              <w:pStyle w:val="Tabletext"/>
              <w:tabs>
                <w:tab w:val="clear" w:pos="360"/>
                <w:tab w:val="left" w:pos="720"/>
              </w:tabs>
              <w:spacing w:before="60" w:after="60" w:line="240" w:lineRule="auto"/>
              <w:ind w:left="0" w:firstLine="0"/>
              <w:rPr>
                <w:rFonts w:eastAsia="Times New Roman" w:cs="Times New Roman"/>
              </w:rPr>
            </w:pPr>
            <w:r>
              <w:rPr>
                <w:rFonts w:ascii="Arial" w:eastAsia="Calibri" w:hAnsi="Arial" w:cs="Arial"/>
                <w:bCs/>
                <w:color w:val="auto"/>
                <w:lang w:eastAsia="en-US"/>
              </w:rPr>
              <w:t>Forecast: On-track</w:t>
            </w:r>
          </w:p>
        </w:tc>
      </w:tr>
      <w:tr w:rsidR="00253274" w:rsidTr="00C34BA9">
        <w:trPr>
          <w:trHeight w:val="100"/>
        </w:trPr>
        <w:tc>
          <w:tcPr>
            <w:tcW w:w="1560" w:type="dxa"/>
            <w:tcBorders>
              <w:top w:val="single" w:sz="4" w:space="0" w:color="auto"/>
              <w:left w:val="single" w:sz="4" w:space="0" w:color="auto"/>
              <w:bottom w:val="single" w:sz="4" w:space="0" w:color="auto"/>
              <w:right w:val="single" w:sz="4" w:space="0" w:color="auto"/>
            </w:tcBorders>
          </w:tcPr>
          <w:p w:rsidR="00780B1F" w:rsidRDefault="00BA7A7F" w:rsidP="006C7B94">
            <w:pPr>
              <w:pStyle w:val="TableTextBase"/>
              <w:rPr>
                <w:rFonts w:eastAsia="Calibri"/>
                <w:b/>
                <w:sz w:val="16"/>
                <w:szCs w:val="16"/>
              </w:rPr>
            </w:pPr>
            <w:r>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780B1F" w:rsidRDefault="00BA7A7F" w:rsidP="006C7B94">
            <w:pPr>
              <w:pStyle w:val="TableTextBase"/>
              <w:rPr>
                <w:rFonts w:eastAsia="Calibri"/>
                <w:b/>
                <w:sz w:val="16"/>
                <w:szCs w:val="16"/>
              </w:rPr>
            </w:pPr>
            <w:r>
              <w:rPr>
                <w:rFonts w:eastAsia="Calibri"/>
                <w:b/>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rsidR="00780B1F" w:rsidRDefault="00BA7A7F" w:rsidP="006C7B94">
            <w:pPr>
              <w:pStyle w:val="TableTextBase"/>
              <w:rPr>
                <w:rFonts w:eastAsia="Calibri"/>
                <w:b/>
                <w:sz w:val="16"/>
                <w:szCs w:val="16"/>
              </w:rPr>
            </w:pPr>
            <w:r>
              <w:rPr>
                <w:rFonts w:eastAsia="Calibri"/>
                <w:b/>
                <w:sz w:val="16"/>
                <w:szCs w:val="16"/>
              </w:rPr>
              <w:t>Planned Performance Results</w:t>
            </w:r>
          </w:p>
        </w:tc>
      </w:tr>
      <w:tr w:rsidR="00253274" w:rsidTr="00C34BA9">
        <w:trPr>
          <w:trHeight w:val="100"/>
        </w:trPr>
        <w:tc>
          <w:tcPr>
            <w:tcW w:w="1560" w:type="dxa"/>
            <w:tcBorders>
              <w:top w:val="single" w:sz="4" w:space="0" w:color="auto"/>
              <w:left w:val="single" w:sz="4" w:space="0" w:color="auto"/>
              <w:bottom w:val="nil"/>
              <w:right w:val="single" w:sz="4" w:space="0" w:color="auto"/>
            </w:tcBorders>
            <w:hideMark/>
          </w:tcPr>
          <w:p w:rsidR="00780B1F" w:rsidRDefault="00BA7A7F" w:rsidP="006C7B94">
            <w:pPr>
              <w:pStyle w:val="TableTextBase"/>
              <w:rPr>
                <w:rFonts w:eastAsia="Calibri" w:cs="Times New Roman"/>
                <w:szCs w:val="20"/>
              </w:rPr>
            </w:pPr>
            <w:r>
              <w:rPr>
                <w:rFonts w:eastAsia="Calibri"/>
                <w:sz w:val="16"/>
                <w:szCs w:val="16"/>
              </w:rPr>
              <w:t>Budget Year     2022-23</w:t>
            </w:r>
          </w:p>
        </w:tc>
        <w:tc>
          <w:tcPr>
            <w:tcW w:w="3118" w:type="dxa"/>
            <w:tcBorders>
              <w:top w:val="single" w:sz="4" w:space="0" w:color="auto"/>
              <w:left w:val="single" w:sz="4" w:space="0" w:color="auto"/>
              <w:bottom w:val="single" w:sz="4" w:space="0" w:color="auto"/>
              <w:right w:val="single" w:sz="4" w:space="0" w:color="auto"/>
            </w:tcBorders>
            <w:hideMark/>
          </w:tcPr>
          <w:p w:rsidR="00780B1F" w:rsidRDefault="00BA7A7F" w:rsidP="006C7B94">
            <w:pPr>
              <w:pStyle w:val="TableTextBase"/>
              <w:rPr>
                <w:rFonts w:eastAsia="Calibri"/>
                <w:i/>
                <w:color w:val="0070C0"/>
              </w:rPr>
            </w:pPr>
            <w:r>
              <w:rPr>
                <w:rFonts w:eastAsia="Calibri"/>
                <w:sz w:val="16"/>
                <w:szCs w:val="16"/>
              </w:rPr>
              <w:t>The Authority’s reviews and research reports are timely, of high quality and used in public policy forums and discussions</w:t>
            </w:r>
            <w:r w:rsidR="008A2EFA">
              <w:rPr>
                <w:rFonts w:eastAsia="Calibri"/>
                <w:sz w:val="16"/>
                <w:szCs w:val="16"/>
              </w:rPr>
              <w:t>.</w:t>
            </w:r>
          </w:p>
        </w:tc>
        <w:tc>
          <w:tcPr>
            <w:tcW w:w="3118" w:type="dxa"/>
            <w:tcBorders>
              <w:top w:val="single" w:sz="4" w:space="0" w:color="auto"/>
              <w:left w:val="single" w:sz="4" w:space="0" w:color="auto"/>
              <w:bottom w:val="single" w:sz="4" w:space="0" w:color="auto"/>
              <w:right w:val="single" w:sz="4" w:space="0" w:color="auto"/>
            </w:tcBorders>
          </w:tcPr>
          <w:p w:rsidR="00780B1F"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Pr>
                <w:rFonts w:ascii="Arial" w:eastAsia="Calibri" w:hAnsi="Arial" w:cs="Arial"/>
                <w:bCs/>
                <w:color w:val="auto"/>
                <w:lang w:eastAsia="en-US"/>
              </w:rPr>
              <w:t xml:space="preserve">Reviews and research reports draw on the best available knowledge and are informed by a broad range of perspectives. </w:t>
            </w:r>
          </w:p>
          <w:p w:rsidR="00780B1F" w:rsidRPr="006C7B94"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sidRPr="006C7B94">
              <w:rPr>
                <w:rFonts w:ascii="Arial" w:eastAsia="Calibri" w:hAnsi="Arial" w:cs="Arial"/>
                <w:bCs/>
                <w:color w:val="auto"/>
                <w:lang w:eastAsia="en-US"/>
              </w:rPr>
              <w:t>Forecast: On-track</w:t>
            </w:r>
          </w:p>
          <w:p w:rsidR="00780B1F" w:rsidRPr="006C7B94" w:rsidRDefault="00780B1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p>
          <w:p w:rsidR="00780B1F"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Pr>
                <w:rFonts w:ascii="Arial" w:eastAsia="Calibri" w:hAnsi="Arial" w:cs="Arial"/>
                <w:bCs/>
                <w:color w:val="auto"/>
                <w:lang w:eastAsia="en-US"/>
              </w:rPr>
              <w:t xml:space="preserve">The Authority’s analysis, findings and advice are communicated clearly and effectively. </w:t>
            </w:r>
          </w:p>
          <w:p w:rsidR="00780B1F" w:rsidRPr="006C7B94"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Pr>
                <w:rFonts w:ascii="Arial" w:eastAsia="Calibri" w:hAnsi="Arial" w:cs="Arial"/>
                <w:bCs/>
                <w:color w:val="auto"/>
                <w:lang w:eastAsia="en-US"/>
              </w:rPr>
              <w:t>F</w:t>
            </w:r>
            <w:r w:rsidRPr="006C7B94">
              <w:rPr>
                <w:rFonts w:ascii="Arial" w:eastAsia="Calibri" w:hAnsi="Arial" w:cs="Arial"/>
                <w:bCs/>
                <w:color w:val="auto"/>
                <w:lang w:eastAsia="en-US"/>
              </w:rPr>
              <w:t>orecast: On-track</w:t>
            </w:r>
          </w:p>
          <w:p w:rsidR="00780B1F" w:rsidRPr="006C7B94" w:rsidRDefault="00780B1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p>
          <w:p w:rsidR="00780B1F"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Pr>
                <w:rFonts w:ascii="Arial" w:eastAsia="Calibri" w:hAnsi="Arial" w:cs="Arial"/>
                <w:bCs/>
                <w:color w:val="auto"/>
                <w:lang w:eastAsia="en-US"/>
              </w:rPr>
              <w:t>Reviews and research reports are provided by the due date.</w:t>
            </w:r>
          </w:p>
          <w:p w:rsidR="00780B1F" w:rsidRPr="006C7B94"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Pr>
                <w:rFonts w:ascii="Arial" w:eastAsia="Calibri" w:hAnsi="Arial" w:cs="Arial"/>
                <w:bCs/>
                <w:color w:val="auto"/>
                <w:lang w:eastAsia="en-US"/>
              </w:rPr>
              <w:t>F</w:t>
            </w:r>
            <w:r w:rsidRPr="006C7B94">
              <w:rPr>
                <w:rFonts w:ascii="Arial" w:eastAsia="Calibri" w:hAnsi="Arial" w:cs="Arial"/>
                <w:bCs/>
                <w:color w:val="auto"/>
                <w:lang w:eastAsia="en-US"/>
              </w:rPr>
              <w:t>orecast: On-track</w:t>
            </w:r>
          </w:p>
          <w:p w:rsidR="00780B1F" w:rsidRPr="006C7B94" w:rsidRDefault="00780B1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p>
          <w:p w:rsidR="00780B1F"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Pr>
                <w:rFonts w:ascii="Arial" w:eastAsia="Calibri" w:hAnsi="Arial" w:cs="Arial"/>
                <w:bCs/>
                <w:color w:val="auto"/>
                <w:lang w:eastAsia="en-US"/>
              </w:rPr>
              <w:t>Research and review reports are relevant to the government and stakeholders of the day, and influence the public debate on climate change policy.</w:t>
            </w:r>
          </w:p>
          <w:p w:rsidR="00780B1F" w:rsidRPr="006C7B94"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sidRPr="006C7B94">
              <w:rPr>
                <w:rFonts w:ascii="Arial" w:eastAsia="Calibri" w:hAnsi="Arial" w:cs="Arial"/>
                <w:bCs/>
                <w:color w:val="auto"/>
                <w:lang w:eastAsia="en-US"/>
              </w:rPr>
              <w:t>Forecast: On-track</w:t>
            </w:r>
          </w:p>
          <w:p w:rsidR="00780B1F" w:rsidRPr="006C7B94" w:rsidRDefault="00780B1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p>
          <w:p w:rsidR="00780B1F"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Pr>
                <w:rFonts w:ascii="Arial" w:eastAsia="Calibri" w:hAnsi="Arial" w:cs="Arial"/>
                <w:bCs/>
                <w:color w:val="auto"/>
                <w:lang w:eastAsia="en-US"/>
              </w:rPr>
              <w:t>Government considers the Authority’s findings and recommendations in</w:t>
            </w:r>
            <w:r w:rsidRPr="006C7B94">
              <w:rPr>
                <w:rFonts w:ascii="Arial" w:eastAsia="Calibri" w:hAnsi="Arial" w:cs="Arial"/>
                <w:bCs/>
                <w:color w:val="auto"/>
                <w:lang w:eastAsia="en-US"/>
              </w:rPr>
              <w:t xml:space="preserve"> </w:t>
            </w:r>
            <w:r>
              <w:rPr>
                <w:rFonts w:ascii="Arial" w:eastAsia="Calibri" w:hAnsi="Arial" w:cs="Arial"/>
                <w:bCs/>
                <w:color w:val="auto"/>
                <w:lang w:eastAsia="en-US"/>
              </w:rPr>
              <w:t>developing and implementing policy.</w:t>
            </w:r>
          </w:p>
          <w:p w:rsidR="00780B1F"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Pr>
                <w:rFonts w:ascii="Arial" w:eastAsia="Calibri" w:hAnsi="Arial" w:cs="Arial"/>
                <w:bCs/>
                <w:color w:val="auto"/>
                <w:lang w:eastAsia="en-US"/>
              </w:rPr>
              <w:t>Forecast: On-track</w:t>
            </w:r>
          </w:p>
        </w:tc>
      </w:tr>
      <w:tr w:rsidR="00253274" w:rsidTr="00C34BA9">
        <w:trPr>
          <w:trHeight w:val="208"/>
        </w:trPr>
        <w:tc>
          <w:tcPr>
            <w:tcW w:w="1560" w:type="dxa"/>
            <w:tcBorders>
              <w:top w:val="nil"/>
              <w:left w:val="single" w:sz="4" w:space="0" w:color="auto"/>
              <w:bottom w:val="single" w:sz="4" w:space="0" w:color="auto"/>
              <w:right w:val="single" w:sz="4" w:space="0" w:color="auto"/>
            </w:tcBorders>
            <w:hideMark/>
          </w:tcPr>
          <w:p w:rsidR="00780B1F" w:rsidRDefault="00780B1F" w:rsidP="006C7B94">
            <w:pPr>
              <w:pStyle w:val="TableTextBase"/>
              <w:rPr>
                <w:rFonts w:eastAsia="Times New Roman"/>
                <w:sz w:val="16"/>
                <w:szCs w:val="16"/>
                <w:lang w:eastAsia="en-AU"/>
              </w:rPr>
            </w:pPr>
          </w:p>
        </w:tc>
        <w:tc>
          <w:tcPr>
            <w:tcW w:w="3118" w:type="dxa"/>
            <w:tcBorders>
              <w:top w:val="single" w:sz="4" w:space="0" w:color="auto"/>
              <w:left w:val="single" w:sz="4" w:space="0" w:color="auto"/>
              <w:bottom w:val="single" w:sz="4" w:space="0" w:color="auto"/>
              <w:right w:val="single" w:sz="4" w:space="0" w:color="auto"/>
            </w:tcBorders>
            <w:hideMark/>
          </w:tcPr>
          <w:p w:rsidR="00780B1F" w:rsidRDefault="00BA7A7F" w:rsidP="006C7B94">
            <w:pPr>
              <w:pStyle w:val="TableTextBase"/>
              <w:rPr>
                <w:rFonts w:eastAsia="Calibri"/>
                <w:sz w:val="16"/>
                <w:szCs w:val="16"/>
              </w:rPr>
            </w:pPr>
            <w:r>
              <w:rPr>
                <w:rFonts w:eastAsia="Calibri"/>
                <w:sz w:val="16"/>
                <w:szCs w:val="16"/>
              </w:rPr>
              <w:t>The Authority’s public consultation processes are transparent, accessible and are highly regarded by stakeholders</w:t>
            </w:r>
            <w:r w:rsidR="008A2EFA">
              <w:rPr>
                <w:rFonts w:eastAsia="Calibri"/>
                <w:sz w:val="16"/>
                <w:szCs w:val="16"/>
              </w:rPr>
              <w:t>.</w:t>
            </w:r>
          </w:p>
        </w:tc>
        <w:tc>
          <w:tcPr>
            <w:tcW w:w="3118" w:type="dxa"/>
            <w:tcBorders>
              <w:top w:val="single" w:sz="4" w:space="0" w:color="auto"/>
              <w:left w:val="single" w:sz="4" w:space="0" w:color="auto"/>
              <w:bottom w:val="single" w:sz="4" w:space="0" w:color="auto"/>
              <w:right w:val="single" w:sz="4" w:space="0" w:color="auto"/>
            </w:tcBorders>
            <w:hideMark/>
          </w:tcPr>
          <w:p w:rsidR="00780B1F"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Pr>
                <w:rFonts w:ascii="Arial" w:eastAsia="Calibri" w:hAnsi="Arial" w:cs="Arial"/>
                <w:bCs/>
                <w:color w:val="auto"/>
                <w:lang w:eastAsia="en-US"/>
              </w:rPr>
              <w:t xml:space="preserve">Public consultation is comprehensive, representative and transparent. </w:t>
            </w:r>
          </w:p>
          <w:p w:rsidR="00780B1F" w:rsidRDefault="00BA7A7F" w:rsidP="006C7B94">
            <w:pPr>
              <w:pStyle w:val="Tabletext"/>
              <w:tabs>
                <w:tab w:val="clear" w:pos="360"/>
                <w:tab w:val="left" w:pos="720"/>
              </w:tabs>
              <w:spacing w:before="60" w:after="60" w:line="240" w:lineRule="auto"/>
              <w:ind w:left="0" w:firstLine="0"/>
              <w:rPr>
                <w:rFonts w:eastAsia="Times New Roman" w:cs="Times New Roman"/>
                <w:i/>
                <w:color w:val="0070C0"/>
              </w:rPr>
            </w:pPr>
            <w:r>
              <w:rPr>
                <w:rFonts w:ascii="Arial" w:eastAsia="Calibri" w:hAnsi="Arial" w:cs="Arial"/>
                <w:bCs/>
                <w:color w:val="auto"/>
                <w:lang w:eastAsia="en-US"/>
              </w:rPr>
              <w:t>Forecast: On-track</w:t>
            </w:r>
          </w:p>
        </w:tc>
      </w:tr>
      <w:tr w:rsidR="00253274" w:rsidTr="00C34BA9">
        <w:trPr>
          <w:trHeight w:val="491"/>
        </w:trPr>
        <w:tc>
          <w:tcPr>
            <w:tcW w:w="1560" w:type="dxa"/>
            <w:tcBorders>
              <w:top w:val="single" w:sz="4" w:space="0" w:color="auto"/>
              <w:left w:val="single" w:sz="4" w:space="0" w:color="auto"/>
              <w:bottom w:val="dotted" w:sz="4" w:space="0" w:color="auto"/>
              <w:right w:val="single" w:sz="4" w:space="0" w:color="auto"/>
            </w:tcBorders>
            <w:hideMark/>
          </w:tcPr>
          <w:p w:rsidR="00780B1F" w:rsidRDefault="00BA7A7F" w:rsidP="006C7B94">
            <w:pPr>
              <w:pStyle w:val="TableTextBase"/>
              <w:rPr>
                <w:rFonts w:eastAsia="Calibri"/>
                <w:sz w:val="16"/>
                <w:szCs w:val="16"/>
              </w:rPr>
            </w:pPr>
            <w:r>
              <w:rPr>
                <w:rFonts w:eastAsia="Calibri"/>
                <w:sz w:val="16"/>
                <w:szCs w:val="16"/>
              </w:rPr>
              <w:t xml:space="preserve">Forward Estimates </w:t>
            </w:r>
          </w:p>
          <w:p w:rsidR="00780B1F" w:rsidRDefault="00BA7A7F" w:rsidP="006C7B94">
            <w:pPr>
              <w:pStyle w:val="TableTextBase"/>
              <w:rPr>
                <w:rFonts w:eastAsia="Calibri" w:cs="Times New Roman"/>
                <w:b/>
                <w:szCs w:val="20"/>
              </w:rPr>
            </w:pPr>
            <w:r>
              <w:rPr>
                <w:rFonts w:eastAsia="Calibri"/>
                <w:sz w:val="16"/>
                <w:szCs w:val="16"/>
              </w:rPr>
              <w:t>2023-26</w:t>
            </w:r>
          </w:p>
        </w:tc>
        <w:tc>
          <w:tcPr>
            <w:tcW w:w="3118" w:type="dxa"/>
            <w:tcBorders>
              <w:top w:val="single" w:sz="4" w:space="0" w:color="auto"/>
              <w:left w:val="single" w:sz="4" w:space="0" w:color="auto"/>
              <w:bottom w:val="dotted" w:sz="4" w:space="0" w:color="auto"/>
              <w:right w:val="single" w:sz="4" w:space="0" w:color="auto"/>
            </w:tcBorders>
          </w:tcPr>
          <w:p w:rsidR="00780B1F" w:rsidRDefault="00BA7A7F" w:rsidP="006C7B94">
            <w:pPr>
              <w:pStyle w:val="TableTextBase"/>
              <w:rPr>
                <w:rFonts w:eastAsia="Calibri"/>
                <w:sz w:val="16"/>
                <w:szCs w:val="16"/>
              </w:rPr>
            </w:pPr>
            <w:r>
              <w:rPr>
                <w:rFonts w:eastAsia="Calibri"/>
                <w:sz w:val="16"/>
                <w:szCs w:val="16"/>
              </w:rPr>
              <w:t>As per 2022-23</w:t>
            </w:r>
          </w:p>
          <w:p w:rsidR="00780B1F" w:rsidRDefault="00780B1F" w:rsidP="006C7B94">
            <w:pPr>
              <w:pStyle w:val="TableTextBase"/>
              <w:rPr>
                <w:rFonts w:eastAsia="Calibri"/>
                <w:b/>
                <w:color w:val="0070C0"/>
                <w:szCs w:val="18"/>
              </w:rPr>
            </w:pPr>
          </w:p>
        </w:tc>
        <w:tc>
          <w:tcPr>
            <w:tcW w:w="3118" w:type="dxa"/>
            <w:tcBorders>
              <w:top w:val="single" w:sz="4" w:space="0" w:color="auto"/>
              <w:left w:val="single" w:sz="4" w:space="0" w:color="auto"/>
              <w:bottom w:val="dotted" w:sz="4" w:space="0" w:color="auto"/>
              <w:right w:val="single" w:sz="4" w:space="0" w:color="auto"/>
            </w:tcBorders>
          </w:tcPr>
          <w:p w:rsidR="00780B1F" w:rsidRPr="006C7B94" w:rsidRDefault="00BA7A7F" w:rsidP="006C7B94">
            <w:pPr>
              <w:pStyle w:val="Tabletext"/>
              <w:tabs>
                <w:tab w:val="clear" w:pos="360"/>
                <w:tab w:val="left" w:pos="720"/>
              </w:tabs>
              <w:spacing w:before="60" w:after="60" w:line="240" w:lineRule="auto"/>
              <w:ind w:left="0" w:firstLine="0"/>
              <w:rPr>
                <w:rFonts w:ascii="Arial" w:eastAsia="Calibri" w:hAnsi="Arial" w:cs="Arial"/>
                <w:bCs/>
                <w:color w:val="auto"/>
                <w:lang w:eastAsia="en-US"/>
              </w:rPr>
            </w:pPr>
            <w:r w:rsidRPr="006C7B94">
              <w:rPr>
                <w:rFonts w:ascii="Arial" w:eastAsia="Calibri" w:hAnsi="Arial" w:cs="Arial"/>
                <w:bCs/>
                <w:color w:val="auto"/>
                <w:lang w:eastAsia="en-US"/>
              </w:rPr>
              <w:t>As per 2022-23</w:t>
            </w:r>
          </w:p>
          <w:p w:rsidR="00780B1F" w:rsidRDefault="00780B1F" w:rsidP="006C7B94">
            <w:pPr>
              <w:pStyle w:val="TableTextBase"/>
              <w:rPr>
                <w:rFonts w:eastAsia="Calibri"/>
                <w:b/>
                <w:color w:val="0070C0"/>
                <w:szCs w:val="18"/>
              </w:rPr>
            </w:pPr>
          </w:p>
        </w:tc>
      </w:tr>
      <w:tr w:rsidR="00253274" w:rsidTr="006C7B94">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780B1F" w:rsidRDefault="00BA7A7F">
            <w:pPr>
              <w:pStyle w:val="TableTextBase"/>
              <w:rPr>
                <w:rFonts w:eastAsia="Cambria" w:cs="Times New Roman"/>
                <w:bCs/>
                <w:iCs/>
                <w:color w:val="0070C0"/>
                <w:spacing w:val="-6"/>
                <w:sz w:val="16"/>
                <w:szCs w:val="16"/>
                <w:lang w:val="x-none"/>
              </w:rPr>
            </w:pPr>
            <w:r>
              <w:rPr>
                <w:rFonts w:eastAsia="Calibri"/>
                <w:sz w:val="16"/>
                <w:szCs w:val="16"/>
              </w:rPr>
              <w:t>Material changes to Program 1.1 resulting from 2022-23 Budget Measures:</w:t>
            </w:r>
            <w:r>
              <w:rPr>
                <w:rStyle w:val="BodyTextChar"/>
                <w:rFonts w:eastAsia="Calibri"/>
                <w:bCs/>
                <w:iCs/>
                <w:color w:val="365F91"/>
                <w:spacing w:val="-6"/>
                <w:sz w:val="16"/>
                <w:szCs w:val="16"/>
              </w:rPr>
              <w:t xml:space="preserve"> </w:t>
            </w:r>
            <w:r>
              <w:rPr>
                <w:rFonts w:eastAsia="Calibri"/>
              </w:rPr>
              <w:t>Nil</w:t>
            </w:r>
          </w:p>
        </w:tc>
      </w:tr>
    </w:tbl>
    <w:p w:rsidR="00E74B6E" w:rsidRDefault="00BA7A7F" w:rsidP="002614E5">
      <w:pPr>
        <w:spacing w:before="60" w:after="60" w:line="240" w:lineRule="auto"/>
        <w:jc w:val="left"/>
        <w:rPr>
          <w:rFonts w:ascii="Arial" w:hAnsi="Arial" w:cs="Arial"/>
          <w:sz w:val="16"/>
          <w:szCs w:val="16"/>
        </w:rPr>
      </w:pPr>
      <w:r>
        <w:rPr>
          <w:rFonts w:ascii="Arial" w:hAnsi="Arial" w:cs="Arial"/>
          <w:sz w:val="16"/>
          <w:szCs w:val="16"/>
        </w:rPr>
        <w:br/>
      </w:r>
    </w:p>
    <w:p w:rsidR="00E74B6E" w:rsidRDefault="00E74B6E" w:rsidP="00E74B6E">
      <w:pPr>
        <w:spacing w:after="0" w:line="240" w:lineRule="auto"/>
        <w:jc w:val="left"/>
        <w:rPr>
          <w:rFonts w:ascii="Arial" w:hAnsi="Arial" w:cs="Arial"/>
          <w:sz w:val="16"/>
          <w:szCs w:val="16"/>
        </w:rPr>
      </w:pPr>
    </w:p>
    <w:p w:rsidR="005B2053" w:rsidRPr="008704A6" w:rsidRDefault="00BA7A7F" w:rsidP="008704A6">
      <w:pPr>
        <w:pStyle w:val="Heading2"/>
        <w:pageBreakBefore/>
        <w:spacing w:after="120"/>
        <w:rPr>
          <w:b/>
          <w:sz w:val="26"/>
          <w:szCs w:val="26"/>
        </w:rPr>
      </w:pPr>
      <w:bookmarkStart w:id="1103" w:name="RG_MARKER_11845"/>
      <w:bookmarkStart w:id="1104" w:name="RG_MARKER_11866"/>
      <w:bookmarkStart w:id="1105" w:name="RG_MARKER_12195"/>
      <w:r w:rsidRPr="008704A6">
        <w:rPr>
          <w:b/>
          <w:sz w:val="26"/>
          <w:szCs w:val="26"/>
        </w:rPr>
        <w:t>Section 3</w:t>
      </w:r>
      <w:bookmarkStart w:id="1106" w:name="_Toc449255782_5"/>
      <w:bookmarkStart w:id="1107" w:name="_Toc446237038_5"/>
      <w:bookmarkStart w:id="1108" w:name="_Toc436625460_5"/>
      <w:bookmarkStart w:id="1109" w:name="_Toc436624159_5"/>
      <w:bookmarkEnd w:id="1103"/>
      <w:bookmarkEnd w:id="1104"/>
      <w:bookmarkEnd w:id="1105"/>
      <w:r w:rsidRPr="008704A6">
        <w:rPr>
          <w:b/>
          <w:sz w:val="26"/>
          <w:szCs w:val="26"/>
        </w:rPr>
        <w:t>: Budgeted financial statements</w:t>
      </w:r>
      <w:bookmarkEnd w:id="1106"/>
      <w:bookmarkEnd w:id="1107"/>
      <w:bookmarkEnd w:id="1108"/>
      <w:bookmarkEnd w:id="1109"/>
    </w:p>
    <w:p w:rsidR="00445F72" w:rsidRDefault="00BA7A7F" w:rsidP="00445F72">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rsidR="005B2053" w:rsidRPr="008704A6" w:rsidRDefault="00BA7A7F" w:rsidP="008704A6">
      <w:pPr>
        <w:pStyle w:val="Heading3"/>
        <w:spacing w:before="360" w:after="120"/>
        <w:rPr>
          <w:smallCaps w:val="0"/>
          <w:sz w:val="22"/>
          <w:szCs w:val="22"/>
        </w:rPr>
      </w:pPr>
      <w:bookmarkStart w:id="1110" w:name="_Toc210703218_5"/>
      <w:bookmarkStart w:id="1111" w:name="_Toc190682533_5"/>
      <w:bookmarkStart w:id="1112" w:name="_Toc190682316_5"/>
      <w:r w:rsidRPr="008704A6">
        <w:rPr>
          <w:smallCaps w:val="0"/>
          <w:sz w:val="22"/>
          <w:szCs w:val="22"/>
        </w:rPr>
        <w:t>3.1</w:t>
      </w:r>
      <w:r w:rsidRPr="008704A6">
        <w:rPr>
          <w:smallCaps w:val="0"/>
          <w:sz w:val="22"/>
          <w:szCs w:val="22"/>
        </w:rPr>
        <w:tab/>
        <w:t>Budgeted financial statements</w:t>
      </w:r>
      <w:bookmarkEnd w:id="1110"/>
      <w:bookmarkEnd w:id="1111"/>
      <w:bookmarkEnd w:id="1112"/>
    </w:p>
    <w:p w:rsidR="00257F13" w:rsidRPr="008704A6" w:rsidRDefault="00BA7A7F" w:rsidP="00C0220F">
      <w:pPr>
        <w:pStyle w:val="Heading4"/>
        <w:rPr>
          <w:rFonts w:cs="Arial"/>
          <w:sz w:val="20"/>
        </w:rPr>
      </w:pPr>
      <w:r>
        <w:rPr>
          <w:sz w:val="20"/>
        </w:rPr>
        <w:t>3.1.1</w:t>
      </w:r>
      <w:r>
        <w:rPr>
          <w:sz w:val="20"/>
        </w:rPr>
        <w:tab/>
      </w:r>
      <w:r w:rsidRPr="008704A6">
        <w:rPr>
          <w:rFonts w:cs="Arial"/>
          <w:sz w:val="20"/>
        </w:rPr>
        <w:t>Explanatory notes and analysis of budgeted financial statements</w:t>
      </w:r>
    </w:p>
    <w:p w:rsidR="004A09D4" w:rsidRPr="008704A6" w:rsidRDefault="00BA7A7F" w:rsidP="004A09D4">
      <w:r w:rsidRPr="008704A6">
        <w:t xml:space="preserve">The financial statements reflect the </w:t>
      </w:r>
      <w:r>
        <w:t>Authority</w:t>
      </w:r>
      <w:r w:rsidRPr="008704A6">
        <w:t>’s operations to 30 June</w:t>
      </w:r>
      <w:r>
        <w:t xml:space="preserve"> 2026</w:t>
      </w:r>
      <w:r w:rsidRPr="008704A6">
        <w:t xml:space="preserve">. </w:t>
      </w:r>
    </w:p>
    <w:p w:rsidR="004B68CB" w:rsidRPr="00445F72" w:rsidRDefault="004B68CB" w:rsidP="00121047">
      <w:pPr>
        <w:spacing w:before="120" w:after="120"/>
        <w:rPr>
          <w:vanish/>
        </w:rPr>
      </w:pPr>
    </w:p>
    <w:p w:rsidR="006B6EF0" w:rsidRPr="00835132" w:rsidRDefault="00BA7A7F" w:rsidP="00835132">
      <w:pPr>
        <w:pStyle w:val="Heading3"/>
        <w:pageBreakBefore/>
        <w:spacing w:before="360" w:after="120"/>
        <w:rPr>
          <w:rFonts w:ascii="Arial Bold" w:hAnsi="Arial Bold"/>
          <w:smallCaps w:val="0"/>
          <w:sz w:val="22"/>
          <w:szCs w:val="22"/>
        </w:rPr>
      </w:pPr>
      <w:bookmarkStart w:id="1113" w:name="RG_MARKER_11869"/>
      <w:bookmarkStart w:id="1114" w:name="RG_MARKER_12196"/>
      <w:r w:rsidRPr="00835132">
        <w:rPr>
          <w:rFonts w:ascii="Arial Bold" w:hAnsi="Arial Bold"/>
          <w:smallCaps w:val="0"/>
          <w:sz w:val="22"/>
          <w:szCs w:val="22"/>
        </w:rPr>
        <w:t>3.2</w:t>
      </w:r>
      <w:bookmarkEnd w:id="1113"/>
      <w:bookmarkEnd w:id="1114"/>
      <w:r w:rsidRPr="00835132">
        <w:rPr>
          <w:rFonts w:ascii="Arial Bold" w:hAnsi="Arial Bold"/>
          <w:smallCaps w:val="0"/>
          <w:sz w:val="22"/>
          <w:szCs w:val="22"/>
        </w:rPr>
        <w:tab/>
        <w:t>Budgeted financial statements tables</w:t>
      </w:r>
    </w:p>
    <w:p w:rsidR="005E7F55" w:rsidRDefault="00BA7A7F" w:rsidP="00835132">
      <w:pPr>
        <w:pStyle w:val="TableHeading"/>
        <w:keepLines/>
        <w:spacing w:before="0"/>
      </w:pPr>
      <w:r>
        <w:t>Table 3.1: Comprehensive income statement (showing net cost of services) for the period ended 30 June</w:t>
      </w:r>
    </w:p>
    <w:tbl>
      <w:tblPr>
        <w:tblStyle w:val="CDMRange1"/>
        <w:tblW w:w="7500" w:type="dxa"/>
        <w:tblLayout w:type="fixed"/>
        <w:tblLook w:val="0600" w:firstRow="0" w:lastRow="0" w:firstColumn="0" w:lastColumn="0" w:noHBand="1" w:noVBand="1"/>
      </w:tblPr>
      <w:tblGrid>
        <w:gridCol w:w="3375"/>
        <w:gridCol w:w="825"/>
        <w:gridCol w:w="825"/>
        <w:gridCol w:w="825"/>
        <w:gridCol w:w="825"/>
        <w:gridCol w:w="825"/>
      </w:tblGrid>
      <w:tr w:rsidR="00253274">
        <w:trPr>
          <w:trHeight w:val="800"/>
        </w:trPr>
        <w:tc>
          <w:tcPr>
            <w:tcW w:w="3375"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2,190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1,853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1,882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1,188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1,196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894</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757</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769</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3,084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2,610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2,650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1,673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375" w:type="dxa"/>
            <w:tcBorders>
              <w:top w:val="nil"/>
              <w:left w:val="nil"/>
              <w:bottom w:val="nil"/>
              <w:right w:val="nil"/>
              <w:tl2br w:val="nil"/>
              <w:tr2bl w:val="nil"/>
            </w:tcBorders>
            <w:shd w:val="clear" w:color="auto" w:fill="auto"/>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7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2,584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2,610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2,650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1,673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2,584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2,610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2,650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1,673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37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375"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5E7F55" w:rsidRDefault="00BA7A7F" w:rsidP="00863527">
      <w:pPr>
        <w:spacing w:before="40"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BA7A7F" w:rsidP="00835132">
      <w:pPr>
        <w:pStyle w:val="TableHeading"/>
        <w:keepLines/>
        <w:pageBreakBefore/>
        <w:spacing w:before="0"/>
        <w:rPr>
          <w:rStyle w:val="BookTitle"/>
          <w:i w:val="0"/>
          <w:iCs/>
          <w:spacing w:val="0"/>
          <w:bdr w:val="none" w:sz="0" w:space="0" w:color="auto" w:frame="1"/>
        </w:rPr>
      </w:pPr>
      <w:r>
        <w:rPr>
          <w:bdr w:val="none" w:sz="0" w:space="0" w:color="auto" w:frame="1"/>
        </w:rPr>
        <w:t xml:space="preserve">Table 3.2: Budgeted departmental balance sheet (as at </w:t>
      </w:r>
      <w:r>
        <w:t>30 June)</w:t>
      </w:r>
    </w:p>
    <w:tbl>
      <w:tblPr>
        <w:tblStyle w:val="CDMRange2"/>
        <w:tblW w:w="7830" w:type="dxa"/>
        <w:tblLayout w:type="fixed"/>
        <w:tblLook w:val="0600" w:firstRow="0" w:lastRow="0" w:firstColumn="0" w:lastColumn="0" w:noHBand="1" w:noVBand="1"/>
      </w:tblPr>
      <w:tblGrid>
        <w:gridCol w:w="2955"/>
        <w:gridCol w:w="975"/>
        <w:gridCol w:w="975"/>
        <w:gridCol w:w="975"/>
        <w:gridCol w:w="975"/>
        <w:gridCol w:w="975"/>
      </w:tblGrid>
      <w:tr w:rsidR="00253274">
        <w:trPr>
          <w:trHeight w:val="800"/>
        </w:trPr>
        <w:tc>
          <w:tcPr>
            <w:tcW w:w="2955"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1,305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1,305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1,313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1,313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371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371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399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399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770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770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9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1,088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1,088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5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(545)</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(545)</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(545)</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(545)</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9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543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543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5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543</w:t>
            </w:r>
          </w:p>
        </w:tc>
        <w:tc>
          <w:tcPr>
            <w:tcW w:w="97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543</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543</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543</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543</w:t>
            </w:r>
          </w:p>
        </w:tc>
      </w:tr>
    </w:tbl>
    <w:p w:rsidR="005E7F55" w:rsidRDefault="00BA7A7F" w:rsidP="00863527">
      <w:pPr>
        <w:spacing w:before="40"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BA7A7F" w:rsidP="00835132">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Pr="00424609">
        <w:rPr>
          <w:rFonts w:ascii="Arial" w:eastAsia="Calibri" w:hAnsi="Arial" w:cs="Arial"/>
          <w:sz w:val="16"/>
          <w:szCs w:val="16"/>
          <w:bdr w:val="none" w:sz="0" w:space="0" w:color="auto" w:frame="1"/>
        </w:rPr>
        <w:t>Equity is the residual interest in assets</w:t>
      </w:r>
      <w:r>
        <w:rPr>
          <w:rFonts w:ascii="Arial" w:eastAsia="Calibri" w:hAnsi="Arial" w:cs="Arial"/>
          <w:sz w:val="16"/>
          <w:szCs w:val="16"/>
          <w:bdr w:val="none" w:sz="0" w:space="0" w:color="auto" w:frame="1"/>
        </w:rPr>
        <w:t xml:space="preserve"> after deduction of liabilities</w:t>
      </w:r>
      <w:r>
        <w:rPr>
          <w:rFonts w:ascii="Arial" w:eastAsia="Calibri" w:hAnsi="Arial" w:cs="Arial"/>
          <w:sz w:val="16"/>
          <w:szCs w:val="16"/>
          <w:bdr w:val="none" w:sz="0" w:space="0" w:color="auto" w:frame="1"/>
        </w:rPr>
        <w:br w:type="page"/>
      </w:r>
    </w:p>
    <w:p w:rsidR="005E7F55" w:rsidRDefault="00BA7A7F" w:rsidP="00835132">
      <w:pPr>
        <w:pStyle w:val="TableHeading"/>
        <w:keepLines/>
        <w:spacing w:before="0"/>
        <w:rPr>
          <w:rStyle w:val="BookTitle"/>
          <w:i w:val="0"/>
          <w:iCs/>
        </w:rPr>
      </w:pPr>
      <w:r>
        <w:t>Table 3.3: Departmental statement of changes in equity – summary of movement (Budget year 2022­23)</w:t>
      </w:r>
    </w:p>
    <w:tbl>
      <w:tblPr>
        <w:tblStyle w:val="CDMRange1"/>
        <w:tblW w:w="7530" w:type="dxa"/>
        <w:tblLayout w:type="fixed"/>
        <w:tblLook w:val="0600" w:firstRow="0" w:lastRow="0" w:firstColumn="0" w:lastColumn="0" w:noHBand="1" w:noVBand="1"/>
      </w:tblPr>
      <w:tblGrid>
        <w:gridCol w:w="3225"/>
        <w:gridCol w:w="810"/>
        <w:gridCol w:w="915"/>
        <w:gridCol w:w="810"/>
        <w:gridCol w:w="960"/>
        <w:gridCol w:w="810"/>
      </w:tblGrid>
      <w:tr w:rsidR="00253274">
        <w:trPr>
          <w:trHeight w:val="800"/>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Asset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reserves</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equity/</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2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1,088</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22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(545)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1,088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543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2023</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(545)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1,088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543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(545)</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1,088</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543</w:t>
            </w:r>
          </w:p>
        </w:tc>
      </w:tr>
    </w:tbl>
    <w:p w:rsidR="005E7F55" w:rsidRDefault="00BA7A7F" w:rsidP="00863527">
      <w:pPr>
        <w:spacing w:before="40"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236059" w:rsidRPr="00236059" w:rsidRDefault="00236059" w:rsidP="00835132">
      <w:pPr>
        <w:spacing w:after="0" w:line="240" w:lineRule="auto"/>
        <w:ind w:left="142" w:hanging="142"/>
        <w:rPr>
          <w:rFonts w:ascii="Arial" w:eastAsia="Calibri" w:hAnsi="Arial" w:cs="Arial"/>
          <w:bdr w:val="none" w:sz="0" w:space="0" w:color="auto" w:frame="1"/>
        </w:rPr>
      </w:pPr>
    </w:p>
    <w:p w:rsidR="00236059" w:rsidRPr="00236059" w:rsidRDefault="00236059" w:rsidP="00835132">
      <w:pPr>
        <w:spacing w:after="0" w:line="240" w:lineRule="auto"/>
        <w:ind w:left="142" w:hanging="142"/>
        <w:rPr>
          <w:rFonts w:ascii="Arial" w:eastAsia="Calibri" w:hAnsi="Arial" w:cs="Arial"/>
          <w:bdr w:val="none" w:sz="0" w:space="0" w:color="auto" w:frame="1"/>
        </w:rPr>
      </w:pPr>
    </w:p>
    <w:p w:rsidR="005E7F55" w:rsidRDefault="00BA7A7F" w:rsidP="00835132">
      <w:pPr>
        <w:pStyle w:val="TableHeading"/>
        <w:keepLines/>
        <w:spacing w:before="0"/>
        <w:rPr>
          <w:rStyle w:val="BookTitle"/>
          <w:i w:val="0"/>
          <w:iCs/>
        </w:rPr>
      </w:pPr>
      <w:r>
        <w:t>Table 3.4: Budgeted departmental statement of cash flows (for the period ended 30 June)</w:t>
      </w:r>
    </w:p>
    <w:tbl>
      <w:tblPr>
        <w:tblStyle w:val="CDMRange2"/>
        <w:tblW w:w="7650" w:type="dxa"/>
        <w:tblLayout w:type="fixed"/>
        <w:tblLook w:val="0600" w:firstRow="0" w:lastRow="0" w:firstColumn="0" w:lastColumn="0" w:noHBand="1" w:noVBand="1"/>
      </w:tblPr>
      <w:tblGrid>
        <w:gridCol w:w="3225"/>
        <w:gridCol w:w="885"/>
        <w:gridCol w:w="885"/>
        <w:gridCol w:w="885"/>
        <w:gridCol w:w="885"/>
        <w:gridCol w:w="885"/>
      </w:tblGrid>
      <w:tr w:rsidR="00253274">
        <w:trPr>
          <w:trHeight w:val="800"/>
        </w:trPr>
        <w:tc>
          <w:tcPr>
            <w:tcW w:w="3225"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2,584</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2,610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2,650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1,673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Sale of goods and rendering of services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3,084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2,610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1,673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1,684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2,190</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1,853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1,882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1,188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1,196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757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769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3,084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2,610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1,673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1,684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2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83</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83</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83</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83</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83</w:t>
            </w:r>
          </w:p>
        </w:tc>
      </w:tr>
    </w:tbl>
    <w:p w:rsidR="00236059" w:rsidRDefault="00BA7A7F" w:rsidP="00863527">
      <w:pPr>
        <w:spacing w:before="40"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Pr>
          <w:rFonts w:ascii="Arial" w:eastAsia="Calibri" w:hAnsi="Arial" w:cs="Arial"/>
          <w:sz w:val="16"/>
          <w:szCs w:val="16"/>
          <w:bdr w:val="none" w:sz="0" w:space="0" w:color="auto" w:frame="1"/>
        </w:rPr>
        <w:br w:type="page"/>
      </w:r>
    </w:p>
    <w:p w:rsidR="005E7F55" w:rsidRPr="00835132" w:rsidRDefault="005E7F55" w:rsidP="00835132">
      <w:pPr>
        <w:spacing w:line="240" w:lineRule="auto"/>
        <w:ind w:left="142" w:hanging="142"/>
        <w:rPr>
          <w:rFonts w:ascii="Arial" w:eastAsia="Calibri" w:hAnsi="Arial" w:cs="Arial"/>
          <w:sz w:val="16"/>
          <w:szCs w:val="16"/>
          <w:bdr w:val="none" w:sz="0" w:space="0" w:color="auto" w:frame="1"/>
        </w:rPr>
      </w:pPr>
    </w:p>
    <w:p w:rsidR="00D709B6" w:rsidRDefault="00BA7A7F" w:rsidP="00835132">
      <w:pPr>
        <w:pStyle w:val="TableHeading"/>
        <w:keepLines/>
        <w:spacing w:before="0"/>
        <w:rPr>
          <w:rStyle w:val="BookTitle"/>
          <w:i w:val="0"/>
          <w:iCs/>
          <w:bdr w:val="none" w:sz="0" w:space="0" w:color="auto" w:frame="1"/>
        </w:rPr>
      </w:pPr>
      <w:r>
        <w:rPr>
          <w:bdr w:val="none" w:sz="0" w:space="0" w:color="auto" w:frame="1"/>
        </w:rPr>
        <w:t>Table 3.5: Departmental capital budget statement (for the period ended 30 June)</w:t>
      </w:r>
    </w:p>
    <w:p w:rsidR="00D709B6" w:rsidRDefault="00BA7A7F" w:rsidP="00835132">
      <w:pPr>
        <w:keepLines w:val="0"/>
        <w:spacing w:line="276" w:lineRule="auto"/>
        <w:jc w:val="left"/>
      </w:pPr>
      <w:r>
        <w:rPr>
          <w:bdr w:val="none" w:sz="0" w:space="0" w:color="auto" w:frame="1"/>
        </w:rPr>
        <w:t>CCA has no departmental capital budget; therefore Table 3.5 is not presented.</w:t>
      </w:r>
    </w:p>
    <w:p w:rsidR="00D709B6" w:rsidRDefault="00BA7A7F" w:rsidP="00835132">
      <w:pPr>
        <w:pStyle w:val="TableHeading"/>
        <w:keepLines/>
        <w:spacing w:before="0"/>
        <w:rPr>
          <w:rStyle w:val="BookTitle"/>
          <w:i w:val="0"/>
          <w:iCs/>
        </w:rPr>
      </w:pPr>
      <w:r>
        <w:rPr>
          <w:bdr w:val="none" w:sz="0" w:space="0" w:color="auto" w:frame="1"/>
        </w:rPr>
        <w:t>Table 3.6: Statement of departmental asset movements (Budget year 2022-</w:t>
      </w:r>
      <w:r>
        <w:rPr>
          <w:bdr w:val="none" w:sz="0" w:space="0" w:color="auto" w:frame="1"/>
        </w:rPr>
        <w:softHyphen/>
        <w:t>23)</w:t>
      </w:r>
    </w:p>
    <w:p w:rsidR="00D709B6" w:rsidRDefault="00BA7A7F" w:rsidP="00835132">
      <w:pPr>
        <w:spacing w:line="240" w:lineRule="auto"/>
      </w:pPr>
      <w:r>
        <w:rPr>
          <w:bdr w:val="none" w:sz="0" w:space="0" w:color="auto" w:frame="1"/>
        </w:rPr>
        <w:t>CCA has no departmental asset movements; therefore Table 3.6 is not presented.</w:t>
      </w:r>
    </w:p>
    <w:p w:rsidR="00D709B6" w:rsidRDefault="00BA7A7F" w:rsidP="00835132">
      <w:pPr>
        <w:pStyle w:val="TableHeading"/>
        <w:keepLines/>
        <w:spacing w:before="0"/>
        <w:rPr>
          <w:rFonts w:cs="Arial"/>
          <w:bdr w:val="none" w:sz="0" w:space="0" w:color="auto" w:frame="1"/>
        </w:rPr>
      </w:pPr>
      <w:r>
        <w:rPr>
          <w:rFonts w:cs="Arial"/>
          <w:bdr w:val="none" w:sz="0" w:space="0" w:color="auto" w:frame="1"/>
        </w:rPr>
        <w:t xml:space="preserve">Table 3.7: Schedule of budgeted income and expenses administered on behalf of Government </w:t>
      </w:r>
      <w:r>
        <w:rPr>
          <w:bdr w:val="none" w:sz="0" w:space="0" w:color="auto" w:frame="1"/>
        </w:rPr>
        <w:t>(for the period ended 30 June)</w:t>
      </w:r>
    </w:p>
    <w:p w:rsidR="00D709B6" w:rsidRDefault="00BA7A7F" w:rsidP="00835132">
      <w:pPr>
        <w:spacing w:line="240" w:lineRule="auto"/>
        <w:rPr>
          <w:i/>
          <w:bdr w:val="none" w:sz="0" w:space="0" w:color="auto" w:frame="1"/>
        </w:rPr>
      </w:pPr>
      <w:r>
        <w:rPr>
          <w:bdr w:val="none" w:sz="0" w:space="0" w:color="auto" w:frame="1"/>
        </w:rPr>
        <w:t>CCA has no budgeted income and expenses administered on behalf of government; therefore Table 3.7 is not presented.</w:t>
      </w:r>
    </w:p>
    <w:p w:rsidR="00D709B6" w:rsidRDefault="00BA7A7F" w:rsidP="00835132">
      <w:pPr>
        <w:pStyle w:val="TableHeading"/>
        <w:keepLines/>
        <w:spacing w:before="0"/>
        <w:rPr>
          <w:bdr w:val="none" w:sz="0" w:space="0" w:color="auto" w:frame="1"/>
        </w:rPr>
      </w:pPr>
      <w:r>
        <w:rPr>
          <w:rFonts w:cs="Arial"/>
          <w:bdr w:val="none" w:sz="0" w:space="0" w:color="auto" w:frame="1"/>
        </w:rPr>
        <w:t xml:space="preserve">Table 3.8: </w:t>
      </w:r>
      <w:r>
        <w:rPr>
          <w:bdr w:val="none" w:sz="0" w:space="0" w:color="auto" w:frame="1"/>
        </w:rPr>
        <w:t>Schedule of budgeted assets and liabilities administered on behalf of Government (as at 30 June)</w:t>
      </w:r>
    </w:p>
    <w:p w:rsidR="00D709B6" w:rsidRDefault="00BA7A7F" w:rsidP="00835132">
      <w:pPr>
        <w:spacing w:line="240" w:lineRule="auto"/>
        <w:rPr>
          <w:bdr w:val="none" w:sz="0" w:space="0" w:color="auto" w:frame="1"/>
        </w:rPr>
      </w:pPr>
      <w:r>
        <w:rPr>
          <w:bdr w:val="none" w:sz="0" w:space="0" w:color="auto" w:frame="1"/>
        </w:rPr>
        <w:t>CCA has no budgeted assets and liabilities administered on behalf of government; therefore Table 3.8 is not presented.</w:t>
      </w:r>
    </w:p>
    <w:p w:rsidR="00D709B6" w:rsidRDefault="00BA7A7F" w:rsidP="00835132">
      <w:pPr>
        <w:pStyle w:val="TableHeading"/>
        <w:keepLines/>
        <w:spacing w:before="0"/>
        <w:rPr>
          <w:rStyle w:val="BookTitle"/>
          <w:i w:val="0"/>
          <w:iCs/>
        </w:rPr>
      </w:pPr>
      <w:r>
        <w:rPr>
          <w:bdr w:val="none" w:sz="0" w:space="0" w:color="auto" w:frame="1"/>
        </w:rPr>
        <w:t>Table 3.9: Schedule of budgeted administered cash flows (for the period ended 30 June)</w:t>
      </w:r>
    </w:p>
    <w:p w:rsidR="00D709B6" w:rsidRDefault="00BA7A7F" w:rsidP="00835132">
      <w:pPr>
        <w:spacing w:line="240" w:lineRule="auto"/>
        <w:rPr>
          <w:i/>
        </w:rPr>
      </w:pPr>
      <w:r>
        <w:rPr>
          <w:bdr w:val="none" w:sz="0" w:space="0" w:color="auto" w:frame="1"/>
        </w:rPr>
        <w:t>CCA has no budgeted administered cash flows; therefore Table 3.9 is not presented.</w:t>
      </w:r>
    </w:p>
    <w:p w:rsidR="00D709B6" w:rsidRDefault="00BA7A7F" w:rsidP="00835132">
      <w:pPr>
        <w:pStyle w:val="TableHeading"/>
        <w:keepLines/>
        <w:spacing w:before="0"/>
        <w:rPr>
          <w:rFonts w:cs="Arial"/>
          <w:bdr w:val="none" w:sz="0" w:space="0" w:color="auto" w:frame="1"/>
        </w:rPr>
      </w:pPr>
      <w:r>
        <w:rPr>
          <w:rFonts w:cs="Arial"/>
          <w:bdr w:val="none" w:sz="0" w:space="0" w:color="auto" w:frame="1"/>
        </w:rPr>
        <w:t xml:space="preserve">Table 3.10: Administered capital budget statement (for the period ended </w:t>
      </w:r>
      <w:r>
        <w:rPr>
          <w:bdr w:val="none" w:sz="0" w:space="0" w:color="auto" w:frame="1"/>
        </w:rPr>
        <w:t>30 June)</w:t>
      </w:r>
    </w:p>
    <w:p w:rsidR="00D709B6" w:rsidRDefault="00BA7A7F" w:rsidP="00835132">
      <w:pPr>
        <w:spacing w:line="240" w:lineRule="auto"/>
        <w:rPr>
          <w:bdr w:val="none" w:sz="0" w:space="0" w:color="auto" w:frame="1"/>
        </w:rPr>
      </w:pPr>
      <w:r>
        <w:rPr>
          <w:bdr w:val="none" w:sz="0" w:space="0" w:color="auto" w:frame="1"/>
        </w:rPr>
        <w:t>CCA has no administered capital budget; therefore Table 3.10 is not presented.</w:t>
      </w:r>
    </w:p>
    <w:p w:rsidR="00D709B6" w:rsidRDefault="00BA7A7F" w:rsidP="00835132">
      <w:pPr>
        <w:pStyle w:val="TableHeading"/>
        <w:keepLines/>
        <w:spacing w:before="0"/>
        <w:rPr>
          <w:bdr w:val="none" w:sz="0" w:space="0" w:color="auto" w:frame="1"/>
        </w:rPr>
      </w:pPr>
      <w:r>
        <w:rPr>
          <w:rFonts w:cs="Arial"/>
          <w:bdr w:val="none" w:sz="0" w:space="0" w:color="auto" w:frame="1"/>
        </w:rPr>
        <w:t>Table 3.11: Statement of administered asset movements (Budget year 2022-</w:t>
      </w:r>
      <w:r>
        <w:rPr>
          <w:rFonts w:cs="Arial"/>
          <w:bdr w:val="none" w:sz="0" w:space="0" w:color="auto" w:frame="1"/>
        </w:rPr>
        <w:softHyphen/>
        <w:t>23)</w:t>
      </w:r>
      <w:r>
        <w:rPr>
          <w:noProof/>
          <w:bdr w:val="none" w:sz="0" w:space="0" w:color="auto" w:frame="1"/>
        </w:rPr>
        <w:t xml:space="preserve"> </w:t>
      </w:r>
    </w:p>
    <w:p w:rsidR="00D709B6" w:rsidRPr="005217BF" w:rsidRDefault="00BA7A7F" w:rsidP="00835132">
      <w:pPr>
        <w:pStyle w:val="ChartandTableFootnoteAlpha"/>
        <w:tabs>
          <w:tab w:val="left" w:pos="720"/>
        </w:tabs>
        <w:spacing w:line="240" w:lineRule="auto"/>
        <w:ind w:left="0" w:firstLine="0"/>
        <w:rPr>
          <w:bdr w:val="none" w:sz="0" w:space="0" w:color="auto" w:frame="1"/>
        </w:rPr>
        <w:sectPr w:rsidR="00D709B6" w:rsidRPr="005217BF" w:rsidSect="00A05352">
          <w:headerReference w:type="even" r:id="rId270"/>
          <w:headerReference w:type="default" r:id="rId271"/>
          <w:footerReference w:type="even" r:id="rId272"/>
          <w:footerReference w:type="default" r:id="rId273"/>
          <w:headerReference w:type="first" r:id="rId274"/>
          <w:footerReference w:type="first" r:id="rId275"/>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Book Antiqua" w:hAnsi="Book Antiqua"/>
          <w:sz w:val="20"/>
          <w:bdr w:val="none" w:sz="0" w:space="0" w:color="auto" w:frame="1"/>
        </w:rPr>
        <w:t>CCA has no administered asset movements; therefore Table 3.11 is not presented.</w:t>
      </w:r>
    </w:p>
    <w:p w:rsidR="00FA15D4" w:rsidRDefault="00BA7A7F" w:rsidP="00FE00F7">
      <w:pPr>
        <w:pStyle w:val="Department"/>
        <w:pageBreakBefore/>
        <w:jc w:val="left"/>
        <w:rPr>
          <w:smallCaps/>
          <w:color w:val="FFFFFF"/>
          <w:sz w:val="24"/>
          <w:szCs w:val="24"/>
        </w:rPr>
      </w:pPr>
      <w:bookmarkStart w:id="1115" w:name="RG_MARKER_11890"/>
      <w:bookmarkStart w:id="1116" w:name="RG_MARKER_11892"/>
      <w:bookmarkStart w:id="1117" w:name="RG_MARKER_12074"/>
      <w:r w:rsidRPr="00FE00F7">
        <w:rPr>
          <w:smallCaps/>
          <w:color w:val="FFFFFF"/>
          <w:sz w:val="24"/>
          <w:szCs w:val="24"/>
        </w:rPr>
        <w:t>Department o</w:t>
      </w:r>
      <w:bookmarkEnd w:id="1115"/>
      <w:bookmarkEnd w:id="1116"/>
      <w:bookmarkEnd w:id="1117"/>
    </w:p>
    <w:p w:rsidR="00FA15D4" w:rsidRDefault="00FA15D4" w:rsidP="002E6B3D">
      <w:pPr>
        <w:pStyle w:val="Department"/>
        <w:spacing w:before="1320"/>
        <w:rPr>
          <w:smallCaps/>
        </w:rPr>
      </w:pPr>
    </w:p>
    <w:p w:rsidR="00FA15D4" w:rsidRPr="006B64F3" w:rsidRDefault="00FA15D4" w:rsidP="00FA15D4">
      <w:pPr>
        <w:pStyle w:val="PartHeading"/>
        <w:keepLines/>
        <w:spacing w:before="240" w:after="240"/>
        <w:rPr>
          <w:kern w:val="0"/>
          <w:szCs w:val="20"/>
        </w:rPr>
      </w:pPr>
    </w:p>
    <w:p w:rsidR="00FA15D4" w:rsidRPr="006B64F3" w:rsidRDefault="00BA7A7F" w:rsidP="00FA15D4">
      <w:pPr>
        <w:pStyle w:val="PartHeading"/>
        <w:keepLines/>
        <w:spacing w:before="240" w:after="240"/>
        <w:rPr>
          <w:bCs w:val="0"/>
          <w:kern w:val="0"/>
          <w:szCs w:val="20"/>
        </w:rPr>
      </w:pPr>
      <w:r w:rsidRPr="006B64F3">
        <w:rPr>
          <w:rFonts w:ascii="Arial" w:hAnsi="Arial"/>
          <w:bCs w:val="0"/>
          <w:kern w:val="0"/>
          <w:szCs w:val="20"/>
        </w:rPr>
        <w:t>Commonwealth Scientific and Industrial Research Organisation</w:t>
      </w:r>
    </w:p>
    <w:p w:rsidR="00FA15D4" w:rsidRPr="006B64F3" w:rsidRDefault="00FA15D4" w:rsidP="00FA15D4">
      <w:pPr>
        <w:pStyle w:val="PartHeading"/>
        <w:keepLines/>
        <w:spacing w:before="240" w:after="240"/>
        <w:rPr>
          <w:bCs w:val="0"/>
          <w:kern w:val="0"/>
          <w:sz w:val="48"/>
          <w:szCs w:val="48"/>
        </w:rPr>
      </w:pPr>
    </w:p>
    <w:p w:rsidR="00FA15D4" w:rsidRPr="006B64F3" w:rsidRDefault="00FA15D4" w:rsidP="00FA15D4">
      <w:pPr>
        <w:pStyle w:val="PartHeading"/>
        <w:keepLines/>
        <w:spacing w:before="240" w:after="240"/>
        <w:rPr>
          <w:kern w:val="0"/>
          <w:sz w:val="48"/>
          <w:szCs w:val="48"/>
        </w:rPr>
      </w:pPr>
    </w:p>
    <w:p w:rsidR="00FA15D4" w:rsidRPr="006B64F3" w:rsidRDefault="00BA7A7F" w:rsidP="00FA15D4">
      <w:pPr>
        <w:pStyle w:val="PartHeading-TOC"/>
        <w:rPr>
          <w:smallCaps w:val="0"/>
        </w:rPr>
      </w:pPr>
      <w:bookmarkStart w:id="1118" w:name="_Toc508032982_6"/>
      <w:r w:rsidRPr="006B64F3">
        <w:rPr>
          <w:bCs w:val="0"/>
          <w:smallCaps w:val="0"/>
        </w:rPr>
        <w:t>Entity resources and planned performance</w:t>
      </w:r>
      <w:bookmarkEnd w:id="1118"/>
    </w:p>
    <w:p w:rsidR="00253274" w:rsidRDefault="00253274">
      <w:pPr>
        <w:keepLines w:val="0"/>
        <w:spacing w:after="160" w:line="259" w:lineRule="auto"/>
        <w:jc w:val="left"/>
        <w:rPr>
          <w:rFonts w:ascii="Calibri" w:eastAsia="Calibri" w:hAnsi="Calibri"/>
          <w:sz w:val="22"/>
          <w:szCs w:val="22"/>
          <w:lang w:val="en-US" w:eastAsia="en-US"/>
        </w:rPr>
      </w:pPr>
    </w:p>
    <w:p w:rsidR="007E6680" w:rsidRDefault="007E6680">
      <w:pPr>
        <w:keepLines w:val="0"/>
        <w:spacing w:after="160" w:line="259" w:lineRule="auto"/>
        <w:jc w:val="left"/>
        <w:rPr>
          <w:rFonts w:ascii="Calibri" w:eastAsia="Calibri" w:hAnsi="Calibri"/>
          <w:sz w:val="22"/>
          <w:szCs w:val="22"/>
          <w:lang w:val="en-US" w:eastAsia="en-US"/>
        </w:rPr>
      </w:pPr>
      <w:bookmarkStart w:id="1119" w:name="RG_MARKER_12360"/>
      <w:bookmarkEnd w:id="1119"/>
    </w:p>
    <w:p w:rsidR="00D86095" w:rsidRDefault="00BA7A7F">
      <w:pPr>
        <w:pageBreakBefore/>
      </w:pPr>
      <w:bookmarkStart w:id="1120" w:name="RG_MARKER_11964"/>
      <w:r>
        <w:t xml:space="preserve">      </w:t>
      </w:r>
      <w:bookmarkEnd w:id="1120"/>
    </w:p>
    <w:p w:rsidR="004D0F5B" w:rsidRPr="000F407B" w:rsidRDefault="00BA7A7F" w:rsidP="009420CE">
      <w:pPr>
        <w:pStyle w:val="ContentsHeading"/>
        <w:pageBreakBefore/>
        <w:spacing w:after="600"/>
        <w:rPr>
          <w:smallCaps w:val="0"/>
        </w:rPr>
      </w:pPr>
      <w:bookmarkStart w:id="1121" w:name="RG_MARKER_11894"/>
      <w:bookmarkStart w:id="1122" w:name="RG_MARKER_12078"/>
      <w:r w:rsidRPr="000F407B">
        <w:rPr>
          <w:smallCaps w:val="0"/>
        </w:rPr>
        <w:t>Commonwealth Scientific and Industrial Research Organisation</w:t>
      </w:r>
      <w:bookmarkEnd w:id="1121"/>
      <w:bookmarkEnd w:id="1122"/>
    </w:p>
    <w:p w:rsidR="004D0F5B" w:rsidRPr="00846FBC" w:rsidRDefault="00BA7A7F" w:rsidP="00846FBC">
      <w:pPr>
        <w:pStyle w:val="TOC1"/>
      </w:pPr>
      <w:r w:rsidRPr="00846FBC">
        <w:t>Section 1: Entity overview and resources</w:t>
      </w:r>
      <w:r w:rsidRPr="00846FBC">
        <w:tab/>
        <w:t>239</w:t>
      </w:r>
    </w:p>
    <w:p w:rsidR="004D0F5B" w:rsidRDefault="00BA7A7F" w:rsidP="004D0F5B">
      <w:pPr>
        <w:pStyle w:val="TOC2"/>
      </w:pPr>
      <w:r>
        <w:t>1.1 Strategic direction statement</w:t>
      </w:r>
      <w:r>
        <w:tab/>
      </w:r>
      <w:r w:rsidRPr="00B75654">
        <w:t>239</w:t>
      </w:r>
    </w:p>
    <w:p w:rsidR="004D0F5B" w:rsidRDefault="00BA7A7F" w:rsidP="004D0F5B">
      <w:pPr>
        <w:pStyle w:val="TOC2"/>
      </w:pPr>
      <w:r>
        <w:t>1.2 Entity resource statement</w:t>
      </w:r>
      <w:r>
        <w:tab/>
      </w:r>
      <w:r w:rsidRPr="00B75654">
        <w:t>241</w:t>
      </w:r>
    </w:p>
    <w:p w:rsidR="00371743" w:rsidRDefault="00BA7A7F" w:rsidP="00371743">
      <w:pPr>
        <w:pStyle w:val="TOC2"/>
      </w:pPr>
      <w:r>
        <w:t>1.3 Budget measures</w:t>
      </w:r>
      <w:r>
        <w:tab/>
        <w:t>243</w:t>
      </w:r>
    </w:p>
    <w:p w:rsidR="004D0F5B" w:rsidRDefault="00BA7A7F" w:rsidP="00846FBC">
      <w:pPr>
        <w:pStyle w:val="TOC1"/>
      </w:pPr>
      <w:r>
        <w:t>S</w:t>
      </w:r>
      <w:r w:rsidRPr="002645FE">
        <w:t xml:space="preserve">ection 2: </w:t>
      </w:r>
      <w:r>
        <w:t>O</w:t>
      </w:r>
      <w:r w:rsidRPr="002645FE">
        <w:t xml:space="preserve">utcomes and </w:t>
      </w:r>
      <w:r>
        <w:t>p</w:t>
      </w:r>
      <w:r w:rsidRPr="002645FE">
        <w:t xml:space="preserve">lanned </w:t>
      </w:r>
      <w:r>
        <w:t>p</w:t>
      </w:r>
      <w:r w:rsidRPr="002645FE">
        <w:t>erformance</w:t>
      </w:r>
      <w:r>
        <w:tab/>
        <w:t>244</w:t>
      </w:r>
    </w:p>
    <w:p w:rsidR="004D0F5B" w:rsidRDefault="00BA7A7F" w:rsidP="004D0F5B">
      <w:pPr>
        <w:pStyle w:val="TOC2"/>
      </w:pPr>
      <w:r>
        <w:t>2.1 Budgeted expenses and performance for Outcome 1</w:t>
      </w:r>
      <w:r>
        <w:tab/>
        <w:t>245</w:t>
      </w:r>
    </w:p>
    <w:p w:rsidR="004D0F5B" w:rsidRDefault="00BA7A7F" w:rsidP="00846FBC">
      <w:pPr>
        <w:pStyle w:val="TOC1"/>
      </w:pPr>
      <w:r>
        <w:t>S</w:t>
      </w:r>
      <w:r w:rsidRPr="002645FE">
        <w:t xml:space="preserve">ection 3: </w:t>
      </w:r>
      <w:r>
        <w:t>B</w:t>
      </w:r>
      <w:r w:rsidRPr="002645FE">
        <w:t xml:space="preserve">udgeted </w:t>
      </w:r>
      <w:r>
        <w:t>f</w:t>
      </w:r>
      <w:r w:rsidRPr="002645FE">
        <w:t xml:space="preserve">inancial </w:t>
      </w:r>
      <w:r>
        <w:t>s</w:t>
      </w:r>
      <w:r w:rsidRPr="002645FE">
        <w:t>tatements</w:t>
      </w:r>
      <w:r>
        <w:tab/>
      </w:r>
      <w:r w:rsidRPr="004F6A3E">
        <w:t>251</w:t>
      </w:r>
    </w:p>
    <w:p w:rsidR="00D86095" w:rsidRDefault="00BA7A7F" w:rsidP="005F2963">
      <w:pPr>
        <w:pStyle w:val="TOC2"/>
      </w:pPr>
      <w:r>
        <w:t>3.1 Budgeted financial statements</w:t>
      </w:r>
      <w:r>
        <w:tab/>
      </w:r>
      <w:r w:rsidRPr="004F6A3E">
        <w:t>251</w:t>
      </w:r>
    </w:p>
    <w:p w:rsidR="00D86095" w:rsidRDefault="00BA7A7F">
      <w:pPr>
        <w:pageBreakBefore/>
        <w:sectPr w:rsidR="00D86095" w:rsidSect="00FA15D4">
          <w:headerReference w:type="even" r:id="rId276"/>
          <w:headerReference w:type="default" r:id="rId277"/>
          <w:footerReference w:type="even" r:id="rId278"/>
          <w:footerReference w:type="default" r:id="rId279"/>
          <w:headerReference w:type="first" r:id="rId280"/>
          <w:footerReference w:type="first" r:id="rId281"/>
          <w:type w:val="continuous"/>
          <w:pgSz w:w="11906" w:h="16838"/>
          <w:pgMar w:top="2466" w:right="2098" w:bottom="2466" w:left="2098" w:header="1899" w:footer="1899" w:gutter="0"/>
          <w:pgBorders>
            <w:top w:val="nil"/>
            <w:left w:val="nil"/>
            <w:bottom w:val="nil"/>
            <w:right w:val="nil"/>
          </w:pgBorders>
          <w:cols w:space="720"/>
          <w:docGrid w:linePitch="360"/>
        </w:sectPr>
      </w:pPr>
      <w:bookmarkStart w:id="1123" w:name="RG_MARKER_11896"/>
      <w:bookmarkStart w:id="1124" w:name="RG_MARKER_12002"/>
      <w:r>
        <w:t xml:space="preserve">     </w:t>
      </w:r>
      <w:bookmarkEnd w:id="1123"/>
      <w:bookmarkEnd w:id="1124"/>
    </w:p>
    <w:p w:rsidR="00A85152" w:rsidRPr="00B15781" w:rsidRDefault="00BA7A7F" w:rsidP="00A85152">
      <w:pPr>
        <w:pStyle w:val="Heading1"/>
        <w:pageBreakBefore/>
        <w:rPr>
          <w:smallCaps w:val="0"/>
        </w:rPr>
      </w:pPr>
      <w:bookmarkStart w:id="1125" w:name="RG_MARKER_11899"/>
      <w:bookmarkStart w:id="1126" w:name="RG_MARKER_11951"/>
      <w:bookmarkStart w:id="1127" w:name="RG_MARKER_12093"/>
      <w:r w:rsidRPr="00B15781">
        <w:rPr>
          <w:smallCaps w:val="0"/>
        </w:rPr>
        <w:t>Commonwealth Scientific and Industrial Research Organisation</w:t>
      </w:r>
      <w:bookmarkEnd w:id="1125"/>
      <w:bookmarkEnd w:id="1126"/>
      <w:bookmarkEnd w:id="1127"/>
    </w:p>
    <w:p w:rsidR="00A85152" w:rsidRPr="00B15781" w:rsidRDefault="00BA7A7F" w:rsidP="00B15781">
      <w:pPr>
        <w:pStyle w:val="Heading2"/>
        <w:spacing w:after="120"/>
        <w:rPr>
          <w:b/>
          <w:sz w:val="26"/>
          <w:szCs w:val="26"/>
        </w:rPr>
      </w:pPr>
      <w:r w:rsidRPr="00B15781">
        <w:rPr>
          <w:b/>
          <w:sz w:val="26"/>
          <w:szCs w:val="26"/>
        </w:rPr>
        <w:t>Section 1</w:t>
      </w:r>
      <w:bookmarkStart w:id="1128" w:name="_Toc449255758_6"/>
      <w:bookmarkStart w:id="1129" w:name="_Toc446237031_6"/>
      <w:r w:rsidRPr="00B15781">
        <w:rPr>
          <w:b/>
          <w:sz w:val="26"/>
          <w:szCs w:val="26"/>
        </w:rPr>
        <w:t>: Entity overview and resources</w:t>
      </w:r>
      <w:bookmarkEnd w:id="1128"/>
      <w:bookmarkEnd w:id="1129"/>
    </w:p>
    <w:p w:rsidR="00A85152" w:rsidRPr="00B15781" w:rsidRDefault="00BA7A7F" w:rsidP="00B15781">
      <w:pPr>
        <w:pStyle w:val="Heading3"/>
        <w:spacing w:before="360" w:after="120"/>
        <w:rPr>
          <w:smallCaps w:val="0"/>
          <w:sz w:val="22"/>
          <w:szCs w:val="22"/>
        </w:rPr>
      </w:pPr>
      <w:bookmarkStart w:id="1130" w:name="_Toc210698428_5"/>
      <w:bookmarkStart w:id="1131" w:name="_Toc210646449_5"/>
      <w:bookmarkStart w:id="1132" w:name="_Toc210703209_5"/>
      <w:r w:rsidRPr="00B15781">
        <w:rPr>
          <w:smallCaps w:val="0"/>
          <w:sz w:val="22"/>
          <w:szCs w:val="22"/>
        </w:rPr>
        <w:t>1.1</w:t>
      </w:r>
      <w:r w:rsidRPr="00B15781">
        <w:rPr>
          <w:smallCaps w:val="0"/>
          <w:sz w:val="22"/>
          <w:szCs w:val="22"/>
        </w:rPr>
        <w:tab/>
        <w:t>Strategic direction</w:t>
      </w:r>
      <w:bookmarkEnd w:id="1130"/>
      <w:bookmarkEnd w:id="1131"/>
      <w:bookmarkEnd w:id="1132"/>
      <w:r w:rsidRPr="00B15781">
        <w:rPr>
          <w:smallCaps w:val="0"/>
          <w:sz w:val="22"/>
          <w:szCs w:val="22"/>
        </w:rPr>
        <w:t xml:space="preserve"> statement</w:t>
      </w:r>
    </w:p>
    <w:p w:rsidR="009836F1" w:rsidRPr="00AA44E2" w:rsidRDefault="00BA7A7F" w:rsidP="001B3185">
      <w:pPr>
        <w:autoSpaceDE w:val="0"/>
        <w:autoSpaceDN w:val="0"/>
        <w:adjustRightInd w:val="0"/>
      </w:pPr>
      <w:r w:rsidRPr="00AA44E2">
        <w:t xml:space="preserve">The Commonwealth Scientific and Industrial Research Organisation (CSIRO) is a </w:t>
      </w:r>
      <w:r>
        <w:t>co</w:t>
      </w:r>
      <w:r w:rsidRPr="00AA44E2">
        <w:t xml:space="preserve">rporate Commonwealth entity within the Industry, Science, Energy and Resources Portfolio. The organisation’s primary functions are set out in the </w:t>
      </w:r>
      <w:r w:rsidRPr="00AA44E2">
        <w:rPr>
          <w:i/>
        </w:rPr>
        <w:t>Science and Industry Research Act 1949</w:t>
      </w:r>
      <w:r w:rsidRPr="00AA44E2">
        <w:t>.</w:t>
      </w:r>
    </w:p>
    <w:p w:rsidR="009836F1" w:rsidRPr="00AA44E2" w:rsidRDefault="00BA7A7F" w:rsidP="001B3185">
      <w:pPr>
        <w:autoSpaceDE w:val="0"/>
        <w:autoSpaceDN w:val="0"/>
        <w:adjustRightInd w:val="0"/>
      </w:pPr>
      <w:r w:rsidRPr="00AA44E2">
        <w:t>Consistent with its legislation, CSIRO aims to deliver scientific and innovative solutions for Australian industry, society and the environment to contribute to national benefit, knowledge and capabilities.</w:t>
      </w:r>
    </w:p>
    <w:p w:rsidR="009836F1" w:rsidRPr="00AA44E2" w:rsidRDefault="00BA7A7F" w:rsidP="001B3185">
      <w:pPr>
        <w:autoSpaceDE w:val="0"/>
        <w:autoSpaceDN w:val="0"/>
        <w:adjustRightInd w:val="0"/>
      </w:pPr>
      <w:r w:rsidRPr="00AA44E2">
        <w:t>In pursuing this outcome, CSIRO embraces its distinct role as the national science agency. This includes delivering large-scale, mission directed, multi-disciplinary science and technology solutions, while also managing essential national research infrastructure and providing trusted advice to government and industry on challenges of national significance.</w:t>
      </w:r>
    </w:p>
    <w:p w:rsidR="009836F1" w:rsidRPr="00AA44E2" w:rsidRDefault="00BA7A7F" w:rsidP="001B3185">
      <w:pPr>
        <w:autoSpaceDE w:val="0"/>
        <w:autoSpaceDN w:val="0"/>
        <w:adjustRightInd w:val="0"/>
      </w:pPr>
      <w:r w:rsidRPr="00AA44E2">
        <w:t>CSIRO’s research programs and commercial services are key mechanisms for delivering excellent science and achieving outcomes aligned with the Australian Government’s national science and technology priorities. CSIRO does this by working with government, industry</w:t>
      </w:r>
      <w:r>
        <w:t>, universities</w:t>
      </w:r>
      <w:r w:rsidRPr="00AA44E2">
        <w:t xml:space="preserve"> and others in the innovation system, to support existing industries </w:t>
      </w:r>
      <w:r>
        <w:t xml:space="preserve">to </w:t>
      </w:r>
      <w:r w:rsidRPr="00AA44E2">
        <w:t>grow and to create new ones.</w:t>
      </w:r>
    </w:p>
    <w:p w:rsidR="009836F1" w:rsidRPr="00AA44E2" w:rsidRDefault="00BA7A7F" w:rsidP="001B3185">
      <w:pPr>
        <w:autoSpaceDE w:val="0"/>
        <w:autoSpaceDN w:val="0"/>
        <w:adjustRightInd w:val="0"/>
      </w:pPr>
      <w:r w:rsidRPr="00AA44E2">
        <w:t>The capacity to deliver impact is underpinned by investing in and connecting to capabilities that build strength in areas of national need, ensuring that Australia has the knowledge, skills and infrastructure required to respond to national and international challenges.</w:t>
      </w:r>
    </w:p>
    <w:p w:rsidR="009836F1" w:rsidRPr="00AA44E2" w:rsidRDefault="00BA7A7F" w:rsidP="001B3185">
      <w:pPr>
        <w:autoSpaceDE w:val="0"/>
        <w:autoSpaceDN w:val="0"/>
        <w:adjustRightInd w:val="0"/>
      </w:pPr>
      <w:r>
        <w:t>Fundamental to CSIRO’s impact are the following</w:t>
      </w:r>
      <w:r w:rsidRPr="00AA44E2">
        <w:t>:</w:t>
      </w:r>
    </w:p>
    <w:p w:rsidR="00364B6A" w:rsidRPr="0064585F" w:rsidRDefault="00BA7A7F" w:rsidP="003B6535">
      <w:pPr>
        <w:pStyle w:val="ListParagraph"/>
        <w:keepLines/>
        <w:numPr>
          <w:ilvl w:val="0"/>
          <w:numId w:val="104"/>
        </w:numPr>
        <w:autoSpaceDE w:val="0"/>
        <w:autoSpaceDN w:val="0"/>
        <w:adjustRightInd w:val="0"/>
        <w:ind w:left="284" w:hanging="284"/>
        <w:contextualSpacing w:val="0"/>
        <w:rPr>
          <w:rFonts w:eastAsia="Times New Roman" w:cs="Times New Roman"/>
          <w:i/>
          <w:sz w:val="20"/>
          <w:szCs w:val="20"/>
          <w:bdr w:val="none" w:sz="0" w:space="0" w:color="auto" w:frame="1"/>
          <w:lang w:val="en-AU"/>
        </w:rPr>
      </w:pPr>
      <w:r>
        <w:rPr>
          <w:rFonts w:eastAsia="Times New Roman" w:cs="Times New Roman"/>
          <w:sz w:val="20"/>
          <w:szCs w:val="20"/>
          <w:bdr w:val="none" w:sz="0" w:space="0" w:color="auto" w:frame="1"/>
          <w:lang w:val="en-AU"/>
        </w:rPr>
        <w:t>Through leading science and technology, collaborative relationships and differentiated capability we encourage the translation of Australia’s world-class scientific research in order to deliver impactful solutions at scale.</w:t>
      </w:r>
    </w:p>
    <w:p w:rsidR="00364B6A" w:rsidRDefault="00BA7A7F" w:rsidP="003B6535">
      <w:pPr>
        <w:pStyle w:val="ListParagraph"/>
        <w:keepLines/>
        <w:numPr>
          <w:ilvl w:val="0"/>
          <w:numId w:val="104"/>
        </w:numPr>
        <w:autoSpaceDE w:val="0"/>
        <w:autoSpaceDN w:val="0"/>
        <w:adjustRightInd w:val="0"/>
        <w:ind w:left="284" w:hanging="284"/>
        <w:contextualSpacing w:val="0"/>
        <w:rPr>
          <w:rFonts w:eastAsia="Times New Roman" w:cs="Times New Roman"/>
          <w:iCs/>
          <w:sz w:val="20"/>
          <w:szCs w:val="20"/>
          <w:bdr w:val="none" w:sz="0" w:space="0" w:color="auto" w:frame="1"/>
          <w:lang w:val="en-AU"/>
        </w:rPr>
      </w:pPr>
      <w:r>
        <w:rPr>
          <w:rFonts w:eastAsia="Times New Roman" w:cs="Times New Roman"/>
          <w:iCs/>
          <w:sz w:val="20"/>
          <w:szCs w:val="20"/>
          <w:bdr w:val="none" w:sz="0" w:space="0" w:color="auto" w:frame="1"/>
          <w:lang w:val="en-AU"/>
        </w:rPr>
        <w:t>Maximising use of national research facilities and collections by Australian and international researchers, as well as by encouraging industry access to relevant research facilities and maintaining collections of national importance.</w:t>
      </w:r>
    </w:p>
    <w:p w:rsidR="001F3113" w:rsidRPr="001F3113" w:rsidRDefault="001F3113" w:rsidP="001F3113">
      <w:pPr>
        <w:autoSpaceDE w:val="0"/>
        <w:autoSpaceDN w:val="0"/>
        <w:adjustRightInd w:val="0"/>
        <w:jc w:val="left"/>
        <w:rPr>
          <w:vanish/>
        </w:rPr>
        <w:sectPr w:rsidR="001F3113" w:rsidRPr="001F3113" w:rsidSect="00E007A4">
          <w:headerReference w:type="even" r:id="rId282"/>
          <w:headerReference w:type="default" r:id="rId283"/>
          <w:footerReference w:type="even" r:id="rId284"/>
          <w:footerReference w:type="default" r:id="rId285"/>
          <w:headerReference w:type="first" r:id="rId286"/>
          <w:footerReference w:type="first" r:id="rId287"/>
          <w:type w:val="continuous"/>
          <w:pgSz w:w="11906" w:h="16838"/>
          <w:pgMar w:top="2466" w:right="2098" w:bottom="2466" w:left="2098" w:header="1899" w:footer="1899" w:gutter="0"/>
          <w:pgBorders>
            <w:top w:val="nil"/>
            <w:left w:val="nil"/>
            <w:bottom w:val="nil"/>
            <w:right w:val="nil"/>
          </w:pgBorders>
          <w:cols w:space="720"/>
          <w:docGrid w:linePitch="360"/>
        </w:sectPr>
      </w:pPr>
    </w:p>
    <w:p w:rsidR="00C96A17" w:rsidRDefault="00BA7A7F" w:rsidP="00B349CF">
      <w:pPr>
        <w:pStyle w:val="ListParagraph"/>
        <w:keepLines/>
        <w:pageBreakBefore/>
        <w:numPr>
          <w:ilvl w:val="0"/>
          <w:numId w:val="105"/>
        </w:numPr>
        <w:ind w:left="284" w:hanging="284"/>
        <w:contextualSpacing w:val="0"/>
        <w:rPr>
          <w:rFonts w:eastAsia="Times New Roman" w:cs="Times New Roman"/>
          <w:sz w:val="20"/>
          <w:szCs w:val="20"/>
          <w:bdr w:val="none" w:sz="0" w:space="0" w:color="auto" w:frame="1"/>
          <w:lang w:val="en-AU" w:eastAsia="x-none"/>
        </w:rPr>
      </w:pPr>
      <w:bookmarkStart w:id="1133" w:name="RG_MARKER_11958"/>
      <w:r>
        <w:rPr>
          <w:rFonts w:eastAsia="Times New Roman" w:cs="Times New Roman"/>
          <w:sz w:val="20"/>
          <w:szCs w:val="20"/>
          <w:bdr w:val="none" w:sz="0" w:space="0" w:color="auto" w:frame="1"/>
          <w:lang w:val="en-AU" w:eastAsia="x-none"/>
        </w:rPr>
        <w:t>Stimulating innovation for Australian industry, academia and government through investments that create new ventures and other outcomes by developing strategic R&amp;D partnerships, STEM capability and delivering excellent customer experiences.</w:t>
      </w:r>
      <w:bookmarkEnd w:id="1133"/>
    </w:p>
    <w:p w:rsidR="00C96A17" w:rsidRDefault="00BA7A7F" w:rsidP="00B349CF">
      <w:pPr>
        <w:pStyle w:val="ListParagraph"/>
        <w:keepLines/>
        <w:numPr>
          <w:ilvl w:val="0"/>
          <w:numId w:val="105"/>
        </w:numPr>
        <w:ind w:left="284" w:hanging="284"/>
        <w:contextualSpacing w:val="0"/>
        <w:rPr>
          <w:rFonts w:eastAsia="Times New Roman" w:cs="Times New Roman"/>
          <w:sz w:val="20"/>
          <w:szCs w:val="20"/>
          <w:bdr w:val="none" w:sz="0" w:space="0" w:color="auto" w:frame="1"/>
          <w:lang w:val="en-AU" w:eastAsia="x-none"/>
        </w:rPr>
      </w:pPr>
      <w:r>
        <w:rPr>
          <w:rFonts w:eastAsia="Times New Roman" w:cs="Times New Roman"/>
          <w:sz w:val="20"/>
          <w:szCs w:val="20"/>
          <w:bdr w:val="none" w:sz="0" w:space="0" w:color="auto" w:frame="1"/>
          <w:lang w:val="en-AU" w:eastAsia="x-none"/>
        </w:rPr>
        <w:t>Establishing stronger connections with top global research and technology peers.</w:t>
      </w:r>
    </w:p>
    <w:p w:rsidR="00C96A17" w:rsidRDefault="00BA7A7F" w:rsidP="00B349CF">
      <w:pPr>
        <w:pStyle w:val="ListParagraph"/>
        <w:keepLines/>
        <w:numPr>
          <w:ilvl w:val="0"/>
          <w:numId w:val="105"/>
        </w:numPr>
        <w:ind w:left="284" w:hanging="284"/>
        <w:contextualSpacing w:val="0"/>
        <w:rPr>
          <w:rFonts w:eastAsia="Times New Roman" w:cs="Times New Roman"/>
          <w:sz w:val="20"/>
          <w:szCs w:val="20"/>
          <w:bdr w:val="none" w:sz="0" w:space="0" w:color="auto" w:frame="1"/>
          <w:lang w:val="en-AU" w:eastAsia="x-none"/>
        </w:rPr>
      </w:pPr>
      <w:r>
        <w:rPr>
          <w:rFonts w:eastAsia="Times New Roman" w:cs="Times New Roman"/>
          <w:sz w:val="20"/>
          <w:szCs w:val="20"/>
          <w:bdr w:val="none" w:sz="0" w:space="0" w:color="auto" w:frame="1"/>
          <w:lang w:val="en-AU" w:eastAsia="x-none"/>
        </w:rPr>
        <w:t xml:space="preserve">Providing the Australian Government with independent </w:t>
      </w:r>
      <w:bookmarkStart w:id="1134" w:name="_Hlk95289554"/>
      <w:r>
        <w:rPr>
          <w:rFonts w:eastAsia="Times New Roman" w:cs="Times New Roman"/>
          <w:sz w:val="20"/>
          <w:szCs w:val="20"/>
          <w:bdr w:val="none" w:sz="0" w:space="0" w:color="auto" w:frame="1"/>
          <w:lang w:val="en-AU" w:eastAsia="x-none"/>
        </w:rPr>
        <w:t>scientific and technical advice as required, and informing the policy making process to assist the Government in deciding how to best meet the challenges Australia faces.</w:t>
      </w:r>
      <w:bookmarkEnd w:id="1134"/>
    </w:p>
    <w:p w:rsidR="00C96A17" w:rsidRDefault="00BA7A7F" w:rsidP="00B349CF">
      <w:pPr>
        <w:pStyle w:val="ListParagraph"/>
        <w:keepLines/>
        <w:numPr>
          <w:ilvl w:val="0"/>
          <w:numId w:val="105"/>
        </w:numPr>
        <w:ind w:left="284" w:hanging="284"/>
        <w:contextualSpacing w:val="0"/>
        <w:rPr>
          <w:rFonts w:eastAsia="Times New Roman" w:cs="Times New Roman"/>
          <w:sz w:val="20"/>
          <w:szCs w:val="20"/>
          <w:bdr w:val="none" w:sz="0" w:space="0" w:color="auto" w:frame="1"/>
          <w:lang w:val="en-AU" w:eastAsia="x-none"/>
        </w:rPr>
      </w:pPr>
      <w:r>
        <w:rPr>
          <w:rFonts w:eastAsia="Times New Roman" w:cs="Times New Roman"/>
          <w:sz w:val="20"/>
          <w:szCs w:val="20"/>
          <w:bdr w:val="none" w:sz="0" w:space="0" w:color="auto" w:frame="1"/>
          <w:lang w:val="en-AU" w:eastAsia="x-none"/>
        </w:rPr>
        <w:t>Delivering the CSIRO Innovation Fund to commercialise breakthroughs from CSIRO, universities and publicly funded research for the national interest, by investing in start-up and spin-off companies, existing small and medium enterprises engaged in translation of research, and company formation opportunities.</w:t>
      </w:r>
    </w:p>
    <w:p w:rsidR="00C96A17" w:rsidRDefault="00BA7A7F" w:rsidP="00B349CF">
      <w:pPr>
        <w:pStyle w:val="ListParagraph"/>
        <w:keepLines/>
        <w:numPr>
          <w:ilvl w:val="0"/>
          <w:numId w:val="105"/>
        </w:numPr>
        <w:ind w:left="284" w:hanging="284"/>
        <w:contextualSpacing w:val="0"/>
        <w:rPr>
          <w:rFonts w:eastAsia="Times New Roman" w:cs="Times New Roman"/>
          <w:sz w:val="20"/>
          <w:szCs w:val="20"/>
          <w:bdr w:val="none" w:sz="0" w:space="0" w:color="auto" w:frame="1"/>
          <w:lang w:val="en-AU" w:eastAsia="x-none"/>
        </w:rPr>
      </w:pPr>
      <w:r>
        <w:rPr>
          <w:rFonts w:eastAsia="Times New Roman" w:cs="Times New Roman"/>
          <w:sz w:val="20"/>
          <w:szCs w:val="20"/>
          <w:bdr w:val="none" w:sz="0" w:space="0" w:color="auto" w:frame="1"/>
          <w:lang w:val="en-AU" w:eastAsia="x-none"/>
        </w:rPr>
        <w:t>Maintaining science excellence in CSIRO research to deliver future impact.</w:t>
      </w:r>
    </w:p>
    <w:p w:rsidR="00C96A17" w:rsidRDefault="00BA7A7F" w:rsidP="00B349CF">
      <w:pPr>
        <w:pStyle w:val="ListParagraph"/>
        <w:keepLines/>
        <w:numPr>
          <w:ilvl w:val="0"/>
          <w:numId w:val="105"/>
        </w:numPr>
        <w:ind w:left="284" w:hanging="284"/>
        <w:contextualSpacing w:val="0"/>
        <w:rPr>
          <w:rFonts w:eastAsia="Times New Roman" w:cs="Times New Roman"/>
          <w:sz w:val="20"/>
          <w:szCs w:val="20"/>
          <w:bdr w:val="none" w:sz="0" w:space="0" w:color="auto" w:frame="1"/>
          <w:lang w:val="en-AU" w:eastAsia="x-none"/>
        </w:rPr>
      </w:pPr>
      <w:r>
        <w:rPr>
          <w:rFonts w:eastAsia="Times New Roman" w:cs="Times New Roman"/>
          <w:sz w:val="20"/>
          <w:szCs w:val="20"/>
          <w:bdr w:val="none" w:sz="0" w:space="0" w:color="auto" w:frame="1"/>
          <w:lang w:val="en-AU" w:eastAsia="x-none"/>
        </w:rPr>
        <w:t>Promoting careers in science, investing in research training, and improving STEM education, to encourage career opportunities and research endeavours to support school students and teachers to understand how STEM is applied in the real world.</w:t>
      </w:r>
    </w:p>
    <w:p w:rsidR="004C2526" w:rsidRPr="00F94CE6" w:rsidRDefault="00BA7A7F" w:rsidP="00F94CE6">
      <w:pPr>
        <w:pStyle w:val="Heading3"/>
        <w:pageBreakBefore/>
        <w:spacing w:before="360" w:after="120"/>
        <w:rPr>
          <w:smallCaps w:val="0"/>
          <w:sz w:val="22"/>
          <w:szCs w:val="22"/>
        </w:rPr>
      </w:pPr>
      <w:bookmarkStart w:id="1135" w:name="RG_MARKER_11954"/>
      <w:bookmarkStart w:id="1136" w:name="RG_MARKER_12235"/>
      <w:r w:rsidRPr="00F94CE6">
        <w:rPr>
          <w:smallCaps w:val="0"/>
          <w:sz w:val="22"/>
          <w:szCs w:val="22"/>
        </w:rPr>
        <w:t>1.2</w:t>
      </w:r>
      <w:bookmarkEnd w:id="1135"/>
      <w:bookmarkEnd w:id="1136"/>
      <w:r w:rsidRPr="00F94CE6">
        <w:rPr>
          <w:smallCaps w:val="0"/>
          <w:sz w:val="22"/>
          <w:szCs w:val="22"/>
        </w:rPr>
        <w:tab/>
        <w:t>Entity resource statement</w:t>
      </w:r>
    </w:p>
    <w:p w:rsidR="007C6078" w:rsidRPr="007C6078" w:rsidRDefault="00BA7A7F" w:rsidP="007C6078">
      <w:bookmarkStart w:id="1137" w:name="OLE_LINK12_5"/>
      <w:bookmarkStart w:id="1138" w:name="OLE_LINK11_5"/>
      <w:r w:rsidRPr="007C6078">
        <w:t>Table 1.1 shows the total funding from all sources available to the entity for its operations and to deliver programs and services on behalf of the Government.</w:t>
      </w:r>
    </w:p>
    <w:p w:rsidR="007C6078" w:rsidRDefault="00BA7A7F" w:rsidP="007C6078">
      <w:r w:rsidRPr="007C6078">
        <w:t>The table summarises how resources will be applied by outcome (government strategic policy objectives) and by administered (on behalf of the Government or the public) and departmental (for the entity’s operations) classification.</w:t>
      </w:r>
    </w:p>
    <w:p w:rsidR="00462A34" w:rsidRPr="00F94CE6" w:rsidRDefault="00BA7A7F" w:rsidP="00F94CE6">
      <w:r w:rsidRPr="007C6078">
        <w:t xml:space="preserve">Information in this table is presented on a resourcing (that is, appropriations/cash available) basis, whilst the ‘Budgeted expenses by Outcome </w:t>
      </w:r>
      <w:r w:rsidR="002C121F">
        <w:t>1</w:t>
      </w:r>
      <w:r w:rsidRPr="007C6078">
        <w:t>’ tables in Section 2 and the financial statements in Section 3 are presented on an accrual basis.</w:t>
      </w:r>
      <w:bookmarkEnd w:id="1137"/>
      <w:bookmarkEnd w:id="1138"/>
      <w:r>
        <w:br w:type="page"/>
      </w:r>
    </w:p>
    <w:p w:rsidR="004C2526" w:rsidRDefault="00BA7A7F" w:rsidP="00E54BB2">
      <w:pPr>
        <w:pStyle w:val="TableHeading"/>
        <w:keepLines/>
        <w:spacing w:before="60"/>
      </w:pPr>
      <w:r w:rsidRPr="004C2526">
        <w:t xml:space="preserve">Table 1.1: </w:t>
      </w:r>
      <w:r>
        <w:rPr>
          <w:snapToGrid w:val="0"/>
        </w:rPr>
        <w:t>CSIRO</w:t>
      </w:r>
      <w:r w:rsidRPr="004C2526">
        <w:t xml:space="preserve"> </w:t>
      </w:r>
      <w:r>
        <w:t>resource statement – B</w:t>
      </w:r>
      <w:r w:rsidRPr="00612A36">
        <w:t xml:space="preserve">udget estimates </w:t>
      </w:r>
      <w:r w:rsidRPr="004C2526">
        <w:t xml:space="preserve">for </w:t>
      </w:r>
      <w:r>
        <w:t>2022­23</w:t>
      </w:r>
      <w:r w:rsidRPr="004C2526">
        <w:t xml:space="preserve"> </w:t>
      </w:r>
      <w:r w:rsidRPr="00612A36">
        <w:t>as at Budget March</w:t>
      </w:r>
      <w:r w:rsidRPr="004C2526">
        <w:t xml:space="preserve"> </w:t>
      </w:r>
      <w:r>
        <w:t>2022</w:t>
      </w:r>
    </w:p>
    <w:tbl>
      <w:tblPr>
        <w:tblStyle w:val="CDMRange1"/>
        <w:tblW w:w="7710" w:type="dxa"/>
        <w:tblLayout w:type="fixed"/>
        <w:tblLook w:val="0600" w:firstRow="0" w:lastRow="0" w:firstColumn="0" w:lastColumn="0" w:noHBand="1" w:noVBand="1"/>
      </w:tblPr>
      <w:tblGrid>
        <w:gridCol w:w="5460"/>
        <w:gridCol w:w="1125"/>
        <w:gridCol w:w="1125"/>
      </w:tblGrid>
      <w:tr w:rsidR="00253274">
        <w:trPr>
          <w:trHeight w:val="900"/>
        </w:trPr>
        <w:tc>
          <w:tcPr>
            <w:tcW w:w="54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   Estimated actual</w:t>
            </w:r>
          </w:p>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 Estimate</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6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balance/cash reserves at 1 July </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496,423</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512,974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6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 (b)</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946,001</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991,289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6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other services (c) </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4,000</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49,700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6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 (d)</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950,001</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1,040,989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6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950,001</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1,040,989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6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2,017</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2,255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46,545</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44,635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goods and services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423,484</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449,888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6,801</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Proceeds from asset sales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44,350</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35,200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52,922</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65,718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576,119</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602,994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CSIRO</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2,022,543</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2,156,957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12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i/>
                <w:color w:val="000000"/>
                <w:sz w:val="16"/>
              </w:rPr>
            </w:pPr>
          </w:p>
        </w:tc>
        <w:tc>
          <w:tcPr>
            <w:tcW w:w="1125"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5,100</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5,448</w:t>
            </w:r>
          </w:p>
        </w:tc>
      </w:tr>
    </w:tbl>
    <w:p w:rsidR="0009628B" w:rsidRDefault="00BA7A7F" w:rsidP="006041AB">
      <w:pPr>
        <w:spacing w:before="40" w:after="0" w:line="240" w:lineRule="auto"/>
        <w:rPr>
          <w:rFonts w:ascii="Arial" w:eastAsia="Calibri" w:hAnsi="Arial" w:cs="Arial"/>
          <w:sz w:val="16"/>
          <w:bdr w:val="none" w:sz="0" w:space="0" w:color="auto" w:frame="1"/>
        </w:rPr>
      </w:pPr>
      <w:r w:rsidRPr="00B31D3F">
        <w:rPr>
          <w:rFonts w:ascii="Arial" w:eastAsia="Calibri" w:hAnsi="Arial" w:cs="Arial"/>
          <w:sz w:val="16"/>
          <w:bdr w:val="none" w:sz="0" w:space="0" w:color="auto" w:frame="1"/>
        </w:rPr>
        <w:t>All figures shown above are GST exclusive – these may not match figures in the cash flow statement.</w:t>
      </w:r>
      <w:r>
        <w:rPr>
          <w:rFonts w:ascii="Arial" w:eastAsia="Calibri" w:hAnsi="Arial" w:cs="Arial"/>
          <w:sz w:val="16"/>
          <w:bdr w:val="none" w:sz="0" w:space="0" w:color="auto" w:frame="1"/>
        </w:rPr>
        <w:t xml:space="preserve"> </w:t>
      </w:r>
      <w:r w:rsidRPr="0009628B">
        <w:rPr>
          <w:rFonts w:ascii="Arial" w:eastAsia="Calibri" w:hAnsi="Arial" w:cs="Arial"/>
          <w:sz w:val="16"/>
          <w:bdr w:val="none" w:sz="0" w:space="0" w:color="auto" w:frame="1"/>
        </w:rPr>
        <w:t>Prepared on a resourcing (i.e. appropriations available) basis.</w:t>
      </w:r>
    </w:p>
    <w:p w:rsidR="00E5527F" w:rsidRDefault="00BA7A7F" w:rsidP="00E04DA9">
      <w:pPr>
        <w:pStyle w:val="ChartandTableFootnote"/>
        <w:numPr>
          <w:ilvl w:val="0"/>
          <w:numId w:val="106"/>
        </w:numPr>
        <w:tabs>
          <w:tab w:val="clear" w:pos="284"/>
          <w:tab w:val="left" w:pos="426"/>
        </w:tabs>
        <w:rPr>
          <w:rFonts w:eastAsia="Times New Roman"/>
          <w:color w:val="auto"/>
          <w:szCs w:val="16"/>
          <w:lang w:val="en-AU" w:eastAsia="en-AU"/>
        </w:rPr>
      </w:pPr>
      <w:r>
        <w:rPr>
          <w:rFonts w:eastAsia="Times New Roman"/>
          <w:color w:val="auto"/>
          <w:szCs w:val="16"/>
          <w:lang w:val="en-AU" w:eastAsia="en-AU"/>
        </w:rPr>
        <w:t>Appropriation Bill (No. 1) 2022-23.</w:t>
      </w:r>
    </w:p>
    <w:p w:rsidR="00CD06CE" w:rsidRPr="00E04DA9" w:rsidRDefault="00BA7A7F" w:rsidP="00E04DA9">
      <w:pPr>
        <w:pStyle w:val="ListParagraph"/>
        <w:numPr>
          <w:ilvl w:val="0"/>
          <w:numId w:val="106"/>
        </w:numPr>
        <w:spacing w:after="0" w:line="240" w:lineRule="auto"/>
        <w:rPr>
          <w:rFonts w:eastAsia="Times New Roman" w:cs="Arial"/>
          <w:color w:val="000000"/>
          <w:sz w:val="16"/>
          <w:szCs w:val="16"/>
          <w:lang w:val="en-AU"/>
        </w:rPr>
      </w:pPr>
      <w:r w:rsidRPr="00E04DA9">
        <w:rPr>
          <w:rFonts w:ascii="Arial" w:eastAsia="Times New Roman" w:hAnsi="Arial" w:cs="Arial"/>
          <w:color w:val="000000"/>
          <w:sz w:val="16"/>
          <w:szCs w:val="16"/>
          <w:lang w:val="en-AU"/>
        </w:rPr>
        <w:t>$3.0 million will be received through Appropriation Bill (No.3) 2021-22. The annual appropriation received from this bill will be recognised in a future Portfolio Budget statement after the Bill has received Royal Assent.</w:t>
      </w:r>
    </w:p>
    <w:p w:rsidR="006041AB" w:rsidRPr="00E04DA9" w:rsidRDefault="00BA7A7F" w:rsidP="00E04DA9">
      <w:pPr>
        <w:pStyle w:val="ListParagraph"/>
        <w:numPr>
          <w:ilvl w:val="0"/>
          <w:numId w:val="106"/>
        </w:numPr>
        <w:spacing w:after="0" w:line="240" w:lineRule="auto"/>
        <w:jc w:val="left"/>
        <w:rPr>
          <w:rFonts w:eastAsia="Times New Roman" w:cs="Arial"/>
          <w:color w:val="000000"/>
          <w:sz w:val="16"/>
          <w:szCs w:val="16"/>
          <w:lang w:val="en-AU"/>
        </w:rPr>
      </w:pPr>
      <w:r w:rsidRPr="00E04DA9">
        <w:rPr>
          <w:rFonts w:ascii="Arial" w:eastAsia="Times New Roman" w:hAnsi="Arial" w:cs="Arial"/>
          <w:color w:val="000000"/>
          <w:sz w:val="16"/>
          <w:szCs w:val="16"/>
          <w:lang w:val="en-AU"/>
        </w:rPr>
        <w:t>Appropriation Bill (No. 2) 2022-23.</w:t>
      </w:r>
    </w:p>
    <w:p w:rsidR="00B31D3F" w:rsidRPr="00E04DA9" w:rsidRDefault="00BA7A7F" w:rsidP="00E04DA9">
      <w:pPr>
        <w:pStyle w:val="ListParagraph"/>
        <w:numPr>
          <w:ilvl w:val="0"/>
          <w:numId w:val="106"/>
        </w:numPr>
        <w:spacing w:after="0" w:line="240" w:lineRule="auto"/>
        <w:rPr>
          <w:rFonts w:eastAsia="Times New Roman" w:cs="Arial"/>
          <w:color w:val="000000"/>
          <w:sz w:val="16"/>
          <w:szCs w:val="16"/>
          <w:lang w:val="en-AU"/>
        </w:rPr>
      </w:pPr>
      <w:r w:rsidRPr="00E04DA9">
        <w:rPr>
          <w:rFonts w:ascii="Arial" w:eastAsia="Times New Roman" w:hAnsi="Arial" w:cs="Arial"/>
          <w:color w:val="000000"/>
          <w:sz w:val="16"/>
          <w:szCs w:val="16"/>
          <w:lang w:val="en-AU"/>
        </w:rPr>
        <w:t>CSIRO is not directly appropriated as it is a corporate Commonwealth entity. Appropriations are made to the Department of Industry, Science, Energy and Resources and are then paid to CSIRO and are considered departmental for all purposes.</w:t>
      </w:r>
    </w:p>
    <w:p w:rsidR="003E027B" w:rsidRPr="00383EF9" w:rsidRDefault="00BA7A7F" w:rsidP="00383EF9">
      <w:pPr>
        <w:pStyle w:val="Heading3"/>
        <w:pageBreakBefore/>
        <w:spacing w:before="0" w:after="120"/>
        <w:rPr>
          <w:smallCaps w:val="0"/>
          <w:sz w:val="22"/>
          <w:szCs w:val="22"/>
        </w:rPr>
      </w:pPr>
      <w:bookmarkStart w:id="1139" w:name="RG_MARKER_11955"/>
      <w:bookmarkStart w:id="1140" w:name="RG_MARKER_11970"/>
      <w:bookmarkStart w:id="1141" w:name="RG_MARKER_12197"/>
      <w:r w:rsidRPr="00383EF9">
        <w:rPr>
          <w:smallCaps w:val="0"/>
          <w:sz w:val="22"/>
          <w:szCs w:val="22"/>
        </w:rPr>
        <w:t>1.3</w:t>
      </w:r>
      <w:bookmarkEnd w:id="1139"/>
      <w:bookmarkEnd w:id="1140"/>
      <w:bookmarkEnd w:id="1141"/>
      <w:r w:rsidRPr="00383EF9">
        <w:rPr>
          <w:smallCaps w:val="0"/>
          <w:sz w:val="22"/>
          <w:szCs w:val="22"/>
        </w:rPr>
        <w:tab/>
        <w:t>Budget measures</w:t>
      </w:r>
    </w:p>
    <w:p w:rsidR="009D175B" w:rsidRDefault="00BA7A7F" w:rsidP="00C10853">
      <w:pPr>
        <w:rPr>
          <w:b/>
        </w:rPr>
      </w:pPr>
      <w:r w:rsidRPr="009D175B">
        <w:t xml:space="preserve">Budget measures </w:t>
      </w:r>
      <w:r>
        <w:t>in Part 1 relating to CSIRO</w:t>
      </w:r>
      <w:r w:rsidRPr="009D175B">
        <w:t xml:space="preserve"> are detailed in Budget Paper No. 2 and are summarised below.</w:t>
      </w:r>
    </w:p>
    <w:p w:rsidR="009D175B" w:rsidRDefault="00BA7A7F" w:rsidP="00383EF9">
      <w:pPr>
        <w:pStyle w:val="TableHeading"/>
        <w:keepLines/>
        <w:spacing w:before="0"/>
      </w:pPr>
      <w:r w:rsidRPr="003E027B">
        <w:t xml:space="preserve">Table 1.2: </w:t>
      </w:r>
      <w:r>
        <w:rPr>
          <w:snapToGrid w:val="0"/>
        </w:rPr>
        <w:t>CSIRO</w:t>
      </w:r>
      <w:r w:rsidRPr="003E027B">
        <w:t xml:space="preserve"> </w:t>
      </w:r>
      <w:r>
        <w:t>2022­23 budget measures</w:t>
      </w:r>
      <w:r>
        <w:br/>
      </w:r>
      <w:r w:rsidRPr="009D175B">
        <w:t xml:space="preserve">Part 1: </w:t>
      </w:r>
      <w:r w:rsidRPr="00D10458">
        <w:t xml:space="preserve">Measures announced after the </w:t>
      </w:r>
      <w:r>
        <w:t>2021­22 Mid-Year Economic and Fiscal Outlook (MYEFO)</w:t>
      </w:r>
    </w:p>
    <w:tbl>
      <w:tblPr>
        <w:tblStyle w:val="CDMRange1"/>
        <w:tblW w:w="7650" w:type="dxa"/>
        <w:tblLayout w:type="fixed"/>
        <w:tblLook w:val="0600" w:firstRow="0" w:lastRow="0" w:firstColumn="0" w:lastColumn="0" w:noHBand="1" w:noVBand="1"/>
      </w:tblPr>
      <w:tblGrid>
        <w:gridCol w:w="2850"/>
        <w:gridCol w:w="810"/>
        <w:gridCol w:w="750"/>
        <w:gridCol w:w="810"/>
        <w:gridCol w:w="810"/>
        <w:gridCol w:w="810"/>
        <w:gridCol w:w="810"/>
      </w:tblGrid>
      <w:tr w:rsidR="00253274">
        <w:trPr>
          <w:trHeight w:val="465"/>
        </w:trPr>
        <w:tc>
          <w:tcPr>
            <w:tcW w:w="28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75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5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85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Comprehensive Strategic Partnership with India - new initiatives (a)</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8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85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Critical Minerals Strategy - implementation </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2,628</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2,572</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3,401</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2,628</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2,572</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3,401</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85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Investing in Australia's University Research Commercialisation (b)</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9,255</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9,250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9,389</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9,520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9,255</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9,250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9,389</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9,520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85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Support for the Australian Space Industry (c)</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11,883</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11,822</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12,790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9,520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75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11,883</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11,822</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12,790</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9,520</w:t>
            </w:r>
          </w:p>
        </w:tc>
      </w:tr>
    </w:tbl>
    <w:p w:rsidR="008B3D0A" w:rsidRDefault="00BA7A7F" w:rsidP="00793190">
      <w:pPr>
        <w:pStyle w:val="Source"/>
      </w:pPr>
      <w:r w:rsidRPr="007061F8">
        <w:t>Prepared on a Government Financial Statistics (Underlying Cash) basis. Figures displayed as a negative (-)</w:t>
      </w:r>
      <w:r w:rsidRPr="008B3D0A">
        <w:t xml:space="preserve"> represent a decrease in funds and a positive (+) represent an increase in funds.</w:t>
      </w:r>
    </w:p>
    <w:p w:rsidR="00FB2164" w:rsidRPr="00FB2164" w:rsidRDefault="00BA7A7F" w:rsidP="00FB2164">
      <w:pPr>
        <w:pStyle w:val="ListParagraph"/>
        <w:keepLines/>
        <w:numPr>
          <w:ilvl w:val="0"/>
          <w:numId w:val="107"/>
        </w:numPr>
        <w:spacing w:after="0" w:line="240" w:lineRule="auto"/>
        <w:ind w:left="284" w:hanging="284"/>
        <w:jc w:val="left"/>
        <w:rPr>
          <w:rFonts w:eastAsia="Times New Roman" w:cs="Arial"/>
          <w:sz w:val="16"/>
          <w:lang w:val="en-AU"/>
        </w:rPr>
      </w:pPr>
      <w:r w:rsidRPr="00FB2164">
        <w:rPr>
          <w:rFonts w:ascii="Arial" w:eastAsia="Times New Roman" w:hAnsi="Arial" w:cs="Arial"/>
          <w:sz w:val="16"/>
          <w:lang w:val="en-AU"/>
        </w:rPr>
        <w:t>This measure was a decision taken but not yet announced in the 2021-22 MYEFO, with the following impact: 2021-22 $1.6 million; 2022-23 $7.4 million; 2023-24 $11.1 million; 2024-25 $16.5 million and 2025-26 $6.7 million.</w:t>
      </w:r>
    </w:p>
    <w:p w:rsidR="00691A33" w:rsidRPr="00FB2164" w:rsidRDefault="00BA7A7F" w:rsidP="00FB2164">
      <w:pPr>
        <w:pStyle w:val="Source"/>
        <w:numPr>
          <w:ilvl w:val="0"/>
          <w:numId w:val="107"/>
        </w:numPr>
        <w:ind w:left="284" w:hanging="284"/>
        <w:rPr>
          <w:rFonts w:cs="Arial"/>
        </w:rPr>
      </w:pPr>
      <w:r w:rsidRPr="00FB2164">
        <w:rPr>
          <w:rFonts w:cs="Arial"/>
        </w:rPr>
        <w:t>This measure was part of a decision taken but not yet announced in the 2021-22 MYEFO, with the following impact: 2021-22 $15.</w:t>
      </w:r>
      <w:r>
        <w:rPr>
          <w:rFonts w:cs="Arial"/>
        </w:rPr>
        <w:t>9</w:t>
      </w:r>
      <w:r w:rsidRPr="00FB2164">
        <w:rPr>
          <w:rFonts w:cs="Arial"/>
        </w:rPr>
        <w:t xml:space="preserve"> million; 2022-23 $32.</w:t>
      </w:r>
      <w:r>
        <w:rPr>
          <w:rFonts w:cs="Arial"/>
        </w:rPr>
        <w:t>8</w:t>
      </w:r>
      <w:r w:rsidRPr="00FB2164">
        <w:rPr>
          <w:rFonts w:cs="Arial"/>
        </w:rPr>
        <w:t xml:space="preserve"> million; 2023-24 $49.8 million; 2024-25 $52.3 million and 2025-26 $25.</w:t>
      </w:r>
      <w:r>
        <w:rPr>
          <w:rFonts w:cs="Arial"/>
        </w:rPr>
        <w:t>2</w:t>
      </w:r>
      <w:r w:rsidRPr="00FB2164">
        <w:rPr>
          <w:rFonts w:cs="Arial"/>
        </w:rPr>
        <w:t xml:space="preserve"> million. The lead entity for this measure is the Department of Education, Skills and Employment. </w:t>
      </w:r>
    </w:p>
    <w:p w:rsidR="00FB2164" w:rsidRPr="00FB2164" w:rsidRDefault="00BA7A7F" w:rsidP="00FB2164">
      <w:pPr>
        <w:pStyle w:val="ListParagraph"/>
        <w:keepLines/>
        <w:numPr>
          <w:ilvl w:val="0"/>
          <w:numId w:val="107"/>
        </w:numPr>
        <w:spacing w:after="0" w:line="240" w:lineRule="auto"/>
        <w:ind w:left="284" w:hanging="284"/>
        <w:jc w:val="left"/>
        <w:rPr>
          <w:rFonts w:eastAsia="Times New Roman" w:cs="Arial"/>
          <w:sz w:val="16"/>
          <w:lang w:val="en-AU"/>
        </w:rPr>
      </w:pPr>
      <w:r w:rsidRPr="00FB2164">
        <w:rPr>
          <w:rFonts w:ascii="Arial" w:eastAsia="Times New Roman" w:hAnsi="Arial" w:cs="Arial"/>
          <w:sz w:val="16"/>
          <w:lang w:val="en-AU"/>
        </w:rPr>
        <w:t xml:space="preserve">The payment for this measure is not for publication (nfp) due to commercial sensitivities. </w:t>
      </w:r>
    </w:p>
    <w:p w:rsidR="00FB2164" w:rsidRPr="00FB2164" w:rsidRDefault="00FB2164" w:rsidP="00FB2164">
      <w:pPr>
        <w:pStyle w:val="Source"/>
        <w:ind w:left="-360"/>
        <w:rPr>
          <w:rFonts w:cs="Arial"/>
          <w:vanish/>
        </w:rPr>
      </w:pPr>
    </w:p>
    <w:p w:rsidR="00FD26B4" w:rsidRPr="00AF50B7" w:rsidRDefault="00BA7A7F" w:rsidP="00AF50B7">
      <w:pPr>
        <w:pStyle w:val="Heading2"/>
        <w:pageBreakBefore/>
        <w:spacing w:after="120"/>
        <w:rPr>
          <w:b/>
          <w:sz w:val="26"/>
          <w:szCs w:val="26"/>
        </w:rPr>
      </w:pPr>
      <w:bookmarkStart w:id="1142" w:name="RG_MARKER_11901"/>
      <w:bookmarkStart w:id="1143" w:name="RG_MARKER_12231"/>
      <w:bookmarkStart w:id="1144" w:name="_Toc436624143_6"/>
      <w:bookmarkStart w:id="1145" w:name="_Toc436625444_6"/>
      <w:bookmarkStart w:id="1146" w:name="_Toc446237032_6"/>
      <w:bookmarkStart w:id="1147" w:name="_Toc449255764_6"/>
      <w:bookmarkStart w:id="1148" w:name="_Toc490972409_6"/>
      <w:bookmarkStart w:id="1149" w:name="_Toc491014629_6"/>
      <w:bookmarkStart w:id="1150" w:name="_Toc491014771_6"/>
      <w:bookmarkStart w:id="1151" w:name="_Toc491014951_6"/>
      <w:bookmarkStart w:id="1152" w:name="_Toc491015098_6"/>
      <w:bookmarkStart w:id="1153" w:name="_Toc491029242_6"/>
      <w:bookmarkStart w:id="1154" w:name="_Toc491030331_6"/>
      <w:bookmarkStart w:id="1155" w:name="_Toc491030790_6"/>
      <w:bookmarkStart w:id="1156" w:name="_Toc491031353_6"/>
      <w:bookmarkStart w:id="1157" w:name="_Toc491031940_6"/>
      <w:bookmarkStart w:id="1158" w:name="_Toc491032113_6"/>
      <w:bookmarkStart w:id="1159" w:name="_Toc491032221_6"/>
      <w:bookmarkStart w:id="1160" w:name="_Toc491032328_6"/>
      <w:bookmarkStart w:id="1161" w:name="_Toc491771720_6"/>
      <w:bookmarkStart w:id="1162" w:name="_Toc491773295_6"/>
      <w:bookmarkStart w:id="1163" w:name="_Toc23559353_6"/>
      <w:bookmarkStart w:id="1164" w:name="_Toc23559387_6"/>
      <w:bookmarkStart w:id="1165" w:name="_Toc23559674_6"/>
      <w:bookmarkStart w:id="1166" w:name="_Toc23560142_6"/>
      <w:bookmarkStart w:id="1167" w:name="_Toc23563436_6"/>
      <w:bookmarkStart w:id="1168" w:name="_Toc77998688_6"/>
      <w:bookmarkStart w:id="1169" w:name="_Toc79399717_6"/>
      <w:bookmarkStart w:id="1170" w:name="_Toc112211966_6"/>
      <w:bookmarkStart w:id="1171" w:name="_Toc112212060_6"/>
      <w:bookmarkStart w:id="1172" w:name="_Toc112137878_6"/>
      <w:bookmarkStart w:id="1173" w:name="_Toc112137900_6"/>
      <w:bookmarkStart w:id="1174" w:name="_Toc210646453_6"/>
      <w:bookmarkStart w:id="1175" w:name="_Toc210698432_6"/>
      <w:bookmarkStart w:id="1176" w:name="_Toc210703214_6"/>
      <w:r w:rsidRPr="00AF50B7">
        <w:rPr>
          <w:b/>
          <w:sz w:val="26"/>
          <w:szCs w:val="26"/>
        </w:rPr>
        <w:t>Section 2</w:t>
      </w:r>
      <w:bookmarkEnd w:id="1142"/>
      <w:bookmarkEnd w:id="1143"/>
      <w:bookmarkEnd w:id="1144"/>
      <w:bookmarkEnd w:id="1145"/>
      <w:bookmarkEnd w:id="1146"/>
      <w:bookmarkEnd w:id="1147"/>
      <w:r w:rsidRPr="00AF50B7">
        <w:rPr>
          <w:b/>
          <w:sz w:val="26"/>
          <w:szCs w:val="26"/>
        </w:rPr>
        <w:t xml:space="preserve">: </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r w:rsidRPr="00AF50B7">
        <w:rPr>
          <w:b/>
          <w:sz w:val="26"/>
          <w:szCs w:val="26"/>
        </w:rPr>
        <w:t>Outcomes and planned performanc</w:t>
      </w:r>
      <w:bookmarkEnd w:id="1175"/>
      <w:bookmarkEnd w:id="1176"/>
      <w:r w:rsidRPr="00AF50B7">
        <w:rPr>
          <w:b/>
          <w:sz w:val="26"/>
          <w:szCs w:val="26"/>
        </w:rPr>
        <w:t>e</w:t>
      </w:r>
      <w:bookmarkStart w:id="1177" w:name="_Toc436624145_13"/>
      <w:bookmarkStart w:id="1178" w:name="_Toc436625446_13"/>
      <w:bookmarkStart w:id="1179" w:name="_Toc449255766_13"/>
      <w:bookmarkStart w:id="1180" w:name="_Toc490972410_13"/>
      <w:bookmarkStart w:id="1181" w:name="_Toc491014630_13"/>
      <w:bookmarkStart w:id="1182" w:name="_Toc491014772_13"/>
      <w:bookmarkStart w:id="1183" w:name="_Toc491014952_13"/>
      <w:bookmarkStart w:id="1184" w:name="_Toc491015099_13"/>
      <w:bookmarkStart w:id="1185" w:name="_Toc491029243_13"/>
      <w:bookmarkStart w:id="1186" w:name="_Toc491030332_13"/>
      <w:bookmarkStart w:id="1187" w:name="_Toc491030791_13"/>
      <w:bookmarkStart w:id="1188" w:name="_Toc491031354_13"/>
      <w:bookmarkStart w:id="1189" w:name="_Toc491031941_13"/>
      <w:bookmarkStart w:id="1190" w:name="_Toc491032114_13"/>
      <w:bookmarkStart w:id="1191" w:name="_Toc491032222_13"/>
      <w:bookmarkStart w:id="1192" w:name="_Toc491032329_13"/>
      <w:bookmarkStart w:id="1193" w:name="_Toc491771721_13"/>
      <w:bookmarkStart w:id="1194" w:name="_Toc491773296_13"/>
      <w:bookmarkStart w:id="1195" w:name="_Toc23559354_13"/>
      <w:bookmarkStart w:id="1196" w:name="_Toc23559388_13"/>
      <w:bookmarkStart w:id="1197" w:name="_Toc23559675_13"/>
      <w:bookmarkStart w:id="1198" w:name="_Toc23560143_13"/>
      <w:bookmarkStart w:id="1199" w:name="_Toc23563437_13"/>
      <w:bookmarkStart w:id="1200" w:name="_Toc77998689_13"/>
      <w:bookmarkStart w:id="1201" w:name="_Toc79406118_13"/>
      <w:bookmarkStart w:id="1202" w:name="_Toc79467820_13"/>
      <w:bookmarkStart w:id="1203" w:name="_Toc112211967_13"/>
      <w:bookmarkStart w:id="1204" w:name="_Toc112212061_13"/>
      <w:bookmarkStart w:id="1205" w:name="_Toc112137879_13"/>
      <w:bookmarkStart w:id="1206" w:name="_Toc112137901_13"/>
      <w:bookmarkStart w:id="1207" w:name="_Toc210646454_13"/>
      <w:bookmarkStart w:id="1208" w:name="_Toc210698433_13"/>
      <w:bookmarkStart w:id="1209" w:name="_Toc210703215_13"/>
    </w:p>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rsidR="00FD26B4" w:rsidRDefault="00BA7A7F" w:rsidP="00FD26B4">
      <w:r>
        <w:t xml:space="preserve">Government outcomes are the intended results, impacts or consequences of actions by the Government on the Australian community. Commonwealth </w:t>
      </w:r>
      <w:r>
        <w:rPr>
          <w:color w:val="000000"/>
        </w:rPr>
        <w:t xml:space="preserve">programs </w:t>
      </w:r>
      <w:r>
        <w:t xml:space="preserve">are the primary vehicle by which government entities achieve the intended results of their outcome statements. Entities are required to identify the </w:t>
      </w:r>
      <w:r>
        <w:rPr>
          <w:color w:val="000000"/>
        </w:rPr>
        <w:t>programs</w:t>
      </w:r>
      <w:r>
        <w:t xml:space="preserve"> which contribute to government outcomes over the Budget and forward years.</w:t>
      </w:r>
    </w:p>
    <w:p w:rsidR="00FD26B4" w:rsidRDefault="00BA7A7F" w:rsidP="00FD26B4">
      <w:r>
        <w:t xml:space="preserve">Each outcome is described below together with its related </w:t>
      </w:r>
      <w:r>
        <w:rPr>
          <w:color w:val="000000"/>
        </w:rPr>
        <w:t>programs</w:t>
      </w:r>
      <w:r>
        <w:t>. The following provides detailed information on expenses for each outcome and program, further broken down by funding source.</w:t>
      </w:r>
    </w:p>
    <w:p w:rsidR="00FD26B4" w:rsidRDefault="00BA7A7F" w:rsidP="00FD26B4">
      <w:pPr>
        <w:pBdr>
          <w:top w:val="single" w:sz="4" w:space="1" w:color="auto"/>
          <w:left w:val="single" w:sz="4" w:space="4" w:color="auto"/>
          <w:bottom w:val="single" w:sz="4" w:space="1" w:color="auto"/>
          <w:right w:val="single" w:sz="4" w:space="4" w:color="auto"/>
        </w:pBdr>
        <w:spacing w:after="120" w:line="240" w:lineRule="auto"/>
        <w:rPr>
          <w:b/>
        </w:rPr>
      </w:pPr>
      <w:r>
        <w:rPr>
          <w:b/>
        </w:rPr>
        <w:t>Note:</w:t>
      </w:r>
    </w:p>
    <w:p w:rsidR="00460C76" w:rsidRDefault="00BA7A7F" w:rsidP="00460C76">
      <w:pPr>
        <w:pBdr>
          <w:top w:val="single" w:sz="4" w:space="1" w:color="auto"/>
          <w:left w:val="single" w:sz="4" w:space="4" w:color="auto"/>
          <w:bottom w:val="single" w:sz="4" w:space="1" w:color="auto"/>
          <w:right w:val="single" w:sz="4" w:space="4" w:color="auto"/>
        </w:pBdr>
      </w:pPr>
      <w:r>
        <w:t xml:space="preserve">Performance reporting requirements in the Portfolio Budget Statements are part of the Commonwealth performance framework established by the </w:t>
      </w:r>
      <w:r w:rsidRPr="00CA1F35">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rsidR="00460C76" w:rsidRDefault="00BA7A7F" w:rsidP="00F16FE4">
      <w:pPr>
        <w:pBdr>
          <w:top w:val="single" w:sz="4" w:space="1" w:color="auto"/>
          <w:left w:val="single" w:sz="4" w:space="4" w:color="auto"/>
          <w:bottom w:val="single" w:sz="4" w:space="1" w:color="auto"/>
          <w:right w:val="single" w:sz="4" w:space="4" w:color="auto"/>
        </w:pBdr>
        <w:spacing w:after="0"/>
      </w:pPr>
      <w:r>
        <w:t>The most recent corporate plan for CSIRO can be found at:</w:t>
      </w:r>
    </w:p>
    <w:p w:rsidR="00460C76" w:rsidRDefault="00BA7A7F" w:rsidP="00460C76">
      <w:pPr>
        <w:pBdr>
          <w:top w:val="single" w:sz="4" w:space="1" w:color="auto"/>
          <w:left w:val="single" w:sz="4" w:space="4" w:color="auto"/>
          <w:bottom w:val="single" w:sz="4" w:space="1" w:color="auto"/>
          <w:right w:val="single" w:sz="4" w:space="4" w:color="auto"/>
        </w:pBdr>
      </w:pPr>
      <w:r>
        <w:t>https://www.csiro.au/en/About/Strategy-structure/Corporate-plan</w:t>
      </w:r>
    </w:p>
    <w:p w:rsidR="00460C76" w:rsidRDefault="00BA7A7F" w:rsidP="00F16FE4">
      <w:pPr>
        <w:pBdr>
          <w:top w:val="single" w:sz="4" w:space="1" w:color="auto"/>
          <w:left w:val="single" w:sz="4" w:space="4" w:color="auto"/>
          <w:bottom w:val="single" w:sz="4" w:space="1" w:color="auto"/>
          <w:right w:val="single" w:sz="4" w:space="4" w:color="auto"/>
        </w:pBdr>
        <w:spacing w:after="0"/>
      </w:pPr>
      <w:r>
        <w:t>The most recent annual performance statement can be found at:</w:t>
      </w:r>
    </w:p>
    <w:p w:rsidR="00AF3C71" w:rsidRDefault="00BA7A7F" w:rsidP="00460C76">
      <w:pPr>
        <w:pBdr>
          <w:top w:val="single" w:sz="4" w:space="1" w:color="auto"/>
          <w:left w:val="single" w:sz="4" w:space="4" w:color="auto"/>
          <w:bottom w:val="single" w:sz="4" w:space="1" w:color="auto"/>
          <w:right w:val="single" w:sz="4" w:space="4" w:color="auto"/>
        </w:pBdr>
      </w:pPr>
      <w:r>
        <w:t>https://www.csiro.au/en/About/Our-impact/Reporting-our-impact</w:t>
      </w:r>
    </w:p>
    <w:p w:rsidR="007D76B1" w:rsidRPr="00466EE5" w:rsidRDefault="00BA7A7F" w:rsidP="00466EE5">
      <w:pPr>
        <w:pStyle w:val="Heading3"/>
        <w:pageBreakBefore/>
        <w:spacing w:before="360" w:after="120"/>
        <w:rPr>
          <w:smallCaps w:val="0"/>
          <w:sz w:val="22"/>
          <w:szCs w:val="22"/>
        </w:rPr>
      </w:pPr>
      <w:bookmarkStart w:id="1210" w:name="RG_MARKER_11973"/>
      <w:bookmarkStart w:id="1211" w:name="RG_MARKER_12101"/>
      <w:bookmarkStart w:id="1212" w:name="_Toc210703215_14"/>
      <w:bookmarkStart w:id="1213" w:name="_Toc210698433_14"/>
      <w:bookmarkStart w:id="1214" w:name="_Toc210646454_14"/>
      <w:bookmarkStart w:id="1215" w:name="_Toc112137901_14"/>
      <w:bookmarkStart w:id="1216" w:name="_Toc112137879_14"/>
      <w:bookmarkStart w:id="1217" w:name="_Toc112212061_14"/>
      <w:bookmarkStart w:id="1218" w:name="_Toc112211967_14"/>
      <w:bookmarkStart w:id="1219" w:name="_Toc79467820_14"/>
      <w:bookmarkStart w:id="1220" w:name="_Toc79406118_14"/>
      <w:bookmarkStart w:id="1221" w:name="_Toc77998689_14"/>
      <w:bookmarkStart w:id="1222" w:name="_Toc23563437_14"/>
      <w:bookmarkStart w:id="1223" w:name="_Toc23560143_14"/>
      <w:bookmarkStart w:id="1224" w:name="_Toc23559675_14"/>
      <w:bookmarkStart w:id="1225" w:name="_Toc23559388_14"/>
      <w:bookmarkStart w:id="1226" w:name="_Toc23559354_14"/>
      <w:bookmarkStart w:id="1227" w:name="_Toc491773296_14"/>
      <w:bookmarkStart w:id="1228" w:name="_Toc491771721_14"/>
      <w:bookmarkStart w:id="1229" w:name="_Toc491032329_14"/>
      <w:bookmarkStart w:id="1230" w:name="_Toc491032222_14"/>
      <w:bookmarkStart w:id="1231" w:name="_Toc491032114_14"/>
      <w:bookmarkStart w:id="1232" w:name="_Toc491031941_14"/>
      <w:bookmarkStart w:id="1233" w:name="_Toc491031354_14"/>
      <w:bookmarkStart w:id="1234" w:name="_Toc491030791_14"/>
      <w:bookmarkStart w:id="1235" w:name="_Toc491030332_14"/>
      <w:bookmarkStart w:id="1236" w:name="_Toc491029243_14"/>
      <w:bookmarkStart w:id="1237" w:name="_Toc491015099_14"/>
      <w:bookmarkStart w:id="1238" w:name="_Toc491014952_14"/>
      <w:bookmarkStart w:id="1239" w:name="_Toc491014772_14"/>
      <w:bookmarkStart w:id="1240" w:name="_Toc491014630_14"/>
      <w:bookmarkStart w:id="1241" w:name="_Toc490972410_14"/>
      <w:bookmarkStart w:id="1242" w:name="_Toc449255766_14"/>
      <w:bookmarkStart w:id="1243" w:name="_Toc436625446_14"/>
      <w:bookmarkStart w:id="1244" w:name="_Toc436624145_14"/>
      <w:r w:rsidRPr="00466EE5">
        <w:rPr>
          <w:smallCaps w:val="0"/>
          <w:sz w:val="22"/>
          <w:szCs w:val="22"/>
        </w:rPr>
        <w:t>2.1</w:t>
      </w:r>
      <w:bookmarkEnd w:id="1210"/>
      <w:bookmarkEnd w:id="1211"/>
      <w:r w:rsidRPr="00466EE5">
        <w:rPr>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253274" w:rsidTr="00BE1323">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rsidR="00BE1323" w:rsidRDefault="00BA7A7F" w:rsidP="00987475">
            <w:pPr>
              <w:pStyle w:val="TableColumnHeadingLeft"/>
              <w:keepLines/>
              <w:rPr>
                <w:rFonts w:cs="Arial"/>
              </w:rPr>
            </w:pPr>
            <w:r>
              <w:rPr>
                <w:rFonts w:cs="Arial"/>
                <w:color w:val="000000"/>
              </w:rPr>
              <w:t xml:space="preserve">Outcome 1: </w:t>
            </w:r>
            <w:r>
              <w:rPr>
                <w:color w:val="000000"/>
              </w:rPr>
              <w:t>Innovative scientific and technology solutions to national challenges and opportunities to benefit industry, the environment and the community, through scientific research and capability development, services and advice</w:t>
            </w:r>
          </w:p>
        </w:tc>
      </w:tr>
    </w:tbl>
    <w:p w:rsidR="00063B21" w:rsidRPr="00466EE5" w:rsidRDefault="00BA7A7F" w:rsidP="00607644">
      <w:pPr>
        <w:pStyle w:val="Heading4"/>
        <w:spacing w:before="240"/>
        <w:rPr>
          <w:sz w:val="20"/>
        </w:rPr>
      </w:pPr>
      <w:r w:rsidRPr="00466EE5">
        <w:rPr>
          <w:rFonts w:cs="Arial"/>
          <w:sz w:val="20"/>
        </w:rPr>
        <w:t>Linked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253274" w:rsidTr="007513DD">
        <w:trPr>
          <w:trHeight w:val="113"/>
        </w:trPr>
        <w:tc>
          <w:tcPr>
            <w:tcW w:w="7700" w:type="dxa"/>
            <w:tcBorders>
              <w:top w:val="single" w:sz="4" w:space="0" w:color="auto"/>
              <w:left w:val="single" w:sz="4" w:space="0" w:color="auto"/>
              <w:bottom w:val="dotted" w:sz="4" w:space="0" w:color="auto"/>
              <w:right w:val="single" w:sz="4" w:space="0" w:color="auto"/>
            </w:tcBorders>
            <w:hideMark/>
          </w:tcPr>
          <w:p w:rsidR="007513DD" w:rsidRDefault="00BA7A7F">
            <w:pPr>
              <w:pStyle w:val="ExampleText0"/>
              <w:spacing w:before="60" w:after="60" w:line="240" w:lineRule="auto"/>
              <w:rPr>
                <w:color w:val="auto"/>
              </w:rPr>
            </w:pPr>
            <w:r>
              <w:rPr>
                <w:rStyle w:val="ExampletextCharChar"/>
                <w:b/>
                <w:color w:val="auto"/>
              </w:rPr>
              <w:t>Department of Industry, Science, Energy and Resources</w:t>
            </w:r>
          </w:p>
        </w:tc>
      </w:tr>
      <w:tr w:rsidR="00253274" w:rsidTr="007513DD">
        <w:trPr>
          <w:trHeight w:val="113"/>
        </w:trPr>
        <w:tc>
          <w:tcPr>
            <w:tcW w:w="7700" w:type="dxa"/>
            <w:tcBorders>
              <w:top w:val="dotted" w:sz="4" w:space="0" w:color="auto"/>
              <w:left w:val="single" w:sz="4" w:space="0" w:color="auto"/>
              <w:bottom w:val="dotted" w:sz="4" w:space="0" w:color="auto"/>
              <w:right w:val="single" w:sz="4" w:space="0" w:color="auto"/>
            </w:tcBorders>
            <w:hideMark/>
          </w:tcPr>
          <w:p w:rsidR="007513DD" w:rsidRPr="007513DD" w:rsidRDefault="00BA7A7F">
            <w:pPr>
              <w:spacing w:before="60" w:after="60" w:line="240" w:lineRule="auto"/>
              <w:rPr>
                <w:rStyle w:val="ExampletextCharChar"/>
                <w:b/>
                <w:i w:val="0"/>
                <w:color w:val="auto"/>
              </w:rPr>
            </w:pPr>
            <w:r w:rsidRPr="007513DD">
              <w:rPr>
                <w:rStyle w:val="ExampletextCharChar"/>
                <w:b/>
                <w:i w:val="0"/>
                <w:color w:val="auto"/>
              </w:rPr>
              <w:t>Programs</w:t>
            </w:r>
          </w:p>
          <w:p w:rsidR="007513DD" w:rsidRPr="007513DD" w:rsidRDefault="00BA7A7F" w:rsidP="007513DD">
            <w:pPr>
              <w:keepLines w:val="0"/>
              <w:numPr>
                <w:ilvl w:val="0"/>
                <w:numId w:val="108"/>
              </w:numPr>
              <w:spacing w:before="60" w:after="60" w:line="240" w:lineRule="auto"/>
              <w:jc w:val="left"/>
              <w:rPr>
                <w:rStyle w:val="ExampletextCharChar"/>
                <w:i w:val="0"/>
                <w:color w:val="auto"/>
              </w:rPr>
            </w:pPr>
            <w:r w:rsidRPr="007513DD">
              <w:rPr>
                <w:rStyle w:val="ExampletextCharChar"/>
                <w:i w:val="0"/>
                <w:color w:val="auto"/>
              </w:rPr>
              <w:t>Program 1.1 - Investing in science, technology and commercialisation</w:t>
            </w:r>
          </w:p>
          <w:p w:rsidR="007513DD" w:rsidRPr="007513DD" w:rsidRDefault="00BA7A7F" w:rsidP="007513DD">
            <w:pPr>
              <w:keepLines w:val="0"/>
              <w:numPr>
                <w:ilvl w:val="0"/>
                <w:numId w:val="108"/>
              </w:numPr>
              <w:spacing w:before="60" w:after="60" w:line="240" w:lineRule="auto"/>
              <w:jc w:val="left"/>
              <w:rPr>
                <w:rStyle w:val="ExampletextCharChar"/>
                <w:i w:val="0"/>
                <w:color w:val="auto"/>
              </w:rPr>
            </w:pPr>
            <w:r w:rsidRPr="007513DD">
              <w:rPr>
                <w:rStyle w:val="ExampletextCharChar"/>
                <w:i w:val="0"/>
                <w:color w:val="auto"/>
              </w:rPr>
              <w:t>Program 1.2 - Growing innovative and competitive businesses, industries and regions</w:t>
            </w:r>
          </w:p>
          <w:p w:rsidR="007513DD" w:rsidRPr="007513DD" w:rsidRDefault="00BA7A7F" w:rsidP="007513DD">
            <w:pPr>
              <w:keepLines w:val="0"/>
              <w:numPr>
                <w:ilvl w:val="0"/>
                <w:numId w:val="108"/>
              </w:numPr>
              <w:spacing w:before="60" w:after="60" w:line="240" w:lineRule="auto"/>
              <w:jc w:val="left"/>
              <w:rPr>
                <w:rStyle w:val="ExampletextCharChar"/>
                <w:i w:val="0"/>
                <w:color w:val="auto"/>
              </w:rPr>
            </w:pPr>
            <w:r w:rsidRPr="007513DD">
              <w:rPr>
                <w:rStyle w:val="ExampletextCharChar"/>
                <w:i w:val="0"/>
                <w:color w:val="auto"/>
              </w:rPr>
              <w:t>Program 2.1 - Reducing Australia’s greenhouse gas emissions</w:t>
            </w:r>
          </w:p>
          <w:p w:rsidR="007513DD" w:rsidRPr="007513DD" w:rsidRDefault="00BA7A7F" w:rsidP="007513DD">
            <w:pPr>
              <w:keepLines w:val="0"/>
              <w:numPr>
                <w:ilvl w:val="0"/>
                <w:numId w:val="108"/>
              </w:numPr>
              <w:spacing w:before="60" w:after="60" w:line="240" w:lineRule="auto"/>
              <w:jc w:val="left"/>
              <w:rPr>
                <w:rStyle w:val="ExampletextCharChar"/>
                <w:i w:val="0"/>
                <w:color w:val="auto"/>
              </w:rPr>
            </w:pPr>
            <w:r w:rsidRPr="007513DD">
              <w:rPr>
                <w:rStyle w:val="ExampletextCharChar"/>
                <w:i w:val="0"/>
                <w:color w:val="auto"/>
              </w:rPr>
              <w:t>Program 2.2 - Developing clean energy technology</w:t>
            </w:r>
          </w:p>
        </w:tc>
      </w:tr>
      <w:tr w:rsidR="00253274" w:rsidTr="007513DD">
        <w:trPr>
          <w:trHeight w:val="113"/>
        </w:trPr>
        <w:tc>
          <w:tcPr>
            <w:tcW w:w="7700" w:type="dxa"/>
            <w:tcBorders>
              <w:top w:val="dotted" w:sz="4" w:space="0" w:color="auto"/>
              <w:left w:val="single" w:sz="4" w:space="0" w:color="auto"/>
              <w:bottom w:val="single" w:sz="4" w:space="0" w:color="auto"/>
              <w:right w:val="single" w:sz="4" w:space="0" w:color="auto"/>
            </w:tcBorders>
            <w:hideMark/>
          </w:tcPr>
          <w:p w:rsidR="007513DD" w:rsidRPr="007513DD" w:rsidRDefault="00BA7A7F">
            <w:pPr>
              <w:spacing w:before="60" w:after="60" w:line="240" w:lineRule="auto"/>
              <w:rPr>
                <w:rStyle w:val="ExampletextCharChar"/>
                <w:b/>
                <w:i w:val="0"/>
                <w:color w:val="auto"/>
              </w:rPr>
            </w:pPr>
            <w:r w:rsidRPr="007513DD">
              <w:rPr>
                <w:rStyle w:val="ExampletextCharChar"/>
                <w:b/>
                <w:i w:val="0"/>
                <w:color w:val="auto"/>
              </w:rPr>
              <w:t>Contribution to Outcome 1 made by linked programs</w:t>
            </w:r>
          </w:p>
          <w:p w:rsidR="007513DD" w:rsidRPr="007513DD" w:rsidRDefault="00BA7A7F" w:rsidP="00080C7C">
            <w:pPr>
              <w:spacing w:before="60" w:after="60" w:line="240" w:lineRule="auto"/>
              <w:rPr>
                <w:rStyle w:val="ExampletextCharChar"/>
                <w:b/>
                <w:i w:val="0"/>
                <w:color w:val="auto"/>
              </w:rPr>
            </w:pPr>
            <w:r w:rsidRPr="007513DD">
              <w:t>The Department of Industry, Science, Energy and Res</w:t>
            </w:r>
            <w:r w:rsidR="005C62AF">
              <w:t xml:space="preserve">ources contributes to Outcome 1 </w:t>
            </w:r>
            <w:r w:rsidRPr="007513DD">
              <w:t>through its policies and programs supporting science, research and commercialisation, through the operation of the Australian Space Agency, the Office of the Chief Scientist and the Office of Industry Innovation and Science Australia and through policies, programs and the provision of funding in the areas of greenhouse gas emission reductions, climate science research and clean energy technology.</w:t>
            </w:r>
          </w:p>
        </w:tc>
      </w:tr>
      <w:tr w:rsidR="00253274" w:rsidTr="00CB723E">
        <w:trPr>
          <w:trHeight w:val="113"/>
        </w:trPr>
        <w:tc>
          <w:tcPr>
            <w:tcW w:w="7700" w:type="dxa"/>
            <w:tcBorders>
              <w:top w:val="single" w:sz="4" w:space="0" w:color="auto"/>
              <w:left w:val="single" w:sz="4" w:space="0" w:color="auto"/>
              <w:bottom w:val="single" w:sz="4" w:space="0" w:color="auto"/>
              <w:right w:val="single" w:sz="4" w:space="0" w:color="auto"/>
            </w:tcBorders>
            <w:hideMark/>
          </w:tcPr>
          <w:p w:rsidR="007513DD" w:rsidRDefault="00BA7A7F">
            <w:pPr>
              <w:pStyle w:val="ExampleText0"/>
              <w:spacing w:before="60" w:after="60" w:line="240" w:lineRule="auto"/>
              <w:rPr>
                <w:rStyle w:val="ExampletextCharChar"/>
                <w:b/>
                <w:color w:val="auto"/>
              </w:rPr>
            </w:pPr>
            <w:r>
              <w:rPr>
                <w:rStyle w:val="ExampletextCharChar"/>
                <w:b/>
                <w:color w:val="auto"/>
              </w:rPr>
              <w:t>Department of Agriculture, Water and the Environment</w:t>
            </w:r>
          </w:p>
        </w:tc>
      </w:tr>
      <w:tr w:rsidR="00253274" w:rsidTr="00CB723E">
        <w:trPr>
          <w:trHeight w:val="113"/>
        </w:trPr>
        <w:tc>
          <w:tcPr>
            <w:tcW w:w="7700" w:type="dxa"/>
            <w:tcBorders>
              <w:top w:val="single" w:sz="4" w:space="0" w:color="auto"/>
              <w:left w:val="single" w:sz="4" w:space="0" w:color="auto"/>
              <w:bottom w:val="single" w:sz="4" w:space="0" w:color="auto"/>
              <w:right w:val="single" w:sz="4" w:space="0" w:color="auto"/>
            </w:tcBorders>
            <w:hideMark/>
          </w:tcPr>
          <w:p w:rsidR="007513DD" w:rsidRPr="007513DD" w:rsidRDefault="00BA7A7F">
            <w:pPr>
              <w:spacing w:before="60" w:after="60" w:line="240" w:lineRule="auto"/>
              <w:rPr>
                <w:rStyle w:val="ExampletextCharChar"/>
                <w:b/>
                <w:i w:val="0"/>
                <w:color w:val="auto"/>
              </w:rPr>
            </w:pPr>
            <w:r w:rsidRPr="007513DD">
              <w:rPr>
                <w:rStyle w:val="ExampletextCharChar"/>
                <w:b/>
                <w:i w:val="0"/>
                <w:color w:val="auto"/>
              </w:rPr>
              <w:t>Programs</w:t>
            </w:r>
          </w:p>
          <w:p w:rsidR="007513DD" w:rsidRPr="007513DD" w:rsidRDefault="00BA7A7F" w:rsidP="007513DD">
            <w:pPr>
              <w:keepLines w:val="0"/>
              <w:numPr>
                <w:ilvl w:val="0"/>
                <w:numId w:val="108"/>
              </w:numPr>
              <w:spacing w:before="60" w:after="60" w:line="240" w:lineRule="auto"/>
              <w:jc w:val="left"/>
              <w:rPr>
                <w:rStyle w:val="ExampletextCharChar"/>
                <w:i w:val="0"/>
                <w:color w:val="auto"/>
              </w:rPr>
            </w:pPr>
            <w:r w:rsidRPr="007513DD">
              <w:rPr>
                <w:rStyle w:val="ExampletextCharChar"/>
                <w:i w:val="0"/>
                <w:color w:val="auto"/>
              </w:rPr>
              <w:t>Program 1.1 - Sustainable Management of Natural Resources and the Environment</w:t>
            </w:r>
          </w:p>
          <w:p w:rsidR="007513DD" w:rsidRPr="007513DD" w:rsidRDefault="00BA7A7F" w:rsidP="007513DD">
            <w:pPr>
              <w:keepLines w:val="0"/>
              <w:numPr>
                <w:ilvl w:val="0"/>
                <w:numId w:val="108"/>
              </w:numPr>
              <w:spacing w:before="60" w:after="60" w:line="240" w:lineRule="auto"/>
              <w:jc w:val="left"/>
              <w:rPr>
                <w:rStyle w:val="ExampletextCharChar"/>
                <w:i w:val="0"/>
                <w:color w:val="auto"/>
              </w:rPr>
            </w:pPr>
            <w:r w:rsidRPr="007513DD">
              <w:rPr>
                <w:rStyle w:val="ExampletextCharChar"/>
                <w:i w:val="0"/>
                <w:color w:val="auto"/>
              </w:rPr>
              <w:t>Program 1.2 - Environmental Information and Research</w:t>
            </w:r>
          </w:p>
          <w:p w:rsidR="007513DD" w:rsidRPr="007513DD" w:rsidRDefault="00BA7A7F" w:rsidP="007513DD">
            <w:pPr>
              <w:keepLines w:val="0"/>
              <w:numPr>
                <w:ilvl w:val="0"/>
                <w:numId w:val="108"/>
              </w:numPr>
              <w:spacing w:before="60" w:after="60" w:line="240" w:lineRule="auto"/>
              <w:jc w:val="left"/>
              <w:rPr>
                <w:rStyle w:val="ExampletextCharChar"/>
                <w:i w:val="0"/>
                <w:color w:val="auto"/>
              </w:rPr>
            </w:pPr>
            <w:r w:rsidRPr="007513DD">
              <w:rPr>
                <w:rStyle w:val="ExampletextCharChar"/>
                <w:i w:val="0"/>
                <w:color w:val="auto"/>
              </w:rPr>
              <w:t>Program 2.1 - Antarctica: Science, Policy and Presence</w:t>
            </w:r>
          </w:p>
          <w:p w:rsidR="007513DD" w:rsidRPr="007513DD" w:rsidRDefault="00BA7A7F" w:rsidP="007513DD">
            <w:pPr>
              <w:keepLines w:val="0"/>
              <w:numPr>
                <w:ilvl w:val="0"/>
                <w:numId w:val="108"/>
              </w:numPr>
              <w:spacing w:before="60" w:after="60" w:line="240" w:lineRule="auto"/>
              <w:jc w:val="left"/>
              <w:rPr>
                <w:rStyle w:val="ExampletextCharChar"/>
                <w:b/>
                <w:i w:val="0"/>
                <w:color w:val="auto"/>
              </w:rPr>
            </w:pPr>
            <w:r w:rsidRPr="007513DD">
              <w:rPr>
                <w:rStyle w:val="ExampletextCharChar"/>
                <w:i w:val="0"/>
                <w:color w:val="auto"/>
              </w:rPr>
              <w:t>Program 4.2 - Plant and Animal Health</w:t>
            </w:r>
          </w:p>
        </w:tc>
      </w:tr>
      <w:tr w:rsidR="00253274" w:rsidTr="00CB723E">
        <w:trPr>
          <w:trHeight w:val="113"/>
        </w:trPr>
        <w:tc>
          <w:tcPr>
            <w:tcW w:w="7700" w:type="dxa"/>
            <w:tcBorders>
              <w:top w:val="single" w:sz="4" w:space="0" w:color="auto"/>
              <w:left w:val="single" w:sz="4" w:space="0" w:color="auto"/>
              <w:bottom w:val="dotted" w:sz="4" w:space="0" w:color="auto"/>
              <w:right w:val="single" w:sz="4" w:space="0" w:color="auto"/>
            </w:tcBorders>
            <w:hideMark/>
          </w:tcPr>
          <w:p w:rsidR="007513DD" w:rsidRPr="007513DD" w:rsidRDefault="00BA7A7F">
            <w:pPr>
              <w:spacing w:before="60" w:after="60" w:line="240" w:lineRule="auto"/>
              <w:rPr>
                <w:rStyle w:val="ExampletextCharChar"/>
                <w:b/>
                <w:i w:val="0"/>
                <w:color w:val="auto"/>
              </w:rPr>
            </w:pPr>
            <w:r w:rsidRPr="007513DD">
              <w:rPr>
                <w:rStyle w:val="ExampletextCharChar"/>
                <w:b/>
                <w:i w:val="0"/>
                <w:color w:val="auto"/>
              </w:rPr>
              <w:t>Contribution to Outcome 1 made by linked programs</w:t>
            </w:r>
          </w:p>
          <w:p w:rsidR="007513DD" w:rsidRPr="007513DD" w:rsidRDefault="00BA7A7F">
            <w:pPr>
              <w:spacing w:before="60" w:after="60" w:line="240" w:lineRule="auto"/>
              <w:rPr>
                <w:rStyle w:val="ExampletextCharChar"/>
                <w:b/>
                <w:i w:val="0"/>
                <w:color w:val="auto"/>
              </w:rPr>
            </w:pPr>
            <w:r w:rsidRPr="007513DD">
              <w:rPr>
                <w:rStyle w:val="ExampletextCharChar"/>
                <w:i w:val="0"/>
                <w:color w:val="auto"/>
              </w:rPr>
              <w:t>The Department of Agriculture, Water and the Environment contributes to Outcome 1 through its policies and programs, and the provision of funding, to support science and research in the areas of marine science, climate science, ecology, ecotoxicology, hydrology, hydrogeology, informatics and risk analysis. This includes contributions to the operating costs of the Australian Centre for Disease Preparedness (formerly the Australian Animal Health Laboratory).</w:t>
            </w:r>
          </w:p>
        </w:tc>
      </w:tr>
    </w:tbl>
    <w:p w:rsidR="008919BD" w:rsidRDefault="00BA7A7F">
      <w:r>
        <w:rPr>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253274" w:rsidTr="007513DD">
        <w:trPr>
          <w:trHeight w:val="113"/>
        </w:trPr>
        <w:tc>
          <w:tcPr>
            <w:tcW w:w="7700" w:type="dxa"/>
            <w:tcBorders>
              <w:top w:val="single" w:sz="4" w:space="0" w:color="auto"/>
              <w:left w:val="single" w:sz="4" w:space="0" w:color="auto"/>
              <w:bottom w:val="dotted" w:sz="4" w:space="0" w:color="auto"/>
              <w:right w:val="single" w:sz="4" w:space="0" w:color="auto"/>
            </w:tcBorders>
            <w:hideMark/>
          </w:tcPr>
          <w:p w:rsidR="007513DD" w:rsidRDefault="00BA7A7F">
            <w:pPr>
              <w:pStyle w:val="ExampleText0"/>
              <w:spacing w:before="60" w:after="60" w:line="240" w:lineRule="auto"/>
              <w:rPr>
                <w:color w:val="auto"/>
              </w:rPr>
            </w:pPr>
            <w:r>
              <w:br w:type="page"/>
            </w:r>
            <w:r>
              <w:rPr>
                <w:rStyle w:val="ExampletextCharChar"/>
                <w:b/>
                <w:color w:val="auto"/>
              </w:rPr>
              <w:t>Department of Education, Skills and Employment</w:t>
            </w:r>
          </w:p>
        </w:tc>
      </w:tr>
      <w:tr w:rsidR="00253274" w:rsidTr="007513DD">
        <w:trPr>
          <w:trHeight w:val="113"/>
        </w:trPr>
        <w:tc>
          <w:tcPr>
            <w:tcW w:w="7700" w:type="dxa"/>
            <w:tcBorders>
              <w:top w:val="dotted" w:sz="4" w:space="0" w:color="auto"/>
              <w:left w:val="single" w:sz="4" w:space="0" w:color="auto"/>
              <w:bottom w:val="dotted" w:sz="4" w:space="0" w:color="auto"/>
              <w:right w:val="single" w:sz="4" w:space="0" w:color="auto"/>
            </w:tcBorders>
            <w:hideMark/>
          </w:tcPr>
          <w:p w:rsidR="007513DD" w:rsidRPr="007513DD" w:rsidRDefault="00BA7A7F">
            <w:pPr>
              <w:spacing w:before="60" w:after="60" w:line="240" w:lineRule="auto"/>
              <w:rPr>
                <w:rStyle w:val="ExampletextCharChar"/>
                <w:b/>
                <w:i w:val="0"/>
                <w:color w:val="auto"/>
              </w:rPr>
            </w:pPr>
            <w:r w:rsidRPr="007513DD">
              <w:rPr>
                <w:rStyle w:val="ExampletextCharChar"/>
                <w:b/>
                <w:i w:val="0"/>
                <w:color w:val="auto"/>
              </w:rPr>
              <w:t>Program</w:t>
            </w:r>
          </w:p>
          <w:p w:rsidR="007513DD" w:rsidRPr="007513DD" w:rsidRDefault="00BA7A7F" w:rsidP="007513DD">
            <w:pPr>
              <w:keepLines w:val="0"/>
              <w:numPr>
                <w:ilvl w:val="0"/>
                <w:numId w:val="108"/>
              </w:numPr>
              <w:spacing w:before="60" w:after="60" w:line="240" w:lineRule="auto"/>
              <w:jc w:val="left"/>
              <w:rPr>
                <w:rStyle w:val="ExampletextCharChar"/>
                <w:i w:val="0"/>
                <w:color w:val="auto"/>
              </w:rPr>
            </w:pPr>
            <w:r w:rsidRPr="007513DD">
              <w:rPr>
                <w:rStyle w:val="ExampletextCharChar"/>
                <w:i w:val="0"/>
                <w:color w:val="auto"/>
              </w:rPr>
              <w:t>Program 2.6 - Research Capacity</w:t>
            </w:r>
          </w:p>
        </w:tc>
      </w:tr>
      <w:tr w:rsidR="00253274" w:rsidTr="007513DD">
        <w:trPr>
          <w:trHeight w:val="113"/>
        </w:trPr>
        <w:tc>
          <w:tcPr>
            <w:tcW w:w="7700" w:type="dxa"/>
            <w:tcBorders>
              <w:top w:val="dotted" w:sz="4" w:space="0" w:color="auto"/>
              <w:left w:val="single" w:sz="4" w:space="0" w:color="auto"/>
              <w:bottom w:val="single" w:sz="4" w:space="0" w:color="auto"/>
              <w:right w:val="single" w:sz="4" w:space="0" w:color="auto"/>
            </w:tcBorders>
            <w:hideMark/>
          </w:tcPr>
          <w:p w:rsidR="007513DD" w:rsidRPr="007513DD" w:rsidRDefault="00BA7A7F">
            <w:pPr>
              <w:spacing w:before="60" w:after="60" w:line="240" w:lineRule="auto"/>
              <w:rPr>
                <w:rStyle w:val="ExampletextCharChar"/>
                <w:b/>
                <w:i w:val="0"/>
                <w:color w:val="auto"/>
              </w:rPr>
            </w:pPr>
            <w:r w:rsidRPr="007513DD">
              <w:rPr>
                <w:rStyle w:val="ExampletextCharChar"/>
                <w:b/>
                <w:i w:val="0"/>
                <w:color w:val="auto"/>
              </w:rPr>
              <w:t>Contribution to Outcome 1 made by linked program</w:t>
            </w:r>
          </w:p>
          <w:p w:rsidR="007513DD" w:rsidRPr="007513DD" w:rsidRDefault="00BA7A7F">
            <w:pPr>
              <w:spacing w:before="60" w:after="60" w:line="240" w:lineRule="auto"/>
              <w:rPr>
                <w:rStyle w:val="ExampletextCharChar"/>
                <w:b/>
                <w:i w:val="0"/>
                <w:color w:val="auto"/>
              </w:rPr>
            </w:pPr>
            <w:r w:rsidRPr="007513DD">
              <w:t>The Department of Education, Skills and Employment contributes to Outcome 1 through its policies and programs to invest in Australia’s research capacity, including the National Collaborative Research Infrastructure Strategy.</w:t>
            </w:r>
          </w:p>
        </w:tc>
      </w:tr>
      <w:tr w:rsidR="00253274" w:rsidTr="007513DD">
        <w:trPr>
          <w:trHeight w:val="113"/>
        </w:trPr>
        <w:tc>
          <w:tcPr>
            <w:tcW w:w="7700" w:type="dxa"/>
            <w:tcBorders>
              <w:top w:val="single" w:sz="4" w:space="0" w:color="auto"/>
              <w:left w:val="single" w:sz="4" w:space="0" w:color="auto"/>
              <w:bottom w:val="dotted" w:sz="4" w:space="0" w:color="auto"/>
              <w:right w:val="single" w:sz="4" w:space="0" w:color="auto"/>
            </w:tcBorders>
            <w:hideMark/>
          </w:tcPr>
          <w:p w:rsidR="007513DD" w:rsidRDefault="00BA7A7F">
            <w:pPr>
              <w:pStyle w:val="ExampleText0"/>
              <w:spacing w:before="60" w:after="60" w:line="240" w:lineRule="auto"/>
              <w:rPr>
                <w:color w:val="auto"/>
              </w:rPr>
            </w:pPr>
            <w:r>
              <w:rPr>
                <w:rStyle w:val="ExampletextCharChar"/>
                <w:b/>
                <w:color w:val="auto"/>
              </w:rPr>
              <w:t>Bureau of Meteorology</w:t>
            </w:r>
          </w:p>
        </w:tc>
      </w:tr>
      <w:tr w:rsidR="00253274" w:rsidTr="007513DD">
        <w:trPr>
          <w:trHeight w:val="113"/>
        </w:trPr>
        <w:tc>
          <w:tcPr>
            <w:tcW w:w="7700" w:type="dxa"/>
            <w:tcBorders>
              <w:top w:val="dotted" w:sz="4" w:space="0" w:color="auto"/>
              <w:left w:val="single" w:sz="4" w:space="0" w:color="auto"/>
              <w:bottom w:val="dotted" w:sz="4" w:space="0" w:color="auto"/>
              <w:right w:val="single" w:sz="4" w:space="0" w:color="auto"/>
            </w:tcBorders>
            <w:hideMark/>
          </w:tcPr>
          <w:p w:rsidR="007513DD" w:rsidRPr="007513DD" w:rsidRDefault="00BA7A7F">
            <w:pPr>
              <w:spacing w:before="60" w:after="60" w:line="240" w:lineRule="auto"/>
              <w:rPr>
                <w:rStyle w:val="ExampletextCharChar"/>
                <w:b/>
                <w:i w:val="0"/>
                <w:color w:val="auto"/>
              </w:rPr>
            </w:pPr>
            <w:r w:rsidRPr="007513DD">
              <w:rPr>
                <w:rStyle w:val="ExampletextCharChar"/>
                <w:b/>
                <w:i w:val="0"/>
                <w:color w:val="auto"/>
              </w:rPr>
              <w:t>Program</w:t>
            </w:r>
          </w:p>
          <w:p w:rsidR="007513DD" w:rsidRPr="007513DD" w:rsidRDefault="00BA7A7F" w:rsidP="007513DD">
            <w:pPr>
              <w:keepLines w:val="0"/>
              <w:numPr>
                <w:ilvl w:val="0"/>
                <w:numId w:val="108"/>
              </w:numPr>
              <w:spacing w:before="60" w:after="60" w:line="240" w:lineRule="auto"/>
              <w:jc w:val="left"/>
              <w:rPr>
                <w:rStyle w:val="ExampletextCharChar"/>
                <w:i w:val="0"/>
                <w:color w:val="auto"/>
              </w:rPr>
            </w:pPr>
            <w:r w:rsidRPr="007513DD">
              <w:rPr>
                <w:rStyle w:val="ExampletextCharChar"/>
                <w:i w:val="0"/>
                <w:color w:val="auto"/>
              </w:rPr>
              <w:t>Program 1.1 - Bureau of Meteorology</w:t>
            </w:r>
          </w:p>
        </w:tc>
      </w:tr>
      <w:tr w:rsidR="00253274" w:rsidTr="007513DD">
        <w:trPr>
          <w:trHeight w:val="113"/>
        </w:trPr>
        <w:tc>
          <w:tcPr>
            <w:tcW w:w="7700" w:type="dxa"/>
            <w:tcBorders>
              <w:top w:val="dotted" w:sz="4" w:space="0" w:color="auto"/>
              <w:left w:val="single" w:sz="4" w:space="0" w:color="auto"/>
              <w:bottom w:val="dotted" w:sz="4" w:space="0" w:color="auto"/>
              <w:right w:val="single" w:sz="4" w:space="0" w:color="auto"/>
            </w:tcBorders>
            <w:hideMark/>
          </w:tcPr>
          <w:p w:rsidR="007513DD" w:rsidRPr="007513DD" w:rsidRDefault="00BA7A7F">
            <w:pPr>
              <w:spacing w:before="60" w:after="60" w:line="240" w:lineRule="auto"/>
              <w:rPr>
                <w:rStyle w:val="ExampletextCharChar"/>
                <w:b/>
                <w:i w:val="0"/>
                <w:color w:val="auto"/>
              </w:rPr>
            </w:pPr>
            <w:r w:rsidRPr="007513DD">
              <w:rPr>
                <w:rStyle w:val="ExampletextCharChar"/>
                <w:b/>
                <w:i w:val="0"/>
                <w:color w:val="auto"/>
              </w:rPr>
              <w:t>Contribution to Outcome 1 made by linked program</w:t>
            </w:r>
          </w:p>
          <w:p w:rsidR="007513DD" w:rsidRPr="007513DD" w:rsidRDefault="00BA7A7F">
            <w:pPr>
              <w:spacing w:before="60" w:after="60" w:line="240" w:lineRule="auto"/>
              <w:rPr>
                <w:rStyle w:val="ExampletextCharChar"/>
                <w:rFonts w:ascii="Calibri" w:hAnsi="Calibri"/>
                <w:i w:val="0"/>
                <w:iCs/>
                <w:color w:val="auto"/>
              </w:rPr>
            </w:pPr>
            <w:r w:rsidRPr="007513DD">
              <w:rPr>
                <w:rStyle w:val="ExampletextCharChar"/>
                <w:i w:val="0"/>
                <w:iCs/>
                <w:color w:val="auto"/>
              </w:rPr>
              <w:t>The Bureau of Meteorology contributes to Outcome 1 as a Hub partner, and co-research organisation</w:t>
            </w:r>
            <w:r>
              <w:rPr>
                <w:rStyle w:val="ExampletextCharChar"/>
                <w:i w:val="0"/>
                <w:iCs/>
                <w:color w:val="auto"/>
              </w:rPr>
              <w:t>, for the Climate Systems Hub of</w:t>
            </w:r>
            <w:r w:rsidRPr="007513DD">
              <w:rPr>
                <w:rStyle w:val="ExampletextCharChar"/>
                <w:i w:val="0"/>
                <w:iCs/>
                <w:color w:val="auto"/>
              </w:rPr>
              <w:t xml:space="preserve"> which CSIRO is the host organisation, and as a partner in the Australian Climate Service</w:t>
            </w:r>
            <w:r w:rsidRPr="007513DD">
              <w:rPr>
                <w:rStyle w:val="ExampletextCharChar"/>
                <w:iCs/>
                <w:color w:val="auto"/>
              </w:rPr>
              <w:t xml:space="preserve"> </w:t>
            </w:r>
            <w:r w:rsidRPr="007513DD">
              <w:t>to deliver world-leading climate and natural disaster science, information and expertise</w:t>
            </w:r>
            <w:r w:rsidRPr="007513DD">
              <w:rPr>
                <w:i/>
              </w:rPr>
              <w:t>.</w:t>
            </w:r>
          </w:p>
        </w:tc>
      </w:tr>
      <w:tr w:rsidR="00253274" w:rsidTr="007513DD">
        <w:trPr>
          <w:trHeight w:val="113"/>
        </w:trPr>
        <w:tc>
          <w:tcPr>
            <w:tcW w:w="7700" w:type="dxa"/>
            <w:tcBorders>
              <w:top w:val="single" w:sz="4" w:space="0" w:color="auto"/>
              <w:left w:val="single" w:sz="4" w:space="0" w:color="auto"/>
              <w:bottom w:val="dotted" w:sz="4" w:space="0" w:color="auto"/>
              <w:right w:val="single" w:sz="4" w:space="0" w:color="auto"/>
            </w:tcBorders>
            <w:hideMark/>
          </w:tcPr>
          <w:p w:rsidR="007513DD" w:rsidRPr="007513DD" w:rsidRDefault="00BA7A7F">
            <w:pPr>
              <w:pStyle w:val="ExampleText0"/>
              <w:spacing w:before="60" w:after="60" w:line="240" w:lineRule="auto"/>
              <w:rPr>
                <w:color w:val="auto"/>
              </w:rPr>
            </w:pPr>
            <w:r w:rsidRPr="007513DD">
              <w:rPr>
                <w:rStyle w:val="ExampletextCharChar"/>
                <w:b/>
                <w:color w:val="auto"/>
              </w:rPr>
              <w:t>Geoscience Australia</w:t>
            </w:r>
          </w:p>
        </w:tc>
      </w:tr>
      <w:tr w:rsidR="00253274" w:rsidTr="007513DD">
        <w:trPr>
          <w:trHeight w:val="113"/>
        </w:trPr>
        <w:tc>
          <w:tcPr>
            <w:tcW w:w="7700" w:type="dxa"/>
            <w:tcBorders>
              <w:top w:val="dotted" w:sz="4" w:space="0" w:color="auto"/>
              <w:left w:val="single" w:sz="4" w:space="0" w:color="auto"/>
              <w:bottom w:val="dotted" w:sz="4" w:space="0" w:color="auto"/>
              <w:right w:val="single" w:sz="4" w:space="0" w:color="auto"/>
            </w:tcBorders>
            <w:hideMark/>
          </w:tcPr>
          <w:p w:rsidR="007513DD" w:rsidRPr="007513DD" w:rsidRDefault="00BA7A7F">
            <w:pPr>
              <w:spacing w:before="60" w:after="60" w:line="240" w:lineRule="auto"/>
              <w:rPr>
                <w:rStyle w:val="ExampletextCharChar"/>
                <w:b/>
                <w:i w:val="0"/>
                <w:color w:val="auto"/>
              </w:rPr>
            </w:pPr>
            <w:r w:rsidRPr="007513DD">
              <w:rPr>
                <w:rStyle w:val="ExampletextCharChar"/>
                <w:b/>
                <w:i w:val="0"/>
                <w:color w:val="auto"/>
              </w:rPr>
              <w:t>Program</w:t>
            </w:r>
          </w:p>
          <w:p w:rsidR="007513DD" w:rsidRPr="007513DD" w:rsidRDefault="00BA7A7F" w:rsidP="007513DD">
            <w:pPr>
              <w:keepLines w:val="0"/>
              <w:numPr>
                <w:ilvl w:val="0"/>
                <w:numId w:val="108"/>
              </w:numPr>
              <w:spacing w:before="60" w:after="60" w:line="240" w:lineRule="auto"/>
              <w:jc w:val="left"/>
              <w:rPr>
                <w:rStyle w:val="ExampletextCharChar"/>
                <w:i w:val="0"/>
                <w:color w:val="auto"/>
              </w:rPr>
            </w:pPr>
            <w:r w:rsidRPr="007513DD">
              <w:rPr>
                <w:rStyle w:val="ExampletextCharChar"/>
                <w:i w:val="0"/>
                <w:color w:val="auto"/>
              </w:rPr>
              <w:t>Program 1 – Geoscientific and Spatial Information Services</w:t>
            </w:r>
          </w:p>
        </w:tc>
      </w:tr>
      <w:tr w:rsidR="00253274" w:rsidTr="007513DD">
        <w:trPr>
          <w:trHeight w:val="113"/>
        </w:trPr>
        <w:tc>
          <w:tcPr>
            <w:tcW w:w="7700" w:type="dxa"/>
            <w:tcBorders>
              <w:top w:val="dotted" w:sz="4" w:space="0" w:color="auto"/>
              <w:left w:val="single" w:sz="4" w:space="0" w:color="auto"/>
              <w:bottom w:val="single" w:sz="4" w:space="0" w:color="auto"/>
              <w:right w:val="single" w:sz="4" w:space="0" w:color="auto"/>
            </w:tcBorders>
            <w:hideMark/>
          </w:tcPr>
          <w:p w:rsidR="007513DD" w:rsidRPr="007513DD" w:rsidRDefault="00BA7A7F">
            <w:pPr>
              <w:spacing w:before="60" w:after="60" w:line="240" w:lineRule="auto"/>
              <w:rPr>
                <w:rStyle w:val="ExampletextCharChar"/>
                <w:b/>
                <w:i w:val="0"/>
                <w:color w:val="auto"/>
              </w:rPr>
            </w:pPr>
            <w:r w:rsidRPr="007513DD">
              <w:rPr>
                <w:rStyle w:val="ExampletextCharChar"/>
                <w:b/>
                <w:i w:val="0"/>
                <w:color w:val="auto"/>
              </w:rPr>
              <w:t>Contribution to Outcome 1 made by linked program</w:t>
            </w:r>
          </w:p>
          <w:p w:rsidR="007513DD" w:rsidRPr="007513DD" w:rsidRDefault="00BA7A7F">
            <w:pPr>
              <w:spacing w:before="60" w:after="60" w:line="240" w:lineRule="auto"/>
              <w:rPr>
                <w:rStyle w:val="ExampletextCharChar"/>
                <w:rFonts w:ascii="Calibri" w:hAnsi="Calibri"/>
                <w:i w:val="0"/>
                <w:color w:val="auto"/>
              </w:rPr>
            </w:pPr>
            <w:r w:rsidRPr="007513DD">
              <w:rPr>
                <w:rStyle w:val="ExampletextCharChar"/>
                <w:i w:val="0"/>
                <w:color w:val="auto"/>
              </w:rPr>
              <w:t>Geoscience Australia contributes to Outcome 1 as a partner in earth observation, marine and geological sciences.</w:t>
            </w:r>
          </w:p>
        </w:tc>
      </w:tr>
    </w:tbl>
    <w:p w:rsidR="00F04275" w:rsidRDefault="00F04275" w:rsidP="00896F83">
      <w:pPr>
        <w:pStyle w:val="NoSpacing"/>
        <w:rPr>
          <w:vanish/>
        </w:rPr>
      </w:pPr>
    </w:p>
    <w:p w:rsidR="008446A2" w:rsidRDefault="00BA7A7F" w:rsidP="008446A2">
      <w:pPr>
        <w:pStyle w:val="Heading5"/>
        <w:pageBreakBefore/>
        <w:spacing w:before="0" w:after="120" w:line="240" w:lineRule="auto"/>
        <w:rPr>
          <w:rFonts w:ascii="Arial" w:hAnsi="Arial" w:cs="Arial"/>
          <w:b/>
          <w:color w:val="000000"/>
        </w:rPr>
      </w:pPr>
      <w:bookmarkStart w:id="1245" w:name="RG_MARKER_12334"/>
      <w:r>
        <w:rPr>
          <w:rFonts w:ascii="Arial" w:hAnsi="Arial" w:cs="Arial"/>
          <w:b/>
          <w:color w:val="000000"/>
        </w:rPr>
        <w:t>Budgeted expenses for Outcome 1</w:t>
      </w:r>
      <w:bookmarkEnd w:id="1245"/>
    </w:p>
    <w:p w:rsidR="00BE58BD" w:rsidRPr="00BE58BD" w:rsidRDefault="00BA7A7F" w:rsidP="00BE58BD">
      <w:r w:rsidRPr="00BE58BD">
        <w:t>This</w:t>
      </w:r>
      <w:r>
        <w:t xml:space="preserve"> table shows how much CSIRO</w:t>
      </w:r>
      <w:r w:rsidRPr="00BE58BD">
        <w:t xml:space="preserve"> intends to spend (on an accrual basis) on achieving the outcome, broken down by program, </w:t>
      </w:r>
      <w:r>
        <w:t>as well as by d</w:t>
      </w:r>
      <w:r w:rsidRPr="00BE58BD">
        <w:t>epartmental funding sources.</w:t>
      </w:r>
    </w:p>
    <w:p w:rsidR="00BE58BD" w:rsidRDefault="00BA7A7F" w:rsidP="00BE58BD">
      <w:pPr>
        <w:spacing w:after="20" w:line="240" w:lineRule="auto"/>
        <w:rPr>
          <w:rFonts w:ascii="Arial" w:hAnsi="Arial" w:cs="Arial"/>
          <w:b/>
        </w:rPr>
      </w:pPr>
      <w:r w:rsidRPr="00BE58BD">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253274">
        <w:trPr>
          <w:trHeight w:val="638"/>
        </w:trPr>
        <w:tc>
          <w:tcPr>
            <w:tcW w:w="7725"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Outcome 1: </w:t>
            </w:r>
            <w:r>
              <w:rPr>
                <w:rFonts w:ascii="Arial" w:eastAsia="Arial" w:hAnsi="Arial" w:cs="Arial"/>
                <w:color w:val="000000"/>
                <w:sz w:val="16"/>
                <w:szCs w:val="22"/>
                <w:lang w:val="en-US" w:eastAsia="en-US"/>
              </w:rPr>
              <w:t>Innovative scientific and technology solutions to national challenges and opportunities to benefit industry, the environment and the community, through scientific research and capability development, services and advice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 Estimated actual</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2022­23 </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rsidR="00253274" w:rsidRDefault="00253274">
            <w:pPr>
              <w:keepLines w:val="0"/>
              <w:spacing w:after="0" w:line="240" w:lineRule="auto"/>
              <w:jc w:val="right"/>
              <w:rPr>
                <w:rFonts w:ascii="Arial" w:eastAsia="Arial" w:hAnsi="Arial" w:cs="Arial"/>
                <w:color w:val="000000"/>
                <w:sz w:val="16"/>
                <w:szCs w:val="22"/>
                <w:lang w:val="en-US" w:eastAsia="en-US"/>
              </w:rPr>
            </w:pP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 Science and Industrial Research and Infrastructure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dotted" w:sz="2" w:space="0" w:color="000000"/>
              <w:left w:val="nil"/>
              <w:bottom w:val="nil"/>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949,037</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991,289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985,625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899,332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907,477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44,340</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36,306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40,797</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39,402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37,294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sources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512,382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512,085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550,733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585,150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592,031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1,505,759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1,539,680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1,577,155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1,523,884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1,536,802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resource type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dotted" w:sz="2" w:space="0" w:color="000000"/>
              <w:left w:val="nil"/>
              <w:bottom w:val="nil"/>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949,037</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991,289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985,625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899,332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907,477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44,340</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36,306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40,797</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39,402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37,294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sources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512,382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512,085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550,733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585,150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592,031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1,505,759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1,539,680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1,577,155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1,523,884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1,536,802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0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4"/>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vertAlign w:val="superscript"/>
                <w:lang w:val="en-US" w:eastAsia="en-US"/>
              </w:rPr>
            </w:pP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5,100</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5,448</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bl>
    <w:p w:rsidR="00BA0680" w:rsidRDefault="00BA7A7F" w:rsidP="00BA0680">
      <w:pPr>
        <w:pStyle w:val="ListParagraph"/>
        <w:numPr>
          <w:ilvl w:val="0"/>
          <w:numId w:val="109"/>
        </w:numPr>
        <w:spacing w:after="0" w:line="240" w:lineRule="auto"/>
        <w:ind w:left="357" w:hanging="357"/>
        <w:jc w:val="left"/>
        <w:rPr>
          <w:rFonts w:ascii="Arial" w:eastAsia="Calibri" w:hAnsi="Arial" w:cs="Arial"/>
          <w:sz w:val="16"/>
          <w:szCs w:val="16"/>
        </w:rPr>
      </w:pPr>
      <w:r w:rsidRPr="00BA0680">
        <w:rPr>
          <w:rFonts w:ascii="Arial" w:eastAsia="Calibri" w:hAnsi="Arial" w:cs="Arial"/>
          <w:sz w:val="16"/>
          <w:szCs w:val="16"/>
        </w:rPr>
        <w:t>Expenses not requiring appropriation in the Budget year consists of approved operating losses.</w:t>
      </w:r>
    </w:p>
    <w:p w:rsidR="001E3D43" w:rsidRPr="001E3D43" w:rsidRDefault="00BA7A7F" w:rsidP="001E288C">
      <w:pPr>
        <w:keepLines w:val="0"/>
        <w:spacing w:before="40" w:after="0" w:line="240" w:lineRule="auto"/>
        <w:jc w:val="left"/>
        <w:rPr>
          <w:rFonts w:ascii="Arial" w:eastAsia="Calibri" w:hAnsi="Arial" w:cs="Arial"/>
          <w:sz w:val="16"/>
          <w:szCs w:val="16"/>
          <w:lang w:val="en-US" w:eastAsia="en-US"/>
        </w:rPr>
      </w:pPr>
      <w:r w:rsidRPr="001E3D43">
        <w:rPr>
          <w:rFonts w:ascii="Arial" w:eastAsia="Calibri" w:hAnsi="Arial" w:cs="Arial"/>
          <w:sz w:val="16"/>
          <w:szCs w:val="16"/>
          <w:lang w:val="en-US" w:eastAsia="en-US"/>
        </w:rPr>
        <w:t>Note: Departmental appropriation splits and totals are indicative estimates and may change in the course of the budget year as government priorities change.</w:t>
      </w:r>
    </w:p>
    <w:p w:rsidR="00F87385" w:rsidRPr="00316F41" w:rsidRDefault="00BA7A7F" w:rsidP="00316F41">
      <w:pPr>
        <w:keepLines w:val="0"/>
        <w:pageBreakBefore/>
        <w:spacing w:before="60" w:after="20" w:line="240" w:lineRule="auto"/>
        <w:jc w:val="left"/>
        <w:rPr>
          <w:rFonts w:ascii="Arial" w:eastAsia="Calibri" w:hAnsi="Arial" w:cs="Arial"/>
          <w:lang w:eastAsia="en-US"/>
        </w:rPr>
      </w:pPr>
      <w:bookmarkStart w:id="1246" w:name="RG_MARKER_12371"/>
      <w:r w:rsidRPr="00316F41">
        <w:rPr>
          <w:rFonts w:ascii="Arial" w:eastAsia="Calibri" w:hAnsi="Arial" w:cs="Arial"/>
          <w:b/>
          <w:lang w:eastAsia="en-US"/>
        </w:rPr>
        <w:t xml:space="preserve">Table 2.1.2: </w:t>
      </w:r>
      <w:bookmarkEnd w:id="1246"/>
      <w:r>
        <w:rPr>
          <w:rFonts w:ascii="Arial" w:eastAsia="Calibri" w:hAnsi="Arial" w:cs="Arial"/>
          <w:b/>
          <w:lang w:eastAsia="en-US"/>
        </w:rPr>
        <w:t>Program components for Outcome 1</w:t>
      </w:r>
    </w:p>
    <w:tbl>
      <w:tblPr>
        <w:tblStyle w:val="CDMRange1"/>
        <w:tblW w:w="7650" w:type="dxa"/>
        <w:tblLayout w:type="fixed"/>
        <w:tblLook w:val="0600" w:firstRow="0" w:lastRow="0" w:firstColumn="0" w:lastColumn="0" w:noHBand="1" w:noVBand="1"/>
      </w:tblPr>
      <w:tblGrid>
        <w:gridCol w:w="2850"/>
        <w:gridCol w:w="960"/>
        <w:gridCol w:w="960"/>
        <w:gridCol w:w="960"/>
        <w:gridCol w:w="960"/>
        <w:gridCol w:w="960"/>
      </w:tblGrid>
      <w:tr w:rsidR="00253274">
        <w:trPr>
          <w:trHeight w:hRule="exact" w:val="240"/>
        </w:trPr>
        <w:tc>
          <w:tcPr>
            <w:tcW w:w="7650" w:type="dxa"/>
            <w:gridSpan w:val="6"/>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eastAsia="en-US"/>
              </w:rPr>
            </w:pPr>
            <w:r>
              <w:rPr>
                <w:rFonts w:ascii="Arial" w:eastAsia="Arial" w:hAnsi="Arial" w:cs="Arial"/>
                <w:b/>
                <w:color w:val="000000"/>
                <w:sz w:val="16"/>
                <w:szCs w:val="22"/>
                <w:lang w:eastAsia="en-US"/>
              </w:rPr>
              <w:t>Program 1.1: Scientific and Industrial Research and Infrastructure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85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253274" w:rsidRDefault="00253274">
            <w:pPr>
              <w:keepLines w:val="0"/>
              <w:spacing w:after="0" w:line="240" w:lineRule="auto"/>
              <w:jc w:val="left"/>
              <w:rPr>
                <w:rFonts w:ascii="Arial" w:eastAsia="Arial" w:hAnsi="Arial" w:cs="Arial"/>
                <w:b/>
                <w:color w:val="000000"/>
                <w:sz w:val="16"/>
                <w:szCs w:val="22"/>
                <w:lang w:eastAsia="en-US"/>
              </w:rPr>
            </w:pP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2021­22 Estimated actual</w:t>
            </w:r>
          </w:p>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2022­23 </w:t>
            </w:r>
          </w:p>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Budget</w:t>
            </w:r>
          </w:p>
          <w:p w:rsidR="00253274" w:rsidRDefault="00253274">
            <w:pPr>
              <w:keepLines w:val="0"/>
              <w:spacing w:after="0" w:line="240" w:lineRule="auto"/>
              <w:jc w:val="right"/>
              <w:rPr>
                <w:rFonts w:ascii="Arial" w:eastAsia="Arial" w:hAnsi="Arial" w:cs="Arial"/>
                <w:color w:val="000000"/>
                <w:sz w:val="16"/>
                <w:szCs w:val="22"/>
                <w:lang w:eastAsia="en-US"/>
              </w:rPr>
            </w:pPr>
          </w:p>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2023­24 Forward estimate</w:t>
            </w:r>
          </w:p>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2024­25 Forward estimate</w:t>
            </w:r>
          </w:p>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2025­26 Forward estimate</w:t>
            </w:r>
          </w:p>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765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tcPr>
          <w:p w:rsidR="00253274" w:rsidRDefault="00BA7A7F">
            <w:pPr>
              <w:keepLines w:val="0"/>
              <w:spacing w:after="0" w:line="240" w:lineRule="auto"/>
              <w:jc w:val="left"/>
              <w:rPr>
                <w:rFonts w:ascii="Arial" w:eastAsia="Arial" w:hAnsi="Arial" w:cs="Arial"/>
                <w:i/>
                <w:color w:val="000000"/>
                <w:sz w:val="16"/>
                <w:szCs w:val="22"/>
                <w:lang w:eastAsia="en-US"/>
              </w:rPr>
            </w:pPr>
            <w:r>
              <w:rPr>
                <w:rFonts w:ascii="Arial" w:eastAsia="Arial" w:hAnsi="Arial" w:cs="Arial"/>
                <w:i/>
                <w:color w:val="000000"/>
                <w:sz w:val="16"/>
                <w:szCs w:val="22"/>
                <w:lang w:eastAsia="en-US"/>
              </w:rPr>
              <w:t>Program 1: Science and Industrial Research and Infrastructure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Annual departmental 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Research - Science</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789,719</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827,013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823,995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741,444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758,323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Research - National Facilities and</w:t>
            </w:r>
          </w:p>
          <w:p w:rsidR="00253274" w:rsidRDefault="00BA7A7F">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 Collections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159,318</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164,276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161,630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157,888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149,154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Revenues from other independent</w:t>
            </w:r>
          </w:p>
          <w:p w:rsidR="00253274" w:rsidRDefault="00BA7A7F">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 sources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512,382</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512,085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550,733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585,150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592,031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Expenses not requiring appropriation </w:t>
            </w:r>
          </w:p>
          <w:p w:rsidR="00253274" w:rsidRDefault="00BA7A7F">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  in the Budget year (a)</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44,340</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36,306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40,797</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39,402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37,294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eastAsia="en-US"/>
              </w:rPr>
            </w:pPr>
            <w:r>
              <w:rPr>
                <w:rFonts w:ascii="Arial" w:eastAsia="Arial" w:hAnsi="Arial" w:cs="Arial"/>
                <w:b/>
                <w:color w:val="000000"/>
                <w:sz w:val="16"/>
                <w:szCs w:val="22"/>
                <w:lang w:eastAsia="en-US"/>
              </w:rPr>
              <w:t xml:space="preserve">Total program expenses </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1,505,759</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1,539,680</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1,577,155</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1,523,884</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1,536,802</w:t>
            </w:r>
          </w:p>
        </w:tc>
      </w:tr>
    </w:tbl>
    <w:p w:rsidR="00F849DE" w:rsidRPr="00BD2472" w:rsidRDefault="00BA7A7F" w:rsidP="00BD2472">
      <w:pPr>
        <w:pStyle w:val="ListParagraph"/>
        <w:numPr>
          <w:ilvl w:val="0"/>
          <w:numId w:val="110"/>
        </w:numPr>
        <w:spacing w:after="0" w:line="240" w:lineRule="auto"/>
        <w:jc w:val="left"/>
        <w:rPr>
          <w:rStyle w:val="Hyperlink"/>
          <w:rFonts w:ascii="Arial" w:eastAsia="Calibri" w:hAnsi="Arial" w:cs="Arial"/>
          <w:sz w:val="16"/>
          <w:szCs w:val="16"/>
          <w:lang w:val="en-AU"/>
        </w:rPr>
      </w:pPr>
      <w:r w:rsidRPr="00BD2472">
        <w:rPr>
          <w:rStyle w:val="Hyperlink"/>
          <w:rFonts w:ascii="Arial" w:eastAsia="Calibri" w:hAnsi="Arial" w:cs="Arial"/>
          <w:sz w:val="16"/>
          <w:szCs w:val="16"/>
          <w:lang w:val="en-AU"/>
        </w:rPr>
        <w:t xml:space="preserve">Expenses not </w:t>
      </w:r>
      <w:r>
        <w:rPr>
          <w:rStyle w:val="Hyperlink"/>
          <w:rFonts w:ascii="Arial" w:eastAsia="Calibri" w:hAnsi="Arial" w:cs="Arial"/>
          <w:sz w:val="16"/>
          <w:szCs w:val="16"/>
          <w:lang w:val="en-AU"/>
        </w:rPr>
        <w:t>requiring appropriation in the B</w:t>
      </w:r>
      <w:r w:rsidRPr="00BD2472">
        <w:rPr>
          <w:rStyle w:val="Hyperlink"/>
          <w:rFonts w:ascii="Arial" w:eastAsia="Calibri" w:hAnsi="Arial" w:cs="Arial"/>
          <w:sz w:val="16"/>
          <w:szCs w:val="16"/>
          <w:lang w:val="en-AU"/>
        </w:rPr>
        <w:t>udget year consists of approved operating losses.</w:t>
      </w:r>
    </w:p>
    <w:p w:rsidR="00D86095" w:rsidRDefault="00BA7A7F" w:rsidP="00296479">
      <w:pPr>
        <w:pStyle w:val="TableHeading"/>
        <w:keepLines/>
        <w:pageBreakBefore/>
        <w:spacing w:before="0"/>
      </w:pPr>
      <w:bookmarkStart w:id="1247" w:name="RG_MARKER_12273"/>
      <w:r w:rsidRPr="002E3447">
        <w:t>Table 2.1</w:t>
      </w:r>
      <w:bookmarkEnd w:id="1247"/>
      <w:r>
        <w:t>.</w:t>
      </w:r>
      <w:r w:rsidR="00AE2B24">
        <w:t>3</w:t>
      </w:r>
      <w:r w:rsidRPr="002E3447">
        <w:t xml:space="preserve">: </w:t>
      </w:r>
      <w:r>
        <w:t xml:space="preserve">Performance measures for </w:t>
      </w:r>
      <w:r w:rsidRPr="002E3447">
        <w:t>Outcome 1</w:t>
      </w:r>
    </w:p>
    <w:p w:rsidR="00F225BE" w:rsidRDefault="00BA7A7F" w:rsidP="00F225BE">
      <w:r>
        <w:t>Table 2.1.3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53274">
        <w:trPr>
          <w:trHeight w:val="569"/>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F225BE" w:rsidRPr="00F225BE" w:rsidRDefault="00BA7A7F" w:rsidP="00F225BE">
            <w:pPr>
              <w:pStyle w:val="TableColumnHeadingLeft"/>
              <w:keepLines/>
              <w:jc w:val="both"/>
            </w:pPr>
            <w:r w:rsidRPr="00F225BE">
              <w:rPr>
                <w:rStyle w:val="TableHeadingChar"/>
                <w:b/>
                <w:color w:val="000000"/>
              </w:rPr>
              <w:t>Outcome 1 – Innovative scientific and technology solutions to address national challenges and opportunities to benefit industry, the environment and the community, through scientific research and capability development, services and advice</w:t>
            </w:r>
          </w:p>
        </w:tc>
      </w:tr>
      <w:tr w:rsidR="00253274">
        <w:trPr>
          <w:trHeight w:val="522"/>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F225BE" w:rsidRDefault="00BA7A7F">
            <w:pPr>
              <w:pStyle w:val="TableTextLeft"/>
              <w:rPr>
                <w:rFonts w:eastAsia="Arial"/>
                <w:b/>
              </w:rPr>
            </w:pPr>
            <w:r>
              <w:rPr>
                <w:rFonts w:eastAsia="Calibri"/>
                <w:b/>
              </w:rPr>
              <w:t xml:space="preserve">Program 1- </w:t>
            </w:r>
            <w:r>
              <w:rPr>
                <w:rFonts w:eastAsia="Arial"/>
                <w:b/>
              </w:rPr>
              <w:t xml:space="preserve">Scientific and Industrial Research and Infrastructure </w:t>
            </w:r>
          </w:p>
          <w:p w:rsidR="00F225BE" w:rsidRPr="005A09E0" w:rsidRDefault="00BA7A7F">
            <w:pPr>
              <w:tabs>
                <w:tab w:val="left" w:pos="709"/>
              </w:tabs>
              <w:spacing w:before="60" w:after="60" w:line="240" w:lineRule="auto"/>
              <w:jc w:val="left"/>
              <w:rPr>
                <w:rFonts w:ascii="Arial" w:hAnsi="Arial" w:cs="Arial"/>
                <w:sz w:val="16"/>
                <w:szCs w:val="16"/>
                <w:bdr w:val="none" w:sz="0" w:space="0" w:color="auto" w:frame="1"/>
                <w:lang w:val="en-US" w:eastAsia="en-US"/>
              </w:rPr>
            </w:pPr>
            <w:r w:rsidRPr="005A09E0">
              <w:rPr>
                <w:rFonts w:ascii="Arial" w:hAnsi="Arial" w:cs="Arial"/>
                <w:sz w:val="16"/>
                <w:szCs w:val="16"/>
                <w:bdr w:val="none" w:sz="0" w:space="0" w:color="auto" w:frame="1"/>
                <w:lang w:val="en-US" w:eastAsia="en-US"/>
              </w:rPr>
              <w:t xml:space="preserve">This program contributes to the outcome by providing scientific solutions, access to world-class research facilities and collections, and technical and advisory services to industry and government focusing on identifying pathways for adoption and delivery of impacts.  </w:t>
            </w:r>
          </w:p>
          <w:p w:rsidR="00F225BE" w:rsidRPr="005A09E0" w:rsidRDefault="00BA7A7F">
            <w:pPr>
              <w:tabs>
                <w:tab w:val="left" w:pos="709"/>
              </w:tabs>
              <w:spacing w:before="60" w:after="60" w:line="240" w:lineRule="auto"/>
              <w:jc w:val="left"/>
              <w:rPr>
                <w:rFonts w:ascii="Arial" w:hAnsi="Arial" w:cs="Arial"/>
                <w:sz w:val="16"/>
                <w:szCs w:val="16"/>
                <w:bdr w:val="none" w:sz="0" w:space="0" w:color="auto" w:frame="1"/>
                <w:lang w:val="en-US" w:eastAsia="en-US"/>
              </w:rPr>
            </w:pPr>
            <w:r w:rsidRPr="005A09E0">
              <w:rPr>
                <w:rFonts w:ascii="Arial" w:hAnsi="Arial" w:cs="Arial"/>
                <w:sz w:val="16"/>
                <w:szCs w:val="16"/>
                <w:bdr w:val="none" w:sz="0" w:space="0" w:color="auto" w:frame="1"/>
                <w:lang w:val="en-US" w:eastAsia="en-US"/>
              </w:rPr>
              <w:t xml:space="preserve">Research programs conduct scientific research aligned to the greatest challenges and encourage or facilitate the application and </w:t>
            </w:r>
            <w:r w:rsidRPr="005A09E0">
              <w:rPr>
                <w:rFonts w:ascii="Arial" w:hAnsi="Arial" w:cs="Arial"/>
                <w:sz w:val="16"/>
                <w:szCs w:val="16"/>
                <w:bdr w:val="none" w:sz="0" w:space="0" w:color="auto" w:frame="1"/>
                <w:lang w:eastAsia="en-US"/>
              </w:rPr>
              <w:t>utilisation</w:t>
            </w:r>
            <w:r w:rsidRPr="005A09E0">
              <w:rPr>
                <w:rFonts w:ascii="Arial" w:hAnsi="Arial" w:cs="Arial"/>
                <w:sz w:val="16"/>
                <w:szCs w:val="16"/>
                <w:bdr w:val="none" w:sz="0" w:space="0" w:color="auto" w:frame="1"/>
                <w:lang w:val="en-US" w:eastAsia="en-US"/>
              </w:rPr>
              <w:t xml:space="preserve"> of results generated from collaborative solutions. The approach is driven by establishing collaborations and multidisciplinary research partnerships (with public and private sector </w:t>
            </w:r>
            <w:r w:rsidRPr="005A09E0">
              <w:rPr>
                <w:rFonts w:ascii="Arial" w:hAnsi="Arial" w:cs="Arial"/>
                <w:sz w:val="16"/>
                <w:szCs w:val="16"/>
                <w:bdr w:val="none" w:sz="0" w:space="0" w:color="auto" w:frame="1"/>
                <w:lang w:eastAsia="en-US"/>
              </w:rPr>
              <w:t>organisations</w:t>
            </w:r>
            <w:r w:rsidRPr="005A09E0">
              <w:rPr>
                <w:rFonts w:ascii="Arial" w:hAnsi="Arial" w:cs="Arial"/>
                <w:sz w:val="16"/>
                <w:szCs w:val="16"/>
                <w:bdr w:val="none" w:sz="0" w:space="0" w:color="auto" w:frame="1"/>
                <w:lang w:val="en-US" w:eastAsia="en-US"/>
              </w:rPr>
              <w:t>, other publicly funded research agencies, universities and schools) to integrate the best solution for CSIRO’s customers. Underpinned by science excellence and world-class talent, research programs also invest in frontier and cross-cutting science that reinvents and creates new industries for Australia, accelerating the scale and pace of adoption, while also building the next generation of talent.</w:t>
            </w:r>
          </w:p>
          <w:p w:rsidR="00F225BE" w:rsidRPr="005A09E0" w:rsidRDefault="00BA7A7F">
            <w:pPr>
              <w:tabs>
                <w:tab w:val="left" w:pos="709"/>
              </w:tabs>
              <w:spacing w:before="60" w:after="60" w:line="240" w:lineRule="auto"/>
              <w:jc w:val="left"/>
              <w:rPr>
                <w:rFonts w:ascii="Arial" w:hAnsi="Arial" w:cs="Arial"/>
                <w:sz w:val="16"/>
                <w:szCs w:val="16"/>
                <w:bdr w:val="none" w:sz="0" w:space="0" w:color="auto" w:frame="1"/>
                <w:lang w:val="en-US" w:eastAsia="en-US"/>
              </w:rPr>
            </w:pPr>
            <w:r w:rsidRPr="005A09E0">
              <w:rPr>
                <w:rFonts w:ascii="Arial" w:hAnsi="Arial" w:cs="Arial"/>
                <w:sz w:val="16"/>
                <w:szCs w:val="16"/>
                <w:bdr w:val="none" w:sz="0" w:space="0" w:color="auto" w:frame="1"/>
                <w:lang w:val="en-US" w:eastAsia="en-US"/>
              </w:rPr>
              <w:t>CSIRO hosts national research facilities and collections on behalf of the scientific community to assist with the delivery of research. This research infrastructure is available for use by the Australian and international research communities and are accessible to industry.</w:t>
            </w:r>
          </w:p>
          <w:p w:rsidR="00F225BE" w:rsidRDefault="00BA7A7F">
            <w:pPr>
              <w:pStyle w:val="TableTextLeft"/>
              <w:spacing w:before="120" w:after="120"/>
              <w:rPr>
                <w:rFonts w:eastAsia="Calibri" w:cs="Times New Roman"/>
                <w:szCs w:val="18"/>
                <w:lang w:val="en-AU" w:eastAsia="en-AU"/>
              </w:rPr>
            </w:pPr>
            <w:r w:rsidRPr="005A09E0">
              <w:rPr>
                <w:rFonts w:eastAsia="Calibri"/>
                <w:sz w:val="16"/>
                <w:szCs w:val="16"/>
                <w:bdr w:val="none" w:sz="0" w:space="0" w:color="auto" w:frame="1"/>
              </w:rPr>
              <w:t xml:space="preserve">Technical, educational and advisory services are also provided to industry, government and the community, which builds and supports capacity to adopt research and innovations, as well as STEM education and training across the national system. In addition, strategic investments are made in scientific research that addresses issues of national priority for Australia through a variety of mechanisms, such as the Science and Industry Endowment Fund (SIEF - established by Commonwealth legislation, the </w:t>
            </w:r>
            <w:r w:rsidRPr="005A09E0">
              <w:rPr>
                <w:rFonts w:eastAsia="Calibri"/>
                <w:i/>
                <w:sz w:val="16"/>
                <w:szCs w:val="16"/>
                <w:bdr w:val="none" w:sz="0" w:space="0" w:color="auto" w:frame="1"/>
              </w:rPr>
              <w:t>Science and Industry Endowment Act 1926</w:t>
            </w:r>
            <w:r w:rsidRPr="005A09E0">
              <w:rPr>
                <w:rFonts w:eastAsia="Calibri"/>
                <w:sz w:val="16"/>
                <w:szCs w:val="16"/>
                <w:bdr w:val="none" w:sz="0" w:space="0" w:color="auto" w:frame="1"/>
              </w:rPr>
              <w:t>), for the purpose of funding research activities, commercialisation of technologies and assistance to industry through research collaboration and capacity building.</w:t>
            </w:r>
          </w:p>
        </w:tc>
      </w:tr>
      <w:tr w:rsidR="00253274">
        <w:trPr>
          <w:trHeight w:val="384"/>
        </w:trPr>
        <w:tc>
          <w:tcPr>
            <w:tcW w:w="1560" w:type="dxa"/>
            <w:tcBorders>
              <w:top w:val="single" w:sz="4" w:space="0" w:color="auto"/>
              <w:left w:val="single" w:sz="4" w:space="0" w:color="auto"/>
              <w:bottom w:val="double" w:sz="4" w:space="0" w:color="auto"/>
              <w:right w:val="single" w:sz="4" w:space="0" w:color="auto"/>
            </w:tcBorders>
            <w:hideMark/>
          </w:tcPr>
          <w:p w:rsidR="00F225BE" w:rsidRDefault="00BA7A7F">
            <w:pPr>
              <w:tabs>
                <w:tab w:val="left" w:pos="709"/>
              </w:tabs>
              <w:spacing w:before="60"/>
              <w:rPr>
                <w:rFonts w:ascii="Arial" w:hAnsi="Arial" w:cs="Arial"/>
                <w:b/>
                <w:sz w:val="16"/>
                <w:szCs w:val="16"/>
              </w:rPr>
            </w:pPr>
            <w:r>
              <w:rPr>
                <w:rFonts w:ascii="Arial" w:hAnsi="Arial" w:cs="Arial"/>
                <w:b/>
                <w:sz w:val="16"/>
                <w:szCs w:val="16"/>
              </w:rPr>
              <w:t>Key Activities</w:t>
            </w:r>
          </w:p>
        </w:tc>
        <w:tc>
          <w:tcPr>
            <w:tcW w:w="6236" w:type="dxa"/>
            <w:gridSpan w:val="2"/>
            <w:tcBorders>
              <w:top w:val="single" w:sz="4" w:space="0" w:color="auto"/>
              <w:left w:val="single" w:sz="4" w:space="0" w:color="auto"/>
              <w:bottom w:val="double" w:sz="4" w:space="0" w:color="auto"/>
              <w:right w:val="single" w:sz="4" w:space="0" w:color="auto"/>
            </w:tcBorders>
            <w:hideMark/>
          </w:tcPr>
          <w:p w:rsidR="00F225BE" w:rsidRDefault="00BA7A7F">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CSIRO delivers Program 1 by:</w:t>
            </w:r>
          </w:p>
          <w:p w:rsidR="00F225BE" w:rsidRDefault="00BA7A7F" w:rsidP="00F225BE">
            <w:pPr>
              <w:pStyle w:val="ListParagraph"/>
              <w:keepLines/>
              <w:numPr>
                <w:ilvl w:val="0"/>
                <w:numId w:val="111"/>
              </w:numPr>
              <w:tabs>
                <w:tab w:val="left" w:pos="709"/>
              </w:tabs>
              <w:spacing w:before="60" w:after="60" w:line="240" w:lineRule="auto"/>
              <w:ind w:left="357" w:hanging="357"/>
              <w:jc w:val="left"/>
              <w:rPr>
                <w:rFonts w:eastAsia="Times New Roman" w:cs="Arial"/>
                <w:sz w:val="16"/>
                <w:szCs w:val="16"/>
                <w:bdr w:val="none" w:sz="0" w:space="0" w:color="auto" w:frame="1"/>
              </w:rPr>
            </w:pPr>
            <w:r>
              <w:rPr>
                <w:rFonts w:ascii="Arial" w:eastAsia="Times New Roman" w:hAnsi="Arial" w:cs="Arial"/>
                <w:sz w:val="16"/>
                <w:szCs w:val="16"/>
                <w:bdr w:val="none" w:sz="0" w:space="0" w:color="auto" w:frame="1"/>
                <w:lang w:val="en-AU"/>
              </w:rPr>
              <w:t>Providing advice and solutions that inform and protect society and the environment, help industry competitiveness, and improve the quality of goods and services for industry and consumers.</w:t>
            </w:r>
          </w:p>
          <w:p w:rsidR="00F225BE" w:rsidRDefault="00BA7A7F" w:rsidP="00F225BE">
            <w:pPr>
              <w:pStyle w:val="ListParagraph"/>
              <w:keepLines/>
              <w:numPr>
                <w:ilvl w:val="0"/>
                <w:numId w:val="111"/>
              </w:numPr>
              <w:tabs>
                <w:tab w:val="left" w:pos="709"/>
              </w:tabs>
              <w:spacing w:before="60" w:after="60" w:line="240" w:lineRule="auto"/>
              <w:ind w:left="357" w:hanging="357"/>
              <w:jc w:val="left"/>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Providing products, technical and advisory services to industry and government.</w:t>
            </w:r>
          </w:p>
          <w:p w:rsidR="00F225BE" w:rsidRDefault="00BA7A7F" w:rsidP="00F225BE">
            <w:pPr>
              <w:pStyle w:val="ListParagraph"/>
              <w:keepLines/>
              <w:numPr>
                <w:ilvl w:val="0"/>
                <w:numId w:val="111"/>
              </w:numPr>
              <w:tabs>
                <w:tab w:val="left" w:pos="709"/>
              </w:tabs>
              <w:spacing w:before="60" w:after="60" w:line="240" w:lineRule="auto"/>
              <w:ind w:left="357" w:hanging="357"/>
              <w:jc w:val="left"/>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Managing and operating the national facilities including the Australian Centre for Disease Preparedness, Australia Telescope National Facility, Marine National Facility and Pawsey Supercomputing Centre.</w:t>
            </w:r>
          </w:p>
          <w:p w:rsidR="00F225BE" w:rsidRDefault="00BA7A7F" w:rsidP="00F225BE">
            <w:pPr>
              <w:pStyle w:val="ListParagraph"/>
              <w:keepLines/>
              <w:numPr>
                <w:ilvl w:val="0"/>
                <w:numId w:val="111"/>
              </w:numPr>
              <w:tabs>
                <w:tab w:val="left" w:pos="709"/>
              </w:tabs>
              <w:spacing w:before="60" w:after="60" w:line="240" w:lineRule="auto"/>
              <w:ind w:left="357" w:hanging="357"/>
              <w:jc w:val="left"/>
              <w:rPr>
                <w:rFonts w:eastAsia="Times New Roman" w:cs="Arial"/>
                <w:i/>
                <w:sz w:val="16"/>
                <w:szCs w:val="16"/>
                <w:lang w:val="en-AU"/>
              </w:rPr>
            </w:pPr>
            <w:r>
              <w:rPr>
                <w:rFonts w:ascii="Arial" w:eastAsia="Times New Roman" w:hAnsi="Arial" w:cs="Arial"/>
                <w:sz w:val="16"/>
                <w:szCs w:val="16"/>
                <w:bdr w:val="none" w:sz="0" w:space="0" w:color="auto" w:frame="1"/>
                <w:lang w:val="en-AU"/>
              </w:rPr>
              <w:t>Managing and operating the Australian national research collections including the Australian National Fish Collection, Australian National Insect Collection, Australian National Herbarium, Australian National Wildlife Collection, National Tree Seed Collection, National Algae Culture Collection, and the Atlas of Living Australia, the portal to the collections, providing free online access.</w:t>
            </w:r>
          </w:p>
          <w:p w:rsidR="00F225BE" w:rsidRDefault="00BA7A7F" w:rsidP="00F225BE">
            <w:pPr>
              <w:pStyle w:val="ListParagraph"/>
              <w:keepLines/>
              <w:numPr>
                <w:ilvl w:val="0"/>
                <w:numId w:val="111"/>
              </w:numPr>
              <w:tabs>
                <w:tab w:val="left" w:pos="709"/>
              </w:tabs>
              <w:spacing w:before="60" w:after="60" w:line="240" w:lineRule="auto"/>
              <w:ind w:left="357" w:hanging="357"/>
              <w:jc w:val="left"/>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Ensuring access, both nationally and internationally, to the national facilities and collections for the research community.</w:t>
            </w:r>
          </w:p>
          <w:p w:rsidR="00F225BE" w:rsidRDefault="00BA7A7F" w:rsidP="00F225BE">
            <w:pPr>
              <w:pStyle w:val="ListParagraph"/>
              <w:keepLines/>
              <w:numPr>
                <w:ilvl w:val="0"/>
                <w:numId w:val="111"/>
              </w:numPr>
              <w:tabs>
                <w:tab w:val="left" w:pos="709"/>
              </w:tabs>
              <w:spacing w:before="60" w:after="60" w:line="240" w:lineRule="auto"/>
              <w:ind w:left="357" w:hanging="357"/>
              <w:jc w:val="left"/>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Collaborating with businesses (including large corporations and small and medium enterprises), public sector organisations (Federal, State &amp; Local) and other publicly funded research agencies (PFRAs), universities, Cooperative Research Centres and Research Development Corporations.</w:t>
            </w:r>
          </w:p>
          <w:p w:rsidR="00F225BE" w:rsidRDefault="00BA7A7F" w:rsidP="00F225BE">
            <w:pPr>
              <w:pStyle w:val="ListParagraph"/>
              <w:keepLines/>
              <w:numPr>
                <w:ilvl w:val="0"/>
                <w:numId w:val="111"/>
              </w:numPr>
              <w:tabs>
                <w:tab w:val="left" w:pos="709"/>
              </w:tabs>
              <w:spacing w:before="60" w:after="60" w:line="240" w:lineRule="auto"/>
              <w:ind w:left="357" w:hanging="357"/>
              <w:jc w:val="left"/>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 xml:space="preserve">Investing in proposals from universities, PFRAs and their partners to bring forward the commercialisation of research-based solutions aligned with the Government’s Science and Research Priorities. </w:t>
            </w:r>
          </w:p>
          <w:p w:rsidR="00F225BE" w:rsidRDefault="00BA7A7F" w:rsidP="00F225BE">
            <w:pPr>
              <w:pStyle w:val="ListParagraph"/>
              <w:keepLines/>
              <w:numPr>
                <w:ilvl w:val="0"/>
                <w:numId w:val="111"/>
              </w:numPr>
              <w:tabs>
                <w:tab w:val="left" w:pos="709"/>
              </w:tabs>
              <w:spacing w:before="60" w:after="60" w:line="240" w:lineRule="auto"/>
              <w:ind w:left="357" w:hanging="357"/>
              <w:jc w:val="left"/>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Administering the Innovation Fund to support start-up businesses and a culture of innovation and entrepreneurship in Australia.</w:t>
            </w:r>
          </w:p>
          <w:p w:rsidR="00F225BE" w:rsidRDefault="00BA7A7F" w:rsidP="00F225BE">
            <w:pPr>
              <w:pStyle w:val="ListParagraph"/>
              <w:keepLines/>
              <w:numPr>
                <w:ilvl w:val="0"/>
                <w:numId w:val="111"/>
              </w:numPr>
              <w:tabs>
                <w:tab w:val="left" w:pos="709"/>
              </w:tabs>
              <w:spacing w:before="60" w:after="60" w:line="240" w:lineRule="auto"/>
              <w:ind w:left="357" w:hanging="357"/>
              <w:jc w:val="left"/>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Education and outreach activities to develop increased knowledge of science and its applications for students, teachers and the Australian community.</w:t>
            </w:r>
          </w:p>
          <w:p w:rsidR="00F225BE" w:rsidRDefault="00BA7A7F" w:rsidP="00F225BE">
            <w:pPr>
              <w:pStyle w:val="ListParagraph"/>
              <w:keepLines/>
              <w:numPr>
                <w:ilvl w:val="0"/>
                <w:numId w:val="111"/>
              </w:numPr>
              <w:tabs>
                <w:tab w:val="left" w:pos="709"/>
              </w:tabs>
              <w:spacing w:before="60" w:after="60" w:line="240" w:lineRule="auto"/>
              <w:ind w:left="357" w:hanging="357"/>
              <w:jc w:val="left"/>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Investing in science that contributes to Australia’s sustainable future, progresses experimental research and technology development, supports substantial scale research activities in the field of information and communications technology, and programs that attract students into STEM at school, higher and vocational education.</w:t>
            </w:r>
          </w:p>
          <w:p w:rsidR="00F225BE" w:rsidRDefault="00BA7A7F" w:rsidP="00F225BE">
            <w:pPr>
              <w:pStyle w:val="ListParagraph"/>
              <w:keepLines/>
              <w:numPr>
                <w:ilvl w:val="0"/>
                <w:numId w:val="111"/>
              </w:numPr>
              <w:tabs>
                <w:tab w:val="left" w:pos="709"/>
              </w:tabs>
              <w:spacing w:before="60" w:after="60" w:line="240" w:lineRule="auto"/>
              <w:ind w:left="357" w:hanging="357"/>
              <w:jc w:val="left"/>
              <w:rPr>
                <w:rFonts w:eastAsia="Times New Roman" w:cs="Arial"/>
                <w:sz w:val="16"/>
                <w:szCs w:val="16"/>
                <w:bdr w:val="none" w:sz="0" w:space="0" w:color="auto" w:frame="1"/>
                <w:lang w:val="en-AU"/>
              </w:rPr>
            </w:pPr>
            <w:r>
              <w:rPr>
                <w:rFonts w:ascii="Arial" w:eastAsia="Times New Roman" w:hAnsi="Arial" w:cs="Arial"/>
                <w:sz w:val="16"/>
                <w:szCs w:val="16"/>
                <w:bdr w:val="none" w:sz="0" w:space="0" w:color="auto" w:frame="1"/>
                <w:lang w:val="en-AU"/>
              </w:rPr>
              <w:t>Investing SIEF funds in programs aligned with published strategic objectives that address national challenges and contribute to Australia’s sustainable future.</w:t>
            </w:r>
          </w:p>
        </w:tc>
      </w:tr>
      <w:tr w:rsidR="00253274">
        <w:trPr>
          <w:trHeight w:val="258"/>
        </w:trPr>
        <w:tc>
          <w:tcPr>
            <w:tcW w:w="1560" w:type="dxa"/>
            <w:tcBorders>
              <w:top w:val="double" w:sz="4" w:space="0" w:color="auto"/>
              <w:left w:val="single" w:sz="4" w:space="0" w:color="auto"/>
              <w:bottom w:val="single" w:sz="4" w:space="0" w:color="auto"/>
              <w:right w:val="single" w:sz="4" w:space="0" w:color="auto"/>
            </w:tcBorders>
          </w:tcPr>
          <w:p w:rsidR="00F225BE" w:rsidRDefault="00BA7A7F">
            <w:pPr>
              <w:pStyle w:val="TableTextBase"/>
              <w:rPr>
                <w:rFonts w:eastAsia="Calibri"/>
                <w:b/>
                <w:sz w:val="16"/>
                <w:szCs w:val="16"/>
              </w:rPr>
            </w:pPr>
            <w:r>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F225BE" w:rsidRDefault="00BA7A7F">
            <w:pPr>
              <w:pStyle w:val="TableTextBase"/>
              <w:rPr>
                <w:rFonts w:eastAsia="Calibri"/>
                <w:b/>
                <w:sz w:val="16"/>
                <w:szCs w:val="16"/>
              </w:rPr>
            </w:pPr>
            <w:r>
              <w:rPr>
                <w:rFonts w:eastAsia="Calibri"/>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F225BE" w:rsidRDefault="00BA7A7F">
            <w:pPr>
              <w:pStyle w:val="TableTextBase"/>
              <w:rPr>
                <w:rFonts w:eastAsia="Calibri"/>
                <w:b/>
                <w:sz w:val="16"/>
                <w:szCs w:val="16"/>
              </w:rPr>
            </w:pPr>
            <w:r>
              <w:rPr>
                <w:rFonts w:eastAsia="Calibri"/>
                <w:b/>
                <w:sz w:val="16"/>
                <w:szCs w:val="16"/>
              </w:rPr>
              <w:t>Expected Performance Results</w:t>
            </w:r>
          </w:p>
        </w:tc>
      </w:tr>
      <w:tr w:rsidR="00253274" w:rsidTr="00E8409D">
        <w:trPr>
          <w:trHeight w:val="642"/>
        </w:trPr>
        <w:tc>
          <w:tcPr>
            <w:tcW w:w="1560" w:type="dxa"/>
            <w:vMerge w:val="restart"/>
            <w:tcBorders>
              <w:top w:val="single" w:sz="4" w:space="0" w:color="auto"/>
              <w:left w:val="single" w:sz="4" w:space="0" w:color="auto"/>
              <w:right w:val="single" w:sz="4" w:space="0" w:color="auto"/>
            </w:tcBorders>
            <w:hideMark/>
          </w:tcPr>
          <w:p w:rsidR="006C1027" w:rsidRDefault="00BA7A7F">
            <w:pPr>
              <w:pStyle w:val="TableTextBase"/>
              <w:rPr>
                <w:rFonts w:eastAsia="Calibri"/>
                <w:sz w:val="16"/>
                <w:szCs w:val="16"/>
              </w:rPr>
            </w:pPr>
            <w:r>
              <w:rPr>
                <w:rFonts w:eastAsia="Calibri"/>
                <w:sz w:val="16"/>
                <w:szCs w:val="16"/>
              </w:rPr>
              <w:t xml:space="preserve">Current year </w:t>
            </w:r>
          </w:p>
          <w:p w:rsidR="006C1027" w:rsidRDefault="00BA7A7F">
            <w:pPr>
              <w:pStyle w:val="TableTextBase"/>
              <w:rPr>
                <w:rFonts w:eastAsia="Calibri"/>
                <w:sz w:val="16"/>
                <w:szCs w:val="16"/>
              </w:rPr>
            </w:pPr>
            <w:r>
              <w:rPr>
                <w:rFonts w:eastAsia="Calibri"/>
                <w:sz w:val="16"/>
                <w:szCs w:val="16"/>
              </w:rPr>
              <w:t>2021-22</w:t>
            </w:r>
          </w:p>
        </w:tc>
        <w:tc>
          <w:tcPr>
            <w:tcW w:w="3118" w:type="dxa"/>
            <w:tcBorders>
              <w:top w:val="single" w:sz="4" w:space="0" w:color="auto"/>
              <w:left w:val="single" w:sz="4" w:space="0" w:color="auto"/>
              <w:bottom w:val="single" w:sz="4" w:space="0" w:color="auto"/>
              <w:right w:val="single" w:sz="4" w:space="0" w:color="auto"/>
            </w:tcBorders>
            <w:hideMark/>
          </w:tcPr>
          <w:p w:rsidR="006C1027" w:rsidRDefault="00BA7A7F">
            <w:pPr>
              <w:pStyle w:val="TableTextBase"/>
              <w:rPr>
                <w:rFonts w:eastAsia="Calibri"/>
                <w:i/>
                <w:sz w:val="16"/>
                <w:szCs w:val="16"/>
              </w:rPr>
            </w:pPr>
            <w:r>
              <w:rPr>
                <w:rFonts w:eastAsia="Calibri"/>
                <w:sz w:val="16"/>
                <w:szCs w:val="16"/>
                <w:bdr w:val="none" w:sz="0" w:space="0" w:color="auto" w:frame="1"/>
              </w:rPr>
              <w:t>Demonstrated value of benefits underpinned by an increasing annual portfolio of externally validated impact case studies capturing triple bottom line impacts</w:t>
            </w:r>
          </w:p>
        </w:tc>
        <w:tc>
          <w:tcPr>
            <w:tcW w:w="3118" w:type="dxa"/>
            <w:tcBorders>
              <w:top w:val="single" w:sz="4" w:space="0" w:color="auto"/>
              <w:left w:val="single" w:sz="4" w:space="0" w:color="auto"/>
              <w:bottom w:val="single" w:sz="4" w:space="0" w:color="auto"/>
              <w:right w:val="single" w:sz="4" w:space="0" w:color="auto"/>
            </w:tcBorders>
            <w:hideMark/>
          </w:tcPr>
          <w:p w:rsidR="006C1027" w:rsidRDefault="00BA7A7F" w:rsidP="00F225BE">
            <w:pPr>
              <w:pStyle w:val="ListParagraph"/>
              <w:keepLines/>
              <w:numPr>
                <w:ilvl w:val="0"/>
                <w:numId w:val="112"/>
              </w:numPr>
              <w:tabs>
                <w:tab w:val="left" w:pos="709"/>
              </w:tabs>
              <w:spacing w:before="60" w:after="60" w:line="240" w:lineRule="auto"/>
              <w:ind w:left="357" w:hanging="357"/>
              <w:jc w:val="left"/>
              <w:rPr>
                <w:rFonts w:eastAsia="Times New Roman" w:cs="Arial"/>
                <w:i/>
                <w:sz w:val="16"/>
                <w:szCs w:val="16"/>
                <w:lang w:val="en-AU"/>
              </w:rPr>
            </w:pPr>
            <w:r>
              <w:rPr>
                <w:rFonts w:ascii="Arial" w:eastAsia="Times New Roman" w:hAnsi="Arial" w:cs="Arial"/>
                <w:iCs/>
                <w:spacing w:val="-2"/>
                <w:sz w:val="16"/>
                <w:szCs w:val="16"/>
                <w:bdr w:val="none" w:sz="0" w:space="0" w:color="auto" w:frame="1"/>
                <w:lang w:val="en-AU"/>
              </w:rPr>
              <w:t>Evidence of maintained or increased impact demonstrated by a minimum of 20 externally validated case studies.</w:t>
            </w:r>
          </w:p>
        </w:tc>
      </w:tr>
      <w:tr w:rsidR="00253274" w:rsidTr="00E8409D">
        <w:trPr>
          <w:trHeight w:val="642"/>
        </w:trPr>
        <w:tc>
          <w:tcPr>
            <w:tcW w:w="1560" w:type="dxa"/>
            <w:vMerge/>
            <w:tcBorders>
              <w:left w:val="single" w:sz="4" w:space="0" w:color="auto"/>
              <w:bottom w:val="single" w:sz="4" w:space="0" w:color="auto"/>
              <w:right w:val="single" w:sz="4" w:space="0" w:color="auto"/>
            </w:tcBorders>
          </w:tcPr>
          <w:p w:rsidR="006C1027" w:rsidRDefault="006C1027">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6C1027" w:rsidRDefault="00BA7A7F">
            <w:pPr>
              <w:pStyle w:val="TableTextBase"/>
              <w:rPr>
                <w:rFonts w:eastAsia="Calibri"/>
                <w:i/>
                <w:sz w:val="16"/>
                <w:szCs w:val="16"/>
              </w:rPr>
            </w:pPr>
            <w:r>
              <w:rPr>
                <w:rFonts w:eastAsia="Arial"/>
                <w:sz w:val="16"/>
                <w:szCs w:val="16"/>
                <w:bdr w:val="none" w:sz="0" w:space="0" w:color="auto" w:frame="1"/>
              </w:rPr>
              <w:t>Use of the national facilities and collections as measured through: successful astronomical observations, supercomputer core-hour use, outward loans of collections, and successful marine research days delivered.</w:t>
            </w:r>
          </w:p>
        </w:tc>
        <w:tc>
          <w:tcPr>
            <w:tcW w:w="3118" w:type="dxa"/>
            <w:tcBorders>
              <w:top w:val="single" w:sz="4" w:space="0" w:color="auto"/>
              <w:left w:val="single" w:sz="4" w:space="0" w:color="auto"/>
              <w:bottom w:val="single" w:sz="4" w:space="0" w:color="auto"/>
              <w:right w:val="single" w:sz="4" w:space="0" w:color="auto"/>
            </w:tcBorders>
            <w:hideMark/>
          </w:tcPr>
          <w:p w:rsidR="006C1027" w:rsidRDefault="00BA7A7F" w:rsidP="00F225BE">
            <w:pPr>
              <w:pStyle w:val="ListParagraph"/>
              <w:keepLines/>
              <w:numPr>
                <w:ilvl w:val="0"/>
                <w:numId w:val="112"/>
              </w:numPr>
              <w:tabs>
                <w:tab w:val="left" w:pos="709"/>
              </w:tabs>
              <w:spacing w:before="60" w:after="60" w:line="240" w:lineRule="auto"/>
              <w:ind w:left="357" w:hanging="357"/>
              <w:jc w:val="left"/>
              <w:rPr>
                <w:rFonts w:eastAsia="Times New Roman"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Minimum of 70% successful astronomical observations.</w:t>
            </w:r>
          </w:p>
          <w:p w:rsidR="006C1027" w:rsidRDefault="00BA7A7F" w:rsidP="00F225BE">
            <w:pPr>
              <w:pStyle w:val="ListParagraph"/>
              <w:keepLines/>
              <w:numPr>
                <w:ilvl w:val="0"/>
                <w:numId w:val="112"/>
              </w:numPr>
              <w:tabs>
                <w:tab w:val="left" w:pos="709"/>
              </w:tabs>
              <w:spacing w:before="60" w:after="60" w:line="240" w:lineRule="auto"/>
              <w:ind w:left="357" w:hanging="357"/>
              <w:jc w:val="left"/>
              <w:rPr>
                <w:rFonts w:eastAsia="Times New Roman"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90% core hours on Pawsey supercomputer facility.</w:t>
            </w:r>
          </w:p>
          <w:p w:rsidR="006C1027" w:rsidRDefault="00BA7A7F" w:rsidP="00F225BE">
            <w:pPr>
              <w:pStyle w:val="ListParagraph"/>
              <w:keepLines/>
              <w:numPr>
                <w:ilvl w:val="0"/>
                <w:numId w:val="112"/>
              </w:numPr>
              <w:tabs>
                <w:tab w:val="left" w:pos="709"/>
              </w:tabs>
              <w:spacing w:before="60" w:after="60" w:line="240" w:lineRule="auto"/>
              <w:ind w:left="357" w:hanging="357"/>
              <w:jc w:val="left"/>
              <w:rPr>
                <w:rFonts w:eastAsia="Times New Roman"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70% outward loans of collections (averaged over 5 years).</w:t>
            </w:r>
          </w:p>
          <w:p w:rsidR="006C1027" w:rsidRDefault="00BA7A7F" w:rsidP="00F225BE">
            <w:pPr>
              <w:pStyle w:val="ListParagraph"/>
              <w:keepLines/>
              <w:numPr>
                <w:ilvl w:val="0"/>
                <w:numId w:val="112"/>
              </w:numPr>
              <w:tabs>
                <w:tab w:val="left" w:pos="709"/>
              </w:tabs>
              <w:spacing w:before="60" w:after="60" w:line="240" w:lineRule="auto"/>
              <w:ind w:left="357" w:hanging="357"/>
              <w:jc w:val="left"/>
              <w:rPr>
                <w:rFonts w:eastAsia="Times New Roman"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Minimum of 90% successful research days delivered on Marine National Facilities, subject to any COVID-19 restrictions.</w:t>
            </w:r>
          </w:p>
        </w:tc>
      </w:tr>
      <w:tr w:rsidR="00253274">
        <w:trPr>
          <w:trHeight w:val="100"/>
        </w:trPr>
        <w:tc>
          <w:tcPr>
            <w:tcW w:w="1560" w:type="dxa"/>
            <w:tcBorders>
              <w:top w:val="single" w:sz="4" w:space="0" w:color="auto"/>
              <w:left w:val="single" w:sz="4" w:space="0" w:color="auto"/>
              <w:bottom w:val="single" w:sz="4" w:space="0" w:color="auto"/>
              <w:right w:val="single" w:sz="4" w:space="0" w:color="auto"/>
            </w:tcBorders>
          </w:tcPr>
          <w:p w:rsidR="00F225BE" w:rsidRDefault="00BA7A7F">
            <w:pPr>
              <w:pStyle w:val="TableTextBase"/>
              <w:rPr>
                <w:rFonts w:eastAsia="Calibri"/>
                <w:b/>
                <w:sz w:val="16"/>
                <w:szCs w:val="16"/>
              </w:rPr>
            </w:pPr>
            <w:r>
              <w:rPr>
                <w:rFonts w:eastAsia="Calibri"/>
                <w:b/>
                <w:sz w:val="16"/>
                <w:szCs w:val="16"/>
              </w:rPr>
              <w:t>Year</w:t>
            </w:r>
          </w:p>
        </w:tc>
        <w:tc>
          <w:tcPr>
            <w:tcW w:w="3118" w:type="dxa"/>
            <w:tcBorders>
              <w:top w:val="single" w:sz="4" w:space="0" w:color="auto"/>
              <w:left w:val="single" w:sz="4" w:space="0" w:color="auto"/>
              <w:bottom w:val="single" w:sz="4" w:space="0" w:color="auto"/>
              <w:right w:val="single" w:sz="4" w:space="0" w:color="auto"/>
            </w:tcBorders>
            <w:hideMark/>
          </w:tcPr>
          <w:p w:rsidR="00F225BE" w:rsidRDefault="00BA7A7F">
            <w:pPr>
              <w:tabs>
                <w:tab w:val="left" w:pos="709"/>
              </w:tabs>
              <w:spacing w:before="60" w:after="60" w:line="240" w:lineRule="auto"/>
              <w:jc w:val="left"/>
              <w:rPr>
                <w:rFonts w:ascii="Arial" w:hAnsi="Arial" w:cs="Arial"/>
                <w:b/>
                <w:sz w:val="16"/>
                <w:szCs w:val="16"/>
              </w:rPr>
            </w:pPr>
            <w:r>
              <w:rPr>
                <w:rFonts w:ascii="Arial" w:hAnsi="Arial" w:cs="Arial"/>
                <w:b/>
                <w:sz w:val="16"/>
                <w:szCs w:val="16"/>
              </w:rPr>
              <w:t>Performance measures</w:t>
            </w:r>
          </w:p>
        </w:tc>
        <w:tc>
          <w:tcPr>
            <w:tcW w:w="3118" w:type="dxa"/>
            <w:tcBorders>
              <w:top w:val="single" w:sz="4" w:space="0" w:color="auto"/>
              <w:left w:val="single" w:sz="4" w:space="0" w:color="auto"/>
              <w:bottom w:val="single" w:sz="4" w:space="0" w:color="auto"/>
              <w:right w:val="single" w:sz="4" w:space="0" w:color="auto"/>
            </w:tcBorders>
            <w:hideMark/>
          </w:tcPr>
          <w:p w:rsidR="00F225BE" w:rsidRDefault="00BA7A7F">
            <w:pPr>
              <w:tabs>
                <w:tab w:val="left" w:pos="709"/>
              </w:tabs>
              <w:spacing w:before="60" w:after="60" w:line="240" w:lineRule="auto"/>
              <w:rPr>
                <w:rFonts w:ascii="Arial" w:hAnsi="Arial" w:cs="Arial"/>
                <w:b/>
                <w:sz w:val="16"/>
                <w:szCs w:val="16"/>
              </w:rPr>
            </w:pPr>
            <w:r>
              <w:rPr>
                <w:rFonts w:ascii="Arial" w:hAnsi="Arial" w:cs="Arial"/>
                <w:b/>
                <w:sz w:val="16"/>
                <w:szCs w:val="16"/>
              </w:rPr>
              <w:t>Planned Performance Results</w:t>
            </w:r>
          </w:p>
        </w:tc>
      </w:tr>
      <w:tr w:rsidR="00253274" w:rsidTr="00953E7F">
        <w:trPr>
          <w:trHeight w:val="100"/>
        </w:trPr>
        <w:tc>
          <w:tcPr>
            <w:tcW w:w="1560" w:type="dxa"/>
            <w:vMerge w:val="restart"/>
            <w:tcBorders>
              <w:top w:val="single" w:sz="4" w:space="0" w:color="auto"/>
              <w:left w:val="single" w:sz="4" w:space="0" w:color="auto"/>
              <w:right w:val="single" w:sz="4" w:space="0" w:color="auto"/>
            </w:tcBorders>
            <w:hideMark/>
          </w:tcPr>
          <w:p w:rsidR="006C1027" w:rsidRDefault="00BA7A7F">
            <w:pPr>
              <w:pStyle w:val="TableTextBase"/>
              <w:rPr>
                <w:rFonts w:eastAsia="Calibri"/>
                <w:sz w:val="16"/>
                <w:szCs w:val="16"/>
              </w:rPr>
            </w:pPr>
            <w:r>
              <w:rPr>
                <w:rFonts w:eastAsia="Calibri"/>
                <w:sz w:val="16"/>
                <w:szCs w:val="16"/>
              </w:rPr>
              <w:t>Budget Year</w:t>
            </w:r>
          </w:p>
          <w:p w:rsidR="006C1027" w:rsidRDefault="00BA7A7F">
            <w:pPr>
              <w:pStyle w:val="TableTextBase"/>
              <w:rPr>
                <w:rFonts w:eastAsia="Calibri"/>
                <w:sz w:val="16"/>
                <w:szCs w:val="16"/>
              </w:rPr>
            </w:pPr>
            <w:r>
              <w:rPr>
                <w:rFonts w:eastAsia="Calibri"/>
                <w:sz w:val="16"/>
                <w:szCs w:val="16"/>
              </w:rPr>
              <w:t>2022-23</w:t>
            </w:r>
          </w:p>
        </w:tc>
        <w:tc>
          <w:tcPr>
            <w:tcW w:w="3118" w:type="dxa"/>
            <w:tcBorders>
              <w:top w:val="single" w:sz="4" w:space="0" w:color="auto"/>
              <w:left w:val="single" w:sz="4" w:space="0" w:color="auto"/>
              <w:bottom w:val="single" w:sz="4" w:space="0" w:color="auto"/>
              <w:right w:val="single" w:sz="4" w:space="0" w:color="auto"/>
            </w:tcBorders>
            <w:hideMark/>
          </w:tcPr>
          <w:p w:rsidR="006C1027" w:rsidRDefault="00BA7A7F">
            <w:pPr>
              <w:tabs>
                <w:tab w:val="left" w:pos="709"/>
              </w:tabs>
              <w:spacing w:before="60" w:after="60" w:line="240" w:lineRule="auto"/>
              <w:jc w:val="left"/>
              <w:rPr>
                <w:rFonts w:ascii="Arial" w:eastAsia="Arial" w:hAnsi="Arial" w:cs="Arial"/>
                <w:sz w:val="16"/>
                <w:szCs w:val="16"/>
                <w:bdr w:val="none" w:sz="0" w:space="0" w:color="auto" w:frame="1"/>
              </w:rPr>
            </w:pPr>
            <w:r>
              <w:rPr>
                <w:rFonts w:ascii="Arial" w:eastAsia="Arial" w:hAnsi="Arial" w:cs="Arial"/>
                <w:sz w:val="16"/>
                <w:szCs w:val="16"/>
                <w:bdr w:val="none" w:sz="0" w:space="0" w:color="auto" w:frame="1"/>
              </w:rPr>
              <w:t>Demonstrated value of benefits underpinned by an increasing annual portfolio of externally validated impact case studies capturing triple bottom line impacts.</w:t>
            </w:r>
          </w:p>
        </w:tc>
        <w:tc>
          <w:tcPr>
            <w:tcW w:w="3118" w:type="dxa"/>
            <w:tcBorders>
              <w:top w:val="single" w:sz="4" w:space="0" w:color="auto"/>
              <w:left w:val="single" w:sz="4" w:space="0" w:color="auto"/>
              <w:bottom w:val="single" w:sz="4" w:space="0" w:color="auto"/>
              <w:right w:val="single" w:sz="4" w:space="0" w:color="auto"/>
            </w:tcBorders>
            <w:hideMark/>
          </w:tcPr>
          <w:p w:rsidR="006C1027" w:rsidRDefault="00BA7A7F" w:rsidP="00F225BE">
            <w:pPr>
              <w:pStyle w:val="ListParagraph"/>
              <w:keepLines/>
              <w:numPr>
                <w:ilvl w:val="0"/>
                <w:numId w:val="112"/>
              </w:numPr>
              <w:tabs>
                <w:tab w:val="left" w:pos="709"/>
              </w:tabs>
              <w:spacing w:before="60" w:after="60" w:line="240" w:lineRule="auto"/>
              <w:ind w:left="357" w:hanging="357"/>
              <w:jc w:val="left"/>
              <w:rPr>
                <w:rFonts w:ascii="Calibri" w:eastAsia="Calibri" w:hAnsi="Calibri"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Evidence of maintained or increased impact demonstrated by a minimum of 20 externally validated case studies.</w:t>
            </w:r>
          </w:p>
        </w:tc>
      </w:tr>
      <w:tr w:rsidR="00253274" w:rsidTr="00953E7F">
        <w:trPr>
          <w:trHeight w:val="100"/>
        </w:trPr>
        <w:tc>
          <w:tcPr>
            <w:tcW w:w="1560" w:type="dxa"/>
            <w:vMerge/>
            <w:tcBorders>
              <w:left w:val="single" w:sz="4" w:space="0" w:color="auto"/>
              <w:bottom w:val="single" w:sz="4" w:space="0" w:color="auto"/>
              <w:right w:val="single" w:sz="4" w:space="0" w:color="auto"/>
            </w:tcBorders>
          </w:tcPr>
          <w:p w:rsidR="006C1027" w:rsidRDefault="006C1027">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6C1027" w:rsidRDefault="00BA7A7F">
            <w:pPr>
              <w:tabs>
                <w:tab w:val="left" w:pos="709"/>
              </w:tabs>
              <w:spacing w:before="60" w:after="60" w:line="240" w:lineRule="auto"/>
              <w:jc w:val="left"/>
              <w:rPr>
                <w:rFonts w:ascii="Arial" w:eastAsia="Arial" w:hAnsi="Arial" w:cs="Arial"/>
                <w:sz w:val="16"/>
                <w:szCs w:val="16"/>
                <w:bdr w:val="none" w:sz="0" w:space="0" w:color="auto" w:frame="1"/>
              </w:rPr>
            </w:pPr>
            <w:r>
              <w:rPr>
                <w:rFonts w:ascii="Arial" w:eastAsia="Arial" w:hAnsi="Arial" w:cs="Arial"/>
                <w:sz w:val="16"/>
                <w:szCs w:val="16"/>
                <w:bdr w:val="none" w:sz="0" w:space="0" w:color="auto" w:frame="1"/>
              </w:rPr>
              <w:t>Facilities and collections achieve a threshold rate of successful usage, with lost time minimised.</w:t>
            </w:r>
          </w:p>
        </w:tc>
        <w:tc>
          <w:tcPr>
            <w:tcW w:w="3118" w:type="dxa"/>
            <w:tcBorders>
              <w:top w:val="single" w:sz="4" w:space="0" w:color="auto"/>
              <w:left w:val="single" w:sz="4" w:space="0" w:color="auto"/>
              <w:bottom w:val="single" w:sz="4" w:space="0" w:color="auto"/>
              <w:right w:val="single" w:sz="4" w:space="0" w:color="auto"/>
            </w:tcBorders>
            <w:hideMark/>
          </w:tcPr>
          <w:p w:rsidR="006C1027" w:rsidRDefault="00BA7A7F" w:rsidP="00F225BE">
            <w:pPr>
              <w:pStyle w:val="ListParagraph"/>
              <w:keepLines/>
              <w:numPr>
                <w:ilvl w:val="0"/>
                <w:numId w:val="112"/>
              </w:numPr>
              <w:tabs>
                <w:tab w:val="left" w:pos="709"/>
              </w:tabs>
              <w:spacing w:before="60" w:after="60" w:line="240" w:lineRule="auto"/>
              <w:ind w:left="357" w:hanging="357"/>
              <w:jc w:val="left"/>
              <w:rPr>
                <w:rFonts w:eastAsia="Calibri"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Minimum of 70% successful astronomical observations.</w:t>
            </w:r>
          </w:p>
          <w:p w:rsidR="006C1027" w:rsidRDefault="00BA7A7F" w:rsidP="00F225BE">
            <w:pPr>
              <w:pStyle w:val="ListParagraph"/>
              <w:keepLines/>
              <w:numPr>
                <w:ilvl w:val="0"/>
                <w:numId w:val="112"/>
              </w:numPr>
              <w:tabs>
                <w:tab w:val="left" w:pos="709"/>
              </w:tabs>
              <w:spacing w:before="60" w:after="60" w:line="240" w:lineRule="auto"/>
              <w:ind w:left="357" w:hanging="357"/>
              <w:jc w:val="left"/>
              <w:rPr>
                <w:rFonts w:eastAsia="Times New Roman"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90% core hours on Pawsey supercomputer facility.</w:t>
            </w:r>
          </w:p>
          <w:p w:rsidR="006C1027" w:rsidRDefault="00BA7A7F" w:rsidP="00F225BE">
            <w:pPr>
              <w:pStyle w:val="ListParagraph"/>
              <w:keepLines/>
              <w:numPr>
                <w:ilvl w:val="0"/>
                <w:numId w:val="112"/>
              </w:numPr>
              <w:tabs>
                <w:tab w:val="left" w:pos="709"/>
              </w:tabs>
              <w:spacing w:before="60" w:after="60" w:line="240" w:lineRule="auto"/>
              <w:ind w:left="357" w:hanging="357"/>
              <w:jc w:val="left"/>
              <w:rPr>
                <w:rFonts w:eastAsia="Times New Roman"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70% outward loans of collections (averaged over 5 years).</w:t>
            </w:r>
          </w:p>
          <w:p w:rsidR="006C1027" w:rsidRDefault="00BA7A7F" w:rsidP="00F225BE">
            <w:pPr>
              <w:pStyle w:val="ListParagraph"/>
              <w:keepLines/>
              <w:numPr>
                <w:ilvl w:val="0"/>
                <w:numId w:val="112"/>
              </w:numPr>
              <w:tabs>
                <w:tab w:val="left" w:pos="709"/>
              </w:tabs>
              <w:spacing w:before="60" w:after="60" w:line="240" w:lineRule="auto"/>
              <w:ind w:left="357" w:hanging="357"/>
              <w:jc w:val="left"/>
              <w:rPr>
                <w:rFonts w:eastAsia="Times New Roman" w:cs="Arial"/>
                <w:iCs/>
                <w:spacing w:val="-2"/>
                <w:sz w:val="16"/>
                <w:szCs w:val="16"/>
                <w:bdr w:val="none" w:sz="0" w:space="0" w:color="auto" w:frame="1"/>
                <w:lang w:val="en-AU"/>
              </w:rPr>
            </w:pPr>
            <w:r>
              <w:rPr>
                <w:rFonts w:ascii="Arial" w:eastAsia="Times New Roman" w:hAnsi="Arial" w:cs="Arial"/>
                <w:iCs/>
                <w:spacing w:val="-2"/>
                <w:sz w:val="16"/>
                <w:szCs w:val="16"/>
                <w:bdr w:val="none" w:sz="0" w:space="0" w:color="auto" w:frame="1"/>
                <w:lang w:val="en-AU"/>
              </w:rPr>
              <w:t>Minimum of 90% successful research days delivered on Marine National Facilities, subject to any COVID-19 restrictions.</w:t>
            </w:r>
          </w:p>
        </w:tc>
      </w:tr>
      <w:tr w:rsidR="00253274">
        <w:trPr>
          <w:trHeight w:val="491"/>
        </w:trPr>
        <w:tc>
          <w:tcPr>
            <w:tcW w:w="1560" w:type="dxa"/>
            <w:tcBorders>
              <w:top w:val="single" w:sz="4" w:space="0" w:color="auto"/>
              <w:left w:val="single" w:sz="4" w:space="0" w:color="auto"/>
              <w:bottom w:val="single" w:sz="4" w:space="0" w:color="auto"/>
              <w:right w:val="single" w:sz="4" w:space="0" w:color="auto"/>
            </w:tcBorders>
            <w:hideMark/>
          </w:tcPr>
          <w:p w:rsidR="00F225BE" w:rsidRDefault="00BA7A7F">
            <w:pPr>
              <w:pStyle w:val="TableTextBase"/>
              <w:rPr>
                <w:rFonts w:eastAsia="Calibri"/>
                <w:sz w:val="16"/>
                <w:szCs w:val="16"/>
              </w:rPr>
            </w:pPr>
            <w:r>
              <w:rPr>
                <w:rFonts w:eastAsia="Calibri"/>
                <w:sz w:val="16"/>
                <w:szCs w:val="16"/>
              </w:rPr>
              <w:t>Forward Estimates</w:t>
            </w:r>
          </w:p>
          <w:p w:rsidR="00F225BE" w:rsidRDefault="00BA7A7F">
            <w:pPr>
              <w:pStyle w:val="TableTextBase"/>
              <w:rPr>
                <w:rFonts w:eastAsia="Calibri"/>
                <w:b/>
                <w:sz w:val="16"/>
                <w:szCs w:val="16"/>
              </w:rPr>
            </w:pPr>
            <w:r>
              <w:rPr>
                <w:rFonts w:eastAsia="Calibri"/>
                <w:sz w:val="16"/>
                <w:szCs w:val="16"/>
              </w:rPr>
              <w:t>2023-26</w:t>
            </w:r>
          </w:p>
        </w:tc>
        <w:tc>
          <w:tcPr>
            <w:tcW w:w="3118" w:type="dxa"/>
            <w:tcBorders>
              <w:top w:val="single" w:sz="4" w:space="0" w:color="auto"/>
              <w:left w:val="single" w:sz="4" w:space="0" w:color="auto"/>
              <w:bottom w:val="single" w:sz="4" w:space="0" w:color="auto"/>
              <w:right w:val="single" w:sz="4" w:space="0" w:color="auto"/>
            </w:tcBorders>
            <w:hideMark/>
          </w:tcPr>
          <w:p w:rsidR="00F225BE" w:rsidRDefault="00BA7A7F">
            <w:pPr>
              <w:pStyle w:val="TableTextBase"/>
              <w:rPr>
                <w:rFonts w:eastAsia="Calibri"/>
                <w:b/>
                <w:sz w:val="16"/>
                <w:szCs w:val="16"/>
              </w:rPr>
            </w:pPr>
            <w:r>
              <w:rPr>
                <w:rFonts w:eastAsia="Arial"/>
                <w:sz w:val="16"/>
                <w:szCs w:val="16"/>
                <w:bdr w:val="none" w:sz="0" w:space="0" w:color="auto" w:frame="1"/>
              </w:rPr>
              <w:t>As per 2022-</w:t>
            </w:r>
            <w:r>
              <w:rPr>
                <w:rFonts w:eastAsia="Arial"/>
                <w:sz w:val="16"/>
                <w:szCs w:val="16"/>
                <w:bdr w:val="none" w:sz="0" w:space="0" w:color="auto" w:frame="1"/>
              </w:rPr>
              <w:softHyphen/>
              <w:t>23</w:t>
            </w:r>
          </w:p>
        </w:tc>
        <w:tc>
          <w:tcPr>
            <w:tcW w:w="3118" w:type="dxa"/>
            <w:tcBorders>
              <w:top w:val="single" w:sz="4" w:space="0" w:color="auto"/>
              <w:left w:val="single" w:sz="4" w:space="0" w:color="auto"/>
              <w:bottom w:val="single" w:sz="4" w:space="0" w:color="auto"/>
              <w:right w:val="single" w:sz="4" w:space="0" w:color="auto"/>
            </w:tcBorders>
            <w:hideMark/>
          </w:tcPr>
          <w:p w:rsidR="00F225BE" w:rsidRDefault="00BA7A7F">
            <w:pPr>
              <w:pStyle w:val="TableTextBase"/>
              <w:rPr>
                <w:rFonts w:eastAsia="Calibri"/>
                <w:b/>
                <w:sz w:val="16"/>
                <w:szCs w:val="16"/>
              </w:rPr>
            </w:pPr>
            <w:r>
              <w:rPr>
                <w:rFonts w:eastAsia="Arial"/>
                <w:sz w:val="16"/>
                <w:szCs w:val="16"/>
                <w:bdr w:val="none" w:sz="0" w:space="0" w:color="auto" w:frame="1"/>
              </w:rPr>
              <w:t>As per 2022-</w:t>
            </w:r>
            <w:r>
              <w:rPr>
                <w:rFonts w:eastAsia="Arial"/>
                <w:sz w:val="16"/>
                <w:szCs w:val="16"/>
                <w:bdr w:val="none" w:sz="0" w:space="0" w:color="auto" w:frame="1"/>
              </w:rPr>
              <w:softHyphen/>
              <w:t>23</w:t>
            </w:r>
          </w:p>
        </w:tc>
      </w:tr>
      <w:tr w:rsidR="00253274">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F225BE" w:rsidRDefault="00BA7A7F">
            <w:pPr>
              <w:pStyle w:val="TableTextBase"/>
              <w:rPr>
                <w:rFonts w:eastAsia="Cambria"/>
                <w:bCs/>
                <w:iCs/>
                <w:spacing w:val="-6"/>
                <w:sz w:val="16"/>
                <w:szCs w:val="16"/>
                <w:lang w:val="x-none"/>
              </w:rPr>
            </w:pPr>
            <w:r>
              <w:rPr>
                <w:rFonts w:eastAsia="Calibri"/>
                <w:sz w:val="16"/>
                <w:szCs w:val="16"/>
              </w:rPr>
              <w:t>Material changes to Program 1 resulting from 2022-23 Budget Measures:</w:t>
            </w:r>
            <w:r>
              <w:rPr>
                <w:rFonts w:eastAsia="Calibri"/>
              </w:rPr>
              <w:t xml:space="preserve"> </w:t>
            </w:r>
            <w:r w:rsidRPr="003940DD">
              <w:rPr>
                <w:rFonts w:eastAsia="Calibri"/>
                <w:sz w:val="16"/>
                <w:szCs w:val="16"/>
              </w:rPr>
              <w:t>Nil</w:t>
            </w:r>
          </w:p>
        </w:tc>
      </w:tr>
    </w:tbl>
    <w:p w:rsidR="005B2053" w:rsidRPr="00E479D9" w:rsidRDefault="00BA7A7F" w:rsidP="00E479D9">
      <w:pPr>
        <w:pStyle w:val="Heading2"/>
        <w:pageBreakBefore/>
        <w:spacing w:after="120"/>
        <w:rPr>
          <w:b/>
          <w:sz w:val="26"/>
          <w:szCs w:val="26"/>
        </w:rPr>
      </w:pPr>
      <w:bookmarkStart w:id="1248" w:name="RG_MARKER_11881"/>
      <w:bookmarkStart w:id="1249" w:name="RG_MARKER_11977"/>
      <w:bookmarkStart w:id="1250" w:name="RG_MARKER_12199"/>
      <w:r w:rsidRPr="00E479D9">
        <w:rPr>
          <w:b/>
          <w:sz w:val="26"/>
          <w:szCs w:val="26"/>
        </w:rPr>
        <w:t>Section 3</w:t>
      </w:r>
      <w:bookmarkStart w:id="1251" w:name="_Toc449255782_6"/>
      <w:bookmarkStart w:id="1252" w:name="_Toc446237038_6"/>
      <w:bookmarkStart w:id="1253" w:name="_Toc436625460_6"/>
      <w:bookmarkStart w:id="1254" w:name="_Toc436624159_6"/>
      <w:bookmarkEnd w:id="1248"/>
      <w:bookmarkEnd w:id="1249"/>
      <w:bookmarkEnd w:id="1250"/>
      <w:r w:rsidRPr="00E479D9">
        <w:rPr>
          <w:b/>
          <w:sz w:val="26"/>
          <w:szCs w:val="26"/>
        </w:rPr>
        <w:t>: Budgeted financial statements</w:t>
      </w:r>
      <w:bookmarkEnd w:id="1251"/>
      <w:bookmarkEnd w:id="1252"/>
      <w:bookmarkEnd w:id="1253"/>
      <w:bookmarkEnd w:id="1254"/>
    </w:p>
    <w:p w:rsidR="00445F72" w:rsidRDefault="00BA7A7F" w:rsidP="00445F72">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rsidR="005B2053" w:rsidRPr="00E479D9" w:rsidRDefault="00BA7A7F" w:rsidP="00E479D9">
      <w:pPr>
        <w:pStyle w:val="Heading3"/>
        <w:spacing w:before="360" w:after="120"/>
        <w:rPr>
          <w:smallCaps w:val="0"/>
          <w:sz w:val="22"/>
          <w:szCs w:val="22"/>
        </w:rPr>
      </w:pPr>
      <w:bookmarkStart w:id="1255" w:name="_Toc210703218_6"/>
      <w:bookmarkStart w:id="1256" w:name="_Toc190682533_6"/>
      <w:bookmarkStart w:id="1257" w:name="_Toc190682316_6"/>
      <w:r w:rsidRPr="00E479D9">
        <w:rPr>
          <w:smallCaps w:val="0"/>
          <w:sz w:val="22"/>
          <w:szCs w:val="22"/>
        </w:rPr>
        <w:t>3.1</w:t>
      </w:r>
      <w:r w:rsidRPr="00E479D9">
        <w:rPr>
          <w:smallCaps w:val="0"/>
          <w:sz w:val="22"/>
          <w:szCs w:val="22"/>
        </w:rPr>
        <w:tab/>
        <w:t>Budgeted financial statements</w:t>
      </w:r>
      <w:bookmarkEnd w:id="1255"/>
      <w:bookmarkEnd w:id="1256"/>
      <w:bookmarkEnd w:id="1257"/>
    </w:p>
    <w:p w:rsidR="0000614C" w:rsidRPr="00E479D9" w:rsidRDefault="00BA7A7F" w:rsidP="00E479D9">
      <w:pPr>
        <w:pStyle w:val="Heading4"/>
        <w:spacing w:before="240"/>
        <w:rPr>
          <w:sz w:val="20"/>
        </w:rPr>
      </w:pPr>
      <w:r w:rsidRPr="00E479D9">
        <w:rPr>
          <w:sz w:val="20"/>
        </w:rPr>
        <w:t>3.1.1</w:t>
      </w:r>
      <w:r w:rsidRPr="00E479D9">
        <w:rPr>
          <w:sz w:val="20"/>
        </w:rPr>
        <w:tab/>
        <w:t>Differences between entity resourcing and financial statements</w:t>
      </w:r>
    </w:p>
    <w:p w:rsidR="00666ECD" w:rsidRPr="00850D2A" w:rsidRDefault="00BA7A7F" w:rsidP="004365AC">
      <w:pPr>
        <w:pStyle w:val="ExampleText0"/>
        <w:jc w:val="both"/>
        <w:rPr>
          <w:i w:val="0"/>
          <w:color w:val="auto"/>
        </w:rPr>
      </w:pPr>
      <w:r w:rsidRPr="00850D2A">
        <w:rPr>
          <w:i w:val="0"/>
          <w:color w:val="auto"/>
        </w:rPr>
        <w:t>The entity resource statement is prepared on a cash basis and provides a view of cash/appropriations resources available to CSIRO</w:t>
      </w:r>
      <w:r>
        <w:rPr>
          <w:i w:val="0"/>
          <w:color w:val="auto"/>
        </w:rPr>
        <w:t>,</w:t>
      </w:r>
      <w:r w:rsidRPr="00850D2A">
        <w:rPr>
          <w:i w:val="0"/>
          <w:color w:val="auto"/>
        </w:rPr>
        <w:t xml:space="preserve"> whilst the financial statements are prepared on an accrual basis.</w:t>
      </w:r>
    </w:p>
    <w:p w:rsidR="00E97CF2" w:rsidRPr="00E479D9" w:rsidRDefault="00BA7A7F" w:rsidP="00E479D9">
      <w:pPr>
        <w:pStyle w:val="Heading4"/>
        <w:spacing w:before="240"/>
        <w:rPr>
          <w:rFonts w:cs="Arial"/>
          <w:sz w:val="20"/>
        </w:rPr>
      </w:pPr>
      <w:r w:rsidRPr="00E479D9">
        <w:rPr>
          <w:rFonts w:cs="Arial"/>
          <w:sz w:val="20"/>
        </w:rPr>
        <w:t>3.1.2</w:t>
      </w:r>
      <w:r w:rsidRPr="00E479D9">
        <w:rPr>
          <w:rFonts w:cs="Arial"/>
          <w:sz w:val="20"/>
        </w:rPr>
        <w:tab/>
        <w:t>Explanatory notes and analysis of budgeted financial statements</w:t>
      </w:r>
    </w:p>
    <w:p w:rsidR="00850D2A" w:rsidRDefault="00BA7A7F" w:rsidP="00E97CF2">
      <w:r w:rsidRPr="00850D2A">
        <w:t>The budgeted consolidated financial statements comprise the financial statements of the CSIRO and its subsidiaries. CSIRO has several subsidiaries, including the Science and Industry Endowment Fund (SIEF), the CSIRO Chile Research Fundación (Fundación), National ICT Australia (NICTA), the Innovation Fund entities and the US Office entities.</w:t>
      </w:r>
    </w:p>
    <w:p w:rsidR="00E97CF2" w:rsidRPr="00850D2A" w:rsidRDefault="00BA7A7F" w:rsidP="00850D2A">
      <w:pPr>
        <w:rPr>
          <w:b/>
        </w:rPr>
      </w:pPr>
      <w:r w:rsidRPr="00850D2A">
        <w:rPr>
          <w:b/>
        </w:rPr>
        <w:t>Budgeted Departmental Income Statement</w:t>
      </w:r>
    </w:p>
    <w:p w:rsidR="00850D2A" w:rsidRPr="00850D2A" w:rsidRDefault="00BA7A7F" w:rsidP="00850D2A">
      <w:r w:rsidRPr="00850D2A">
        <w:t xml:space="preserve">The Revenue from </w:t>
      </w:r>
      <w:r>
        <w:t>Government estimate for 2022-23 is $991.3</w:t>
      </w:r>
      <w:r w:rsidRPr="00396568">
        <w:t xml:space="preserve"> million</w:t>
      </w:r>
      <w:r w:rsidRPr="00850D2A">
        <w:t xml:space="preserve">. </w:t>
      </w:r>
      <w:r>
        <w:t>This has increased from $957.5 million as reported in the Portfolio Additional Estimates Statements 2021-22 due to announced measures and the impact of an indexation update.</w:t>
      </w:r>
    </w:p>
    <w:p w:rsidR="00B74FCE" w:rsidRPr="00B74FCE" w:rsidRDefault="00BA7A7F" w:rsidP="00850D2A">
      <w:r>
        <w:t>CSIRO is expecting an operating surplus in 2022-23 and 2024-25 predominantly due to revenue funding for the purchase of non-financial assets. CSIRO is expecting an operating loss in 2023-24 and 2025-26 due to the distribution of funds by the Science and Industry Endowment Fund and unfunded depreciation expenses relating to assets for which capital was previously provided by the Government.</w:t>
      </w:r>
    </w:p>
    <w:p w:rsidR="00E97CF2" w:rsidRPr="00850D2A" w:rsidRDefault="00BA7A7F" w:rsidP="00850D2A">
      <w:pPr>
        <w:rPr>
          <w:b/>
        </w:rPr>
      </w:pPr>
      <w:r w:rsidRPr="00850D2A">
        <w:rPr>
          <w:b/>
        </w:rPr>
        <w:t>Budgeted Departmental Balance Sheet</w:t>
      </w:r>
    </w:p>
    <w:p w:rsidR="00B74FCE" w:rsidRDefault="00BA7A7F" w:rsidP="00B74FCE">
      <w:r>
        <w:t>Other investments are estimated to increase in 2022-23 and the forward estimates as a result of expanding the CSIRO Innovation Fund Main Sequence Ventures as part of the measure, Investing in Australia’s University Research Commercialisation.</w:t>
      </w:r>
    </w:p>
    <w:p w:rsidR="00B74FCE" w:rsidRDefault="00BA7A7F" w:rsidP="00B74FCE">
      <w:r>
        <w:t>Land and buildings are estimated to decrease in 2022-23 from 2021-22 due to planned site divestment in line with the CSIRO 2019-29 Property Strategy and leased assets depreciating at a higher rate as the leases near their close.</w:t>
      </w:r>
    </w:p>
    <w:p w:rsidR="00B74FCE" w:rsidRDefault="00BA7A7F" w:rsidP="00B74FCE">
      <w:r>
        <w:t>Property, plant and equipment assets are estimated to increase in 2022-23 from 2021-22 due to an increase in budgeted asset acquisitions funded under the National Research Infrastructure Investment Plan announced in the 2018-19 Budget.</w:t>
      </w:r>
    </w:p>
    <w:p w:rsidR="00E97CF2" w:rsidRPr="00850D2A" w:rsidRDefault="00BA7A7F" w:rsidP="00850D2A">
      <w:pPr>
        <w:rPr>
          <w:b/>
        </w:rPr>
      </w:pPr>
      <w:r w:rsidRPr="00850D2A">
        <w:rPr>
          <w:b/>
        </w:rPr>
        <w:t>Departmental Capital Budget Statement</w:t>
      </w:r>
    </w:p>
    <w:p w:rsidR="00850D2A" w:rsidRPr="00850D2A" w:rsidRDefault="00BA7A7F" w:rsidP="00850D2A">
      <w:r w:rsidRPr="00850D2A">
        <w:t>The budgeted internally funded capital expenditure relates to construction of new, and refurbishment of existing, buildings and purchase of plant and equipment, including scientific equipment and information technology related assets.</w:t>
      </w:r>
    </w:p>
    <w:p w:rsidR="00B74FCE" w:rsidRDefault="00BA7A7F" w:rsidP="00B74FCE">
      <w:r w:rsidRPr="00850D2A">
        <w:t>The total capital budget estimate for</w:t>
      </w:r>
      <w:r>
        <w:t xml:space="preserve"> 2022-23</w:t>
      </w:r>
      <w:r w:rsidRPr="00850D2A">
        <w:t xml:space="preserve"> </w:t>
      </w:r>
      <w:r>
        <w:t>is $180.6</w:t>
      </w:r>
      <w:r w:rsidRPr="00396568">
        <w:t xml:space="preserve"> million</w:t>
      </w:r>
      <w:r>
        <w:t>; an increase from the $179.3 million reported in the Portfolio Additional Estimates Statements 2021-22. The movement is mainly due to an announced measure and an increase in estimated external revenue for the purchase of assets.</w:t>
      </w:r>
    </w:p>
    <w:p w:rsidR="004E0F98" w:rsidRPr="00850D2A" w:rsidRDefault="004E0F98" w:rsidP="00850D2A">
      <w:pPr>
        <w:rPr>
          <w:vanish/>
        </w:rPr>
      </w:pPr>
    </w:p>
    <w:p w:rsidR="006B6EF0" w:rsidRPr="001A0AE9" w:rsidRDefault="00BA7A7F" w:rsidP="00B249D7">
      <w:pPr>
        <w:pStyle w:val="Heading3"/>
        <w:pageBreakBefore/>
        <w:spacing w:before="360" w:after="120"/>
        <w:rPr>
          <w:rFonts w:ascii="Arial Bold" w:hAnsi="Arial Bold"/>
          <w:smallCaps w:val="0"/>
          <w:sz w:val="22"/>
          <w:szCs w:val="22"/>
        </w:rPr>
      </w:pPr>
      <w:bookmarkStart w:id="1258" w:name="RG_MARKER_11976"/>
      <w:bookmarkStart w:id="1259" w:name="RG_MARKER_12192"/>
      <w:r w:rsidRPr="001A0AE9">
        <w:rPr>
          <w:rFonts w:ascii="Arial Bold" w:hAnsi="Arial Bold"/>
          <w:smallCaps w:val="0"/>
          <w:sz w:val="22"/>
          <w:szCs w:val="22"/>
        </w:rPr>
        <w:t>3.2</w:t>
      </w:r>
      <w:bookmarkEnd w:id="1258"/>
      <w:bookmarkEnd w:id="1259"/>
      <w:r w:rsidRPr="001A0AE9">
        <w:rPr>
          <w:rFonts w:ascii="Arial Bold" w:hAnsi="Arial Bold"/>
          <w:smallCaps w:val="0"/>
          <w:sz w:val="22"/>
          <w:szCs w:val="22"/>
        </w:rPr>
        <w:tab/>
        <w:t>Budgeted financial statements tables</w:t>
      </w:r>
    </w:p>
    <w:p w:rsidR="005E7F55" w:rsidRDefault="00BA7A7F" w:rsidP="001A0AE9">
      <w:pPr>
        <w:pStyle w:val="TableHeading"/>
        <w:keepLines/>
        <w:spacing w:before="0"/>
      </w:pPr>
      <w:r>
        <w:t>Table 3.1: Comprehensive income statement (showing net cost of services) for the period ended 30 June</w:t>
      </w:r>
    </w:p>
    <w:tbl>
      <w:tblPr>
        <w:tblStyle w:val="CDMRange1"/>
        <w:tblW w:w="7695" w:type="dxa"/>
        <w:tblLayout w:type="fixed"/>
        <w:tblLook w:val="0600" w:firstRow="0" w:lastRow="0" w:firstColumn="0" w:lastColumn="0" w:noHBand="1" w:noVBand="1"/>
      </w:tblPr>
      <w:tblGrid>
        <w:gridCol w:w="2880"/>
        <w:gridCol w:w="960"/>
        <w:gridCol w:w="975"/>
        <w:gridCol w:w="960"/>
        <w:gridCol w:w="960"/>
        <w:gridCol w:w="960"/>
      </w:tblGrid>
      <w:tr w:rsidR="00253274">
        <w:trPr>
          <w:trHeight w:val="885"/>
        </w:trPr>
        <w:tc>
          <w:tcPr>
            <w:tcW w:w="288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843,586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858,701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874,257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874,744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874,898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477,987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504,096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527,095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474,897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488,188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182,453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176,030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175,232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173,775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173,346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1,238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853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571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Losses from asset sales</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1,505,759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1,539,680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1,577,155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1,523,884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1,536,802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88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449,408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449,888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477,493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498,066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496,532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88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1,904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2,196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2,686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4,711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88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6,801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5,298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8,521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7,984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88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Royalties and licence fees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46,545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44,635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47,860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50,260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50,260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52,922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65,718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38,773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127,229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38,329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557,580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567,735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575,333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688,250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600,631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98,389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13,637</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98,389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13,637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88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655,969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581,372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575,333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688,250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600,631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88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(849,790)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(958,308)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(1,001,822)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(835,634)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(936,171)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88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949,037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991,289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985,625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899,332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907,477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8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99,247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32,981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(16,197)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63,698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(28,694)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880" w:type="dxa"/>
            <w:tcBorders>
              <w:top w:val="nil"/>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(loss) attributable to the</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 </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99,247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32,981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(16,197)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63,698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(28,694)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88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7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4815" w:type="dxa"/>
            <w:gridSpan w:val="3"/>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96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2880" w:type="dxa"/>
            <w:tcBorders>
              <w:top w:val="dotted" w:sz="2" w:space="0" w:color="000000"/>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96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99,247</w:t>
            </w:r>
          </w:p>
        </w:tc>
        <w:tc>
          <w:tcPr>
            <w:tcW w:w="97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32,981</w:t>
            </w:r>
          </w:p>
        </w:tc>
        <w:tc>
          <w:tcPr>
            <w:tcW w:w="96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(16,197)</w:t>
            </w:r>
          </w:p>
        </w:tc>
        <w:tc>
          <w:tcPr>
            <w:tcW w:w="96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63,698</w:t>
            </w:r>
          </w:p>
        </w:tc>
        <w:tc>
          <w:tcPr>
            <w:tcW w:w="96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(28,694)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8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on ROU assets (a)</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27,818</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15,840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15,604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14,803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15,129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8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33,273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18,584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14,088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14,342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12,901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8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(Deficit)</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93,792</w:t>
            </w:r>
          </w:p>
        </w:tc>
        <w:tc>
          <w:tcPr>
            <w:tcW w:w="97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30,237</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(14,681)</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64,159</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(26,466)</w:t>
            </w:r>
          </w:p>
        </w:tc>
      </w:tr>
    </w:tbl>
    <w:p w:rsidR="00936EB8" w:rsidRPr="00936EB8" w:rsidRDefault="00BA7A7F" w:rsidP="009C67CA">
      <w:pPr>
        <w:pStyle w:val="ListParagraph"/>
        <w:keepLines/>
        <w:numPr>
          <w:ilvl w:val="0"/>
          <w:numId w:val="113"/>
        </w:numPr>
        <w:spacing w:after="0" w:line="240" w:lineRule="auto"/>
        <w:ind w:left="357" w:hanging="357"/>
        <w:rPr>
          <w:rFonts w:eastAsia="Times New Roman" w:cs="Times New Roman"/>
          <w:sz w:val="20"/>
          <w:lang w:val="en-AU"/>
        </w:rPr>
      </w:pPr>
      <w:r w:rsidRPr="00051487">
        <w:rPr>
          <w:rFonts w:ascii="Arial" w:eastAsia="Calibri" w:hAnsi="Arial" w:cs="Arial"/>
          <w:sz w:val="16"/>
          <w:szCs w:val="16"/>
          <w:bdr w:val="none" w:sz="0" w:space="0" w:color="auto" w:frame="1"/>
          <w:lang w:val="en-AU"/>
        </w:rPr>
        <w:t>Applies leases under AASB 16 Leases.</w:t>
      </w:r>
    </w:p>
    <w:p w:rsidR="00F62360" w:rsidRPr="00936EB8" w:rsidRDefault="00BA7A7F" w:rsidP="00936EB8">
      <w:pPr>
        <w:spacing w:after="0" w:line="240" w:lineRule="auto"/>
        <w:rPr>
          <w:rStyle w:val="Hyperlink"/>
          <w:rFonts w:ascii="Arial" w:hAnsi="Arial" w:cs="Arial"/>
          <w:sz w:val="16"/>
          <w:szCs w:val="16"/>
        </w:rPr>
      </w:pPr>
      <w:r w:rsidRPr="00936EB8">
        <w:rPr>
          <w:rStyle w:val="Hyperlink"/>
          <w:rFonts w:ascii="Arial" w:hAnsi="Arial" w:cs="Arial"/>
          <w:sz w:val="16"/>
          <w:szCs w:val="16"/>
        </w:rPr>
        <w:t>Prepared on Australian Accounting Standards basis.</w:t>
      </w:r>
      <w:r w:rsidRPr="00936EB8">
        <w:rPr>
          <w:rStyle w:val="Hyperlink"/>
          <w:rFonts w:ascii="Arial" w:hAnsi="Arial" w:cs="Arial"/>
          <w:sz w:val="16"/>
          <w:szCs w:val="16"/>
        </w:rPr>
        <w:br w:type="page"/>
      </w:r>
    </w:p>
    <w:p w:rsidR="005E7F55" w:rsidRDefault="00BA7A7F" w:rsidP="001A0AE9">
      <w:pPr>
        <w:pStyle w:val="TableHeading"/>
        <w:keepLines/>
        <w:pageBreakBefore/>
        <w:spacing w:before="0"/>
        <w:rPr>
          <w:rStyle w:val="BookTitle"/>
          <w:i w:val="0"/>
          <w:iCs/>
          <w:spacing w:val="0"/>
          <w:bdr w:val="none" w:sz="0" w:space="0" w:color="auto" w:frame="1"/>
        </w:rPr>
      </w:pPr>
      <w:r>
        <w:rPr>
          <w:bdr w:val="none" w:sz="0" w:space="0" w:color="auto" w:frame="1"/>
        </w:rPr>
        <w:t xml:space="preserve">Table 3.2: Budgeted departmental balance sheet (as at </w:t>
      </w:r>
      <w:r>
        <w:t>30 June)</w:t>
      </w:r>
    </w:p>
    <w:tbl>
      <w:tblPr>
        <w:tblStyle w:val="CDMRange2"/>
        <w:tblW w:w="7305" w:type="dxa"/>
        <w:tblLayout w:type="fixed"/>
        <w:tblLook w:val="0600" w:firstRow="0" w:lastRow="0" w:firstColumn="0" w:lastColumn="0" w:noHBand="1" w:noVBand="1"/>
      </w:tblPr>
      <w:tblGrid>
        <w:gridCol w:w="2505"/>
        <w:gridCol w:w="960"/>
        <w:gridCol w:w="960"/>
        <w:gridCol w:w="960"/>
        <w:gridCol w:w="960"/>
        <w:gridCol w:w="960"/>
      </w:tblGrid>
      <w:tr w:rsidR="00253274">
        <w:trPr>
          <w:trHeight w:val="900"/>
        </w:trPr>
        <w:tc>
          <w:tcPr>
            <w:tcW w:w="2505"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equivalents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512,974</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561,127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554,474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572,505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622,656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86,549</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86,490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86,490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86,490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86,490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0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319,956</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349,956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394,956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439,956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457,956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919,479</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997,573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1,035,920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1,098,951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1,167,102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1,561,383</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1,518,874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1,497,623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1,451,533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1,375,381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567,333</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599,189</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600,607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688,756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676,394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Heritage and cultural assets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9,952</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9,952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9,952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9,952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9,952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Investment property</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49,016</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49,016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49,016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49,016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49,016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20,390</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21,064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21,738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22,412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23,098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1,315</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1,315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1,315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1,315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1,315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non-financial assets </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12,416</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12,416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12,416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12,416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12,416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2,221,805</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2,211,826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2,192,667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2,235,400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2,147,572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Assets held for sale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3,146,484</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3,209,399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3,228,587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3,334,351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3,314,674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213,294</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213,252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213,252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213,252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213,252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16,034</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16,034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16,034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16,034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16,034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Deposits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21,800</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21,800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21,800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21,800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21,800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251,128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251,086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251,086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251,086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251,086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Lease liabilities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53,481</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36,757</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23,542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10,502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0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w:t>
            </w:r>
          </w:p>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liabilities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53,481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36,757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23,542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10,502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1,719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268,771</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268,771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268,771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268,771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268,771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59,776</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56,776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53,776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50,776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47,776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328,547</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325,547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322,547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319,547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316,547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633,156</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613,390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597,175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581,135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569,352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2,513,328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2,596,009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2,631,412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2,753,216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2,745,322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Parent entity equity</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331,384</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381,084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432,684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490,790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511,590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1,572,466</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1,572,466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1,572,466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1,572,466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1,572,466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50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609,478</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642,459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626,262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689,960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661,266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50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parent entity equity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interest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2,513,328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2,596,009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2,631,412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2,753,216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2,745,322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2,513,328</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2,596,009</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2,631,412</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2,753,216</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2,745,322</w:t>
            </w:r>
          </w:p>
        </w:tc>
      </w:tr>
    </w:tbl>
    <w:p w:rsidR="005E7F55" w:rsidRPr="006829E0" w:rsidRDefault="00BA7A7F" w:rsidP="009C67CA">
      <w:pPr>
        <w:keepLines w:val="0"/>
        <w:spacing w:before="40" w:after="0" w:line="240" w:lineRule="auto"/>
        <w:rPr>
          <w:rFonts w:ascii="Arial" w:eastAsia="Calibri" w:hAnsi="Arial" w:cs="Arial"/>
          <w:sz w:val="16"/>
          <w:szCs w:val="16"/>
          <w:bdr w:val="none" w:sz="0" w:space="0" w:color="auto" w:frame="1"/>
        </w:rPr>
      </w:pPr>
      <w:r w:rsidRPr="006829E0">
        <w:rPr>
          <w:rFonts w:ascii="Arial" w:eastAsia="Calibri" w:hAnsi="Arial" w:cs="Arial"/>
          <w:sz w:val="16"/>
          <w:szCs w:val="16"/>
          <w:bdr w:val="none" w:sz="0" w:space="0" w:color="auto" w:frame="1"/>
        </w:rPr>
        <w:t>Prepared on Australian Accounting Standards basis.</w:t>
      </w:r>
    </w:p>
    <w:p w:rsidR="005E7F55" w:rsidRPr="006829E0" w:rsidRDefault="00BA7A7F" w:rsidP="001A0AE9">
      <w:pPr>
        <w:keepLines w:val="0"/>
        <w:spacing w:after="0" w:line="240" w:lineRule="auto"/>
        <w:rPr>
          <w:rFonts w:ascii="Arial" w:eastAsia="Calibri" w:hAnsi="Arial" w:cs="Arial"/>
          <w:sz w:val="16"/>
          <w:szCs w:val="16"/>
          <w:bdr w:val="none" w:sz="0" w:space="0" w:color="auto" w:frame="1"/>
        </w:rPr>
      </w:pPr>
      <w:r w:rsidRPr="006829E0">
        <w:rPr>
          <w:rFonts w:ascii="Arial" w:eastAsia="Calibri" w:hAnsi="Arial" w:cs="Arial"/>
          <w:sz w:val="16"/>
          <w:szCs w:val="16"/>
          <w:bdr w:val="none" w:sz="0" w:space="0" w:color="auto" w:frame="1"/>
        </w:rPr>
        <w:t>*Equity is the residual interest in assets after deduction of liabilities.</w:t>
      </w:r>
      <w:r w:rsidRPr="006829E0">
        <w:rPr>
          <w:rFonts w:ascii="Arial" w:eastAsia="Calibri" w:hAnsi="Arial" w:cs="Arial"/>
          <w:sz w:val="16"/>
          <w:szCs w:val="16"/>
          <w:bdr w:val="none" w:sz="0" w:space="0" w:color="auto" w:frame="1"/>
        </w:rPr>
        <w:br w:type="page"/>
      </w:r>
    </w:p>
    <w:p w:rsidR="005E7F55" w:rsidRDefault="00BA7A7F" w:rsidP="001A0AE9">
      <w:pPr>
        <w:pStyle w:val="TableHeading"/>
        <w:keepLines/>
        <w:spacing w:before="0"/>
        <w:rPr>
          <w:rStyle w:val="BookTitle"/>
          <w:i w:val="0"/>
          <w:iCs/>
        </w:rPr>
      </w:pPr>
      <w:r>
        <w:t>Table 3.3: Departmental statement of changes in equity – summary of movement (Budget year 2022­23)</w:t>
      </w:r>
    </w:p>
    <w:tbl>
      <w:tblPr>
        <w:tblStyle w:val="CDMRange1"/>
        <w:tblW w:w="7770" w:type="dxa"/>
        <w:tblLayout w:type="fixed"/>
        <w:tblLook w:val="0600" w:firstRow="0" w:lastRow="0" w:firstColumn="0" w:lastColumn="0" w:noHBand="1" w:noVBand="1"/>
      </w:tblPr>
      <w:tblGrid>
        <w:gridCol w:w="3150"/>
        <w:gridCol w:w="870"/>
        <w:gridCol w:w="1005"/>
        <w:gridCol w:w="810"/>
        <w:gridCol w:w="930"/>
        <w:gridCol w:w="1005"/>
      </w:tblGrid>
      <w:tr w:rsidR="00253274">
        <w:trPr>
          <w:trHeight w:val="885"/>
        </w:trPr>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Asset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reserves</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equity/</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609,478</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1,572,725</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(259)</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331,384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2,513,328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609,478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1,572,725</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331,384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2,513,328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32,981</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32,981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32,981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32,981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150"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87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32,981</w:t>
            </w:r>
          </w:p>
        </w:tc>
        <w:tc>
          <w:tcPr>
            <w:tcW w:w="100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32,981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49,700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49,700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owners</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49,700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49,700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                               30 June 2023</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642,459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1,572,725</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381,084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2,596,009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the Australian </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642,459</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1,572,725</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(259)</w:t>
            </w:r>
          </w:p>
        </w:tc>
        <w:tc>
          <w:tcPr>
            <w:tcW w:w="93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381,084</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2,596,009</w:t>
            </w:r>
          </w:p>
        </w:tc>
      </w:tr>
    </w:tbl>
    <w:p w:rsidR="005E7F55" w:rsidRDefault="00BA7A7F" w:rsidP="009C67CA">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Pr>
          <w:rFonts w:ascii="Arial" w:eastAsia="Calibri" w:hAnsi="Arial" w:cs="Arial"/>
          <w:sz w:val="16"/>
          <w:szCs w:val="16"/>
          <w:bdr w:val="none" w:sz="0" w:space="0" w:color="auto" w:frame="1"/>
        </w:rPr>
        <w:br w:type="page"/>
      </w:r>
    </w:p>
    <w:p w:rsidR="005E7F55" w:rsidRDefault="00BA7A7F" w:rsidP="001A0AE9">
      <w:pPr>
        <w:pStyle w:val="TableHeading"/>
        <w:keepLines/>
        <w:spacing w:before="0"/>
        <w:rPr>
          <w:rStyle w:val="BookTitle"/>
          <w:i w:val="0"/>
          <w:iCs/>
        </w:rPr>
      </w:pPr>
      <w:r>
        <w:t>Table 3.4: Budgeted departmental statement of cash flows (for the period ended 30 June)</w:t>
      </w:r>
    </w:p>
    <w:tbl>
      <w:tblPr>
        <w:tblStyle w:val="CDMRange2"/>
        <w:tblW w:w="7680" w:type="dxa"/>
        <w:tblLayout w:type="fixed"/>
        <w:tblLook w:val="0600" w:firstRow="0" w:lastRow="0" w:firstColumn="0" w:lastColumn="0" w:noHBand="1" w:noVBand="1"/>
      </w:tblPr>
      <w:tblGrid>
        <w:gridCol w:w="2655"/>
        <w:gridCol w:w="1005"/>
        <w:gridCol w:w="1005"/>
        <w:gridCol w:w="1005"/>
        <w:gridCol w:w="1005"/>
        <w:gridCol w:w="1005"/>
      </w:tblGrid>
      <w:tr w:rsidR="00253274">
        <w:trPr>
          <w:trHeight w:val="900"/>
        </w:trPr>
        <w:tc>
          <w:tcPr>
            <w:tcW w:w="2655"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949,037</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991,289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985,625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899,332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907,477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goods and</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rendering of services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614,119</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624,208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632,812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754,893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654,856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2,017</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2,255</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2,686</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4,711</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7,526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1,565,173</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1,617,752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1,621,123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1,658,936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1,569,859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839,515</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858,701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874,257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874,744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874,898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529,448</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555,019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580,193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522,753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538,217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9,910</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10,788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10,067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26,498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14,722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265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liabilities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1,238</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853</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571</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468</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1,380,111</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1,425,361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1,465,088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1,424,463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1,428,207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185,062</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192,391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156,035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234,473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141,652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65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 property</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plant and equipment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44,350</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35,200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44,350</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35,200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30,000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30,000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Purchase of property, plant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equipment and intangibles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151,588</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180,554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185,200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245,206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111,400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Purchase of financial</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instruments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32,000</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45,000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45,000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183,588</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210,554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230,200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290,206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129,400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(139,238)</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(175,354)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(200,200)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(260,206)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(99,400)</w:t>
            </w:r>
          </w:p>
        </w:tc>
      </w:tr>
    </w:tbl>
    <w:p w:rsidR="00D605CC" w:rsidRPr="006829E0" w:rsidRDefault="00D605CC" w:rsidP="00D605CC">
      <w:pPr>
        <w:keepLines w:val="0"/>
        <w:spacing w:before="40" w:after="0" w:line="240" w:lineRule="auto"/>
        <w:jc w:val="left"/>
        <w:rPr>
          <w:rFonts w:ascii="Arial" w:eastAsia="Calibri" w:hAnsi="Arial" w:cs="Arial"/>
          <w:sz w:val="16"/>
          <w:szCs w:val="16"/>
          <w:bdr w:val="none" w:sz="0" w:space="0" w:color="auto" w:frame="1"/>
        </w:rPr>
      </w:pPr>
    </w:p>
    <w:p w:rsidR="00165E4C" w:rsidRDefault="00BA7A7F">
      <w:pPr>
        <w:keepLines w:val="0"/>
        <w:spacing w:after="200" w:line="276" w:lineRule="auto"/>
        <w:jc w:val="left"/>
        <w:rPr>
          <w:rFonts w:ascii="Arial" w:hAnsi="Arial"/>
          <w:b/>
        </w:rPr>
      </w:pPr>
      <w:r>
        <w:br w:type="page"/>
      </w:r>
    </w:p>
    <w:p w:rsidR="002E6A7E" w:rsidRDefault="00BA7A7F" w:rsidP="001A0AE9">
      <w:pPr>
        <w:pStyle w:val="TableHeading"/>
        <w:keepLines/>
        <w:spacing w:before="0"/>
        <w:rPr>
          <w:rStyle w:val="BookTitle"/>
          <w:i w:val="0"/>
          <w:iCs/>
        </w:rPr>
      </w:pPr>
      <w:r>
        <w:t>Table 3.4: Budgeted departmental statement of cash flows (for the period ended 30 June) (continued)</w:t>
      </w:r>
    </w:p>
    <w:tbl>
      <w:tblPr>
        <w:tblStyle w:val="CDMRange1"/>
        <w:tblW w:w="7680" w:type="dxa"/>
        <w:tblLayout w:type="fixed"/>
        <w:tblLook w:val="0600" w:firstRow="0" w:lastRow="0" w:firstColumn="0" w:lastColumn="0" w:noHBand="1" w:noVBand="1"/>
      </w:tblPr>
      <w:tblGrid>
        <w:gridCol w:w="2655"/>
        <w:gridCol w:w="1005"/>
        <w:gridCol w:w="1005"/>
        <w:gridCol w:w="1005"/>
        <w:gridCol w:w="1005"/>
        <w:gridCol w:w="1005"/>
      </w:tblGrid>
      <w:tr w:rsidR="00253274">
        <w:trPr>
          <w:trHeight w:val="900"/>
        </w:trPr>
        <w:tc>
          <w:tcPr>
            <w:tcW w:w="26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49,700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51,600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58,106</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20,800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4,000</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49,700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51,600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58,106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20,800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265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liabilities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33,273</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18,584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14,088</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14,342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12,901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33,273</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18,584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14,088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14,342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12,901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(29,273)</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31,116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37,512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43,764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7,899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 cash held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16,551</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48,153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(6,653)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18,031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50,151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65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496,423</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512,974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561,127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554,474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572,505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55"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equivalents at the end of </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reporting period</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512,974</w:t>
            </w:r>
          </w:p>
        </w:tc>
        <w:tc>
          <w:tcPr>
            <w:tcW w:w="100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561,127</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554,474</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572,505</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622,656</w:t>
            </w:r>
          </w:p>
        </w:tc>
      </w:tr>
    </w:tbl>
    <w:p w:rsidR="00E02CEF" w:rsidRPr="001A0AE9" w:rsidRDefault="00BA7A7F" w:rsidP="009C67CA">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rsidR="00E02CEF" w:rsidRDefault="00BA7A7F" w:rsidP="001A0AE9">
      <w:pPr>
        <w:pStyle w:val="TableHeading"/>
        <w:keepLines/>
        <w:spacing w:before="0"/>
        <w:rPr>
          <w:rStyle w:val="BookTitle"/>
          <w:i w:val="0"/>
          <w:iCs/>
        </w:rPr>
      </w:pPr>
      <w:r>
        <w:t>Table 3.5: Departmental capital budget statement (for the period ended 30 June)</w:t>
      </w:r>
    </w:p>
    <w:tbl>
      <w:tblPr>
        <w:tblStyle w:val="CDMRange2"/>
        <w:tblW w:w="7875" w:type="dxa"/>
        <w:tblLayout w:type="fixed"/>
        <w:tblLook w:val="0600" w:firstRow="0" w:lastRow="0" w:firstColumn="0" w:lastColumn="0" w:noHBand="1" w:noVBand="1"/>
      </w:tblPr>
      <w:tblGrid>
        <w:gridCol w:w="3600"/>
        <w:gridCol w:w="855"/>
        <w:gridCol w:w="855"/>
        <w:gridCol w:w="855"/>
        <w:gridCol w:w="855"/>
        <w:gridCol w:w="855"/>
      </w:tblGrid>
      <w:tr w:rsidR="00253274">
        <w:trPr>
          <w:trHeight w:val="900"/>
        </w:trPr>
        <w:tc>
          <w:tcPr>
            <w:tcW w:w="3600" w:type="dxa"/>
            <w:tcBorders>
              <w:top w:val="single" w:sz="4"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49,700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51,600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58,106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20,800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4,000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49,700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51,600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58,106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20,800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Provided for:</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700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2,600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9,106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1,800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Other Items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4,000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49,000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49,000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49,000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19,000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4,000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49,700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51,600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58,106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20,800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PURCHASE OF NON-FINANCIAL </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9,106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(b)</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151,588</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179,854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182,600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236,100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109,600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151,588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180,554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185,200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245,206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111,400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0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 TO</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ACQUIRE ASSETS TO ASSET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151,588</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180,554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185,200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245,206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111,400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151,588</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180,554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185,200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245,206</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111,400</w:t>
            </w:r>
          </w:p>
        </w:tc>
      </w:tr>
    </w:tbl>
    <w:p w:rsidR="00E02CEF" w:rsidRDefault="00BA7A7F" w:rsidP="009C67CA">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915587" w:rsidRPr="00915587" w:rsidRDefault="00BA7A7F" w:rsidP="009C67CA">
      <w:pPr>
        <w:pStyle w:val="ListParagraph"/>
        <w:numPr>
          <w:ilvl w:val="0"/>
          <w:numId w:val="114"/>
        </w:numPr>
        <w:spacing w:after="0" w:line="240" w:lineRule="auto"/>
        <w:ind w:left="357" w:hanging="357"/>
        <w:rPr>
          <w:rFonts w:eastAsia="Calibri" w:cs="Arial"/>
          <w:sz w:val="16"/>
          <w:szCs w:val="16"/>
          <w:bdr w:val="none" w:sz="0" w:space="0" w:color="auto" w:frame="1"/>
          <w:lang w:val="en-AU"/>
        </w:rPr>
      </w:pPr>
      <w:r>
        <w:rPr>
          <w:rFonts w:ascii="Arial" w:eastAsia="Calibri" w:hAnsi="Arial" w:cs="Arial"/>
          <w:sz w:val="16"/>
          <w:szCs w:val="16"/>
          <w:bdr w:val="none" w:sz="0" w:space="0" w:color="auto" w:frame="1"/>
          <w:lang w:val="en-AU"/>
        </w:rPr>
        <w:t>I</w:t>
      </w:r>
      <w:r w:rsidRPr="00915587">
        <w:rPr>
          <w:rFonts w:ascii="Arial" w:eastAsia="Calibri" w:hAnsi="Arial" w:cs="Arial"/>
          <w:sz w:val="16"/>
          <w:szCs w:val="16"/>
          <w:bdr w:val="none" w:sz="0" w:space="0" w:color="auto" w:frame="1"/>
          <w:lang w:val="en-AU"/>
        </w:rPr>
        <w:t>ncludes both current Bill 2 and prior Act 2/4/6 appropriations.</w:t>
      </w:r>
    </w:p>
    <w:p w:rsidR="002E6A7E" w:rsidRPr="001A0AE9" w:rsidRDefault="00BA7A7F" w:rsidP="009C67CA">
      <w:pPr>
        <w:pStyle w:val="ListParagraph"/>
        <w:numPr>
          <w:ilvl w:val="0"/>
          <w:numId w:val="114"/>
        </w:numPr>
        <w:spacing w:after="0" w:line="240" w:lineRule="auto"/>
        <w:ind w:left="357" w:hanging="357"/>
        <w:rPr>
          <w:rFonts w:eastAsia="Calibri" w:cs="Arial"/>
          <w:sz w:val="16"/>
          <w:szCs w:val="16"/>
          <w:bdr w:val="none" w:sz="0" w:space="0" w:color="auto" w:frame="1"/>
          <w:lang w:val="en-AU"/>
        </w:rPr>
      </w:pPr>
      <w:r w:rsidRPr="001A0AE9">
        <w:rPr>
          <w:rFonts w:ascii="Arial" w:eastAsia="Calibri" w:hAnsi="Arial" w:cs="Arial"/>
          <w:sz w:val="16"/>
          <w:szCs w:val="16"/>
          <w:bdr w:val="none" w:sz="0" w:space="0" w:color="auto" w:frame="1"/>
          <w:lang w:val="en-AU"/>
        </w:rPr>
        <w:t>Includes the following sources of funding:</w:t>
      </w:r>
    </w:p>
    <w:p w:rsidR="002E6A7E" w:rsidRDefault="00BA7A7F" w:rsidP="009C67CA">
      <w:pPr>
        <w:pStyle w:val="ChartandTableFootnoteAlpha-Bullet"/>
        <w:numPr>
          <w:ilvl w:val="0"/>
          <w:numId w:val="115"/>
        </w:numPr>
        <w:ind w:left="624" w:hanging="284"/>
        <w:contextualSpacing/>
      </w:pPr>
      <w:r>
        <w:t>current Bill 1 and prior year Act 1/3/5 appropriations;</w:t>
      </w:r>
    </w:p>
    <w:p w:rsidR="002E6A7E" w:rsidRDefault="00BA7A7F" w:rsidP="009C67CA">
      <w:pPr>
        <w:pStyle w:val="ChartandTableFootnoteAlpha-Bullet"/>
        <w:numPr>
          <w:ilvl w:val="0"/>
          <w:numId w:val="115"/>
        </w:numPr>
        <w:ind w:left="624" w:hanging="284"/>
        <w:contextualSpacing/>
      </w:pPr>
      <w:r>
        <w:t>internally developed assets;</w:t>
      </w:r>
    </w:p>
    <w:p w:rsidR="002E6A7E" w:rsidRDefault="00BA7A7F" w:rsidP="009C67CA">
      <w:pPr>
        <w:pStyle w:val="ChartandTableFootnoteAlpha-Bullet"/>
        <w:numPr>
          <w:ilvl w:val="0"/>
          <w:numId w:val="115"/>
        </w:numPr>
        <w:ind w:left="624" w:hanging="284"/>
        <w:contextualSpacing/>
      </w:pPr>
      <w:r>
        <w:t>donations and contributions;</w:t>
      </w:r>
    </w:p>
    <w:p w:rsidR="002E6A7E" w:rsidRDefault="00BA7A7F" w:rsidP="009C67CA">
      <w:pPr>
        <w:pStyle w:val="ChartandTableFootnoteAlpha-Bullet"/>
        <w:numPr>
          <w:ilvl w:val="0"/>
          <w:numId w:val="115"/>
        </w:numPr>
        <w:ind w:left="624" w:hanging="284"/>
        <w:contextualSpacing/>
      </w:pPr>
      <w:r>
        <w:t>own-source revenue receipts; and</w:t>
      </w:r>
    </w:p>
    <w:p w:rsidR="00F347AD" w:rsidRDefault="00BA7A7F" w:rsidP="009C67CA">
      <w:pPr>
        <w:pStyle w:val="ChartandTableFootnoteAlpha-Bullet"/>
        <w:numPr>
          <w:ilvl w:val="0"/>
          <w:numId w:val="115"/>
        </w:numPr>
        <w:ind w:left="624" w:hanging="284"/>
        <w:contextualSpacing/>
      </w:pPr>
      <w:r>
        <w:t>proceeds from the sale of assets.</w:t>
      </w:r>
    </w:p>
    <w:p w:rsidR="00E33850" w:rsidRDefault="00E33850" w:rsidP="00E33850">
      <w:pPr>
        <w:pStyle w:val="ChartandTableFootnoteAlpha-Bullet"/>
        <w:numPr>
          <w:ilvl w:val="0"/>
          <w:numId w:val="0"/>
        </w:numPr>
        <w:contextualSpacing/>
        <w:jc w:val="left"/>
        <w:rPr>
          <w:vanish/>
        </w:rPr>
        <w:sectPr w:rsidR="00E33850" w:rsidSect="00F07738">
          <w:headerReference w:type="even" r:id="rId288"/>
          <w:headerReference w:type="default" r:id="rId289"/>
          <w:footerReference w:type="even" r:id="rId290"/>
          <w:footerReference w:type="default" r:id="rId291"/>
          <w:headerReference w:type="first" r:id="rId292"/>
          <w:footerReference w:type="first" r:id="rId293"/>
          <w:type w:val="continuous"/>
          <w:pgSz w:w="11906" w:h="16838"/>
          <w:pgMar w:top="2466" w:right="2098" w:bottom="2466" w:left="2098" w:header="1899" w:footer="1899" w:gutter="0"/>
          <w:pgBorders>
            <w:top w:val="nil"/>
            <w:left w:val="nil"/>
            <w:bottom w:val="nil"/>
            <w:right w:val="nil"/>
          </w:pgBorders>
          <w:cols w:space="720"/>
          <w:docGrid w:linePitch="360"/>
        </w:sectPr>
      </w:pPr>
    </w:p>
    <w:p w:rsidR="00E02CEF" w:rsidRDefault="00BA7A7F" w:rsidP="00B027E6">
      <w:pPr>
        <w:pStyle w:val="TableHeading"/>
        <w:keepLines/>
        <w:pageBreakBefore/>
        <w:spacing w:before="0"/>
        <w:rPr>
          <w:rStyle w:val="BookTitle"/>
          <w:i w:val="0"/>
          <w:iCs/>
        </w:rPr>
      </w:pPr>
      <w:bookmarkStart w:id="1260" w:name="RG_MARKER_12107"/>
      <w:r>
        <w:t xml:space="preserve">Table 3.6: Statement of departmental asset movements (Budget year </w:t>
      </w:r>
      <w:bookmarkEnd w:id="1260"/>
      <w:r>
        <w:t>2022­23)</w:t>
      </w:r>
    </w:p>
    <w:tbl>
      <w:tblPr>
        <w:tblStyle w:val="CDMRange1"/>
        <w:tblW w:w="11625" w:type="dxa"/>
        <w:tblLayout w:type="fixed"/>
        <w:tblLook w:val="0600" w:firstRow="0" w:lastRow="0" w:firstColumn="0" w:lastColumn="0" w:noHBand="1" w:noVBand="1"/>
      </w:tblPr>
      <w:tblGrid>
        <w:gridCol w:w="3210"/>
        <w:gridCol w:w="1005"/>
        <w:gridCol w:w="1185"/>
        <w:gridCol w:w="1200"/>
        <w:gridCol w:w="1005"/>
        <w:gridCol w:w="1005"/>
        <w:gridCol w:w="1005"/>
        <w:gridCol w:w="1005"/>
        <w:gridCol w:w="1005"/>
      </w:tblGrid>
      <w:tr w:rsidR="00253274">
        <w:trPr>
          <w:trHeight w:val="645"/>
        </w:trPr>
        <w:tc>
          <w:tcPr>
            <w:tcW w:w="3210" w:type="dxa"/>
            <w:tcBorders>
              <w:top w:val="single" w:sz="4"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Land</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Property, plant and equipment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Heritage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and cultural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Investment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Land held for sale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367,496</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2,831,787</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1,321,362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150,061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49,016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64,808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4,789,730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291,546</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4,710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296,256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1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(1,757,893)</w:t>
            </w:r>
          </w:p>
        </w:tc>
        <w:tc>
          <w:tcPr>
            <w:tcW w:w="12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(756,525)</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(140,109)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(44,418)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(2,698,945)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321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(171,553)</w:t>
            </w:r>
          </w:p>
        </w:tc>
        <w:tc>
          <w:tcPr>
            <w:tcW w:w="12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(2,214)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(173,767)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367,496</w:t>
            </w:r>
          </w:p>
        </w:tc>
        <w:tc>
          <w:tcPr>
            <w:tcW w:w="11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1,193,887</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567,333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9,952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49,016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20,390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5,200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2,213,274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1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Estimated expenditure on new</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1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21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ordinary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annual services (b)</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26,500</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49,500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1,177</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58,204</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41,650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99,854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Assets received as gifts/donations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13,637</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13,637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85,881</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106,170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4,000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196,051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(83,514)</w:t>
            </w:r>
          </w:p>
        </w:tc>
        <w:tc>
          <w:tcPr>
            <w:tcW w:w="12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(73,350)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(3,326)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(160,190)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ROU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assets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(14,876)</w:t>
            </w:r>
          </w:p>
        </w:tc>
        <w:tc>
          <w:tcPr>
            <w:tcW w:w="12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(964)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(15,840)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Disposals</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11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(35,200)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single" w:sz="4" w:space="0" w:color="000000"/>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11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(98,390)</w:t>
            </w:r>
          </w:p>
        </w:tc>
        <w:tc>
          <w:tcPr>
            <w:tcW w:w="120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(74,314)</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(3,326)</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(5,200)</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(211,230)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single" w:sz="4" w:space="0" w:color="000000"/>
              <w:left w:val="nil"/>
              <w:bottom w:val="nil"/>
              <w:right w:val="nil"/>
              <w:tl2br w:val="nil"/>
              <w:tr2bl w:val="nil"/>
            </w:tcBorders>
            <w:shd w:val="clear" w:color="auto" w:fill="auto"/>
            <w:tcMar>
              <w:left w:w="135"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1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35" w:type="dxa"/>
              <w:right w:w="0" w:type="dxa"/>
            </w:tcMar>
            <w:vAlign w:val="center"/>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605" w:type="dxa"/>
            <w:gridSpan w:val="5"/>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Table 3.6:  Statement of departmental asset movements (2022-23 Budget year) (continued)</w:t>
            </w:r>
          </w:p>
        </w:tc>
        <w:tc>
          <w:tcPr>
            <w:tcW w:w="100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FF0000"/>
              </w:rPr>
            </w:pPr>
          </w:p>
        </w:tc>
        <w:tc>
          <w:tcPr>
            <w:tcW w:w="100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FF0000"/>
              </w:rPr>
            </w:pPr>
          </w:p>
        </w:tc>
        <w:tc>
          <w:tcPr>
            <w:tcW w:w="100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FF0000"/>
              </w:rPr>
            </w:pPr>
          </w:p>
        </w:tc>
        <w:tc>
          <w:tcPr>
            <w:tcW w:w="100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FF0000"/>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10" w:type="dxa"/>
            <w:tcBorders>
              <w:top w:val="single" w:sz="4"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Land</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Property, plant and equipment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Heritage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and cultural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Investment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Land held for sale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337,496</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2,916,491</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1,426,849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150,061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49,016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68,808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4,948,721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292,723</w:t>
            </w:r>
          </w:p>
        </w:tc>
        <w:tc>
          <w:tcPr>
            <w:tcW w:w="12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5,393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298,116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(1,841,407)</w:t>
            </w:r>
          </w:p>
        </w:tc>
        <w:tc>
          <w:tcPr>
            <w:tcW w:w="12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(829,875)</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(140,109)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(47,744)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(2,859,135)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1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(186,429)</w:t>
            </w:r>
          </w:p>
        </w:tc>
        <w:tc>
          <w:tcPr>
            <w:tcW w:w="12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(3,178)</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(189,607)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337,496</w:t>
            </w:r>
          </w:p>
        </w:tc>
        <w:tc>
          <w:tcPr>
            <w:tcW w:w="11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1,181,378</w:t>
            </w:r>
          </w:p>
        </w:tc>
        <w:tc>
          <w:tcPr>
            <w:tcW w:w="12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599,189</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9,952</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49,016</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21,064</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2,198,095</w:t>
            </w:r>
          </w:p>
        </w:tc>
      </w:tr>
    </w:tbl>
    <w:p w:rsidR="004A76AA" w:rsidRDefault="00BA7A7F" w:rsidP="00953DF7">
      <w:pPr>
        <w:spacing w:before="20" w:after="0" w:line="240" w:lineRule="auto"/>
        <w:ind w:left="142" w:hanging="142"/>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397957" w:rsidRDefault="00BA7A7F" w:rsidP="00655A9F">
      <w:pPr>
        <w:pStyle w:val="ListParagraph"/>
        <w:keepLines/>
        <w:numPr>
          <w:ilvl w:val="0"/>
          <w:numId w:val="116"/>
        </w:numPr>
        <w:spacing w:after="0" w:line="240" w:lineRule="auto"/>
        <w:ind w:left="284" w:hanging="284"/>
        <w:jc w:val="left"/>
        <w:rPr>
          <w:rFonts w:eastAsia="Calibri" w:cs="Arial"/>
          <w:sz w:val="16"/>
          <w:szCs w:val="16"/>
          <w:bdr w:val="none" w:sz="0" w:space="0" w:color="auto" w:frame="1"/>
          <w:lang w:val="en-AU"/>
        </w:rPr>
      </w:pPr>
      <w:r>
        <w:rPr>
          <w:rFonts w:ascii="Arial" w:eastAsia="Calibri" w:hAnsi="Arial" w:cs="Arial"/>
          <w:sz w:val="16"/>
          <w:szCs w:val="16"/>
          <w:bdr w:val="none" w:sz="0" w:space="0" w:color="auto" w:frame="1"/>
          <w:lang w:val="en-AU"/>
        </w:rPr>
        <w:t>‘Appropriation equity’ refers to equity injections appropriations provided through Appropriation Bill (No. 2) 2022-23.</w:t>
      </w:r>
    </w:p>
    <w:p w:rsidR="00655A9F" w:rsidRDefault="00BA7A7F" w:rsidP="00655A9F">
      <w:pPr>
        <w:pStyle w:val="ListParagraph"/>
        <w:keepLines/>
        <w:numPr>
          <w:ilvl w:val="0"/>
          <w:numId w:val="116"/>
        </w:numPr>
        <w:spacing w:after="0" w:line="240" w:lineRule="auto"/>
        <w:ind w:left="284" w:hanging="284"/>
        <w:jc w:val="left"/>
        <w:rPr>
          <w:rFonts w:eastAsia="Calibri" w:cs="Arial"/>
          <w:sz w:val="16"/>
          <w:szCs w:val="16"/>
          <w:bdr w:val="none" w:sz="0" w:space="0" w:color="auto" w:frame="1"/>
          <w:lang w:val="en-AU"/>
        </w:rPr>
        <w:sectPr w:rsidR="00655A9F" w:rsidSect="006E6F8D">
          <w:headerReference w:type="even" r:id="rId294"/>
          <w:headerReference w:type="default" r:id="rId295"/>
          <w:footerReference w:type="even" r:id="rId296"/>
          <w:footerReference w:type="default" r:id="rId297"/>
          <w:headerReference w:type="first" r:id="rId298"/>
          <w:footerReference w:type="first" r:id="rId299"/>
          <w:type w:val="continuous"/>
          <w:pgSz w:w="16838" w:h="11906" w:orient="landscape"/>
          <w:pgMar w:top="1701" w:right="2466" w:bottom="567" w:left="2466" w:header="1899" w:footer="1899" w:gutter="0"/>
          <w:pgBorders>
            <w:top w:val="nil"/>
            <w:left w:val="nil"/>
            <w:bottom w:val="nil"/>
            <w:right w:val="nil"/>
          </w:pgBorders>
          <w:cols w:space="720"/>
          <w:docGrid w:linePitch="360"/>
        </w:sectPr>
      </w:pPr>
      <w:r w:rsidRPr="00655A9F">
        <w:rPr>
          <w:rFonts w:ascii="Arial" w:eastAsia="Calibri" w:hAnsi="Arial" w:cs="Arial"/>
          <w:sz w:val="16"/>
          <w:szCs w:val="16"/>
          <w:bdr w:val="none" w:sz="0" w:space="0" w:color="auto" w:frame="1"/>
          <w:lang w:val="en-AU"/>
        </w:rPr>
        <w:t>'Appropriation ordinary annual services' refers to funding provided through</w:t>
      </w:r>
      <w:r>
        <w:rPr>
          <w:rFonts w:ascii="Arial" w:eastAsia="Calibri" w:hAnsi="Arial" w:cs="Arial"/>
          <w:sz w:val="16"/>
          <w:szCs w:val="16"/>
          <w:bdr w:val="none" w:sz="0" w:space="0" w:color="auto" w:frame="1"/>
          <w:lang w:val="en-AU"/>
        </w:rPr>
        <w:t xml:space="preserve"> Appropriation Bill (No. 1) 2022-23</w:t>
      </w:r>
      <w:r w:rsidRPr="00655A9F">
        <w:rPr>
          <w:rFonts w:ascii="Arial" w:eastAsia="Calibri" w:hAnsi="Arial" w:cs="Arial"/>
          <w:sz w:val="16"/>
          <w:szCs w:val="16"/>
          <w:bdr w:val="none" w:sz="0" w:space="0" w:color="auto" w:frame="1"/>
          <w:lang w:val="en-AU"/>
        </w:rPr>
        <w:t xml:space="preserve"> for depreciation/amortisation expenses.</w:t>
      </w:r>
    </w:p>
    <w:p w:rsidR="00106AE5" w:rsidRDefault="00BA7A7F" w:rsidP="001F33AB">
      <w:pPr>
        <w:pStyle w:val="TableHeading"/>
        <w:keepLines/>
        <w:pageBreakBefore/>
        <w:spacing w:before="0"/>
        <w:rPr>
          <w:rFonts w:cs="Arial"/>
        </w:rPr>
      </w:pPr>
      <w:bookmarkStart w:id="1261" w:name="RG_MARKER_12114"/>
      <w:r>
        <w:rPr>
          <w:rFonts w:cs="Arial"/>
          <w:lang w:val="en-US"/>
        </w:rPr>
        <w:t>Table 3.7: Schedule of budgeted income and expenses administered on behalf of Government (for the period ended 30 June)</w:t>
      </w:r>
      <w:bookmarkEnd w:id="1261"/>
    </w:p>
    <w:p w:rsidR="00106AE5" w:rsidRDefault="00BA7A7F" w:rsidP="001F33AB">
      <w:pPr>
        <w:spacing w:line="240" w:lineRule="auto"/>
      </w:pPr>
      <w:r>
        <w:t>CSIRO has no budgeted income and expenses administered on behalf of Government; therefore Table 3.7 is not presented.</w:t>
      </w:r>
    </w:p>
    <w:p w:rsidR="00106AE5" w:rsidRDefault="00BA7A7F" w:rsidP="001F33AB">
      <w:pPr>
        <w:pStyle w:val="TableHeading"/>
        <w:keepLines/>
        <w:spacing w:before="0"/>
        <w:rPr>
          <w:rFonts w:cs="Arial"/>
          <w:sz w:val="16"/>
          <w:szCs w:val="16"/>
        </w:rPr>
      </w:pPr>
      <w:r>
        <w:rPr>
          <w:rFonts w:cs="Arial"/>
          <w:lang w:val="en-US"/>
        </w:rPr>
        <w:t>Table 3.8: Schedule of budgeted assets and liabilities administered on behalf of Government (as at 30 June)</w:t>
      </w:r>
      <w:r>
        <w:rPr>
          <w:rFonts w:cs="Arial"/>
          <w:sz w:val="16"/>
          <w:szCs w:val="16"/>
          <w:lang w:val="en-US"/>
        </w:rPr>
        <w:t xml:space="preserve"> </w:t>
      </w:r>
    </w:p>
    <w:p w:rsidR="00106AE5" w:rsidRDefault="00BA7A7F" w:rsidP="001F33AB">
      <w:pPr>
        <w:spacing w:line="240" w:lineRule="auto"/>
      </w:pPr>
      <w:r>
        <w:t>CSIRO has no budgeted assets and liabilities administered on behalf of Government; therefore Table 3.8 is not presented.</w:t>
      </w:r>
    </w:p>
    <w:p w:rsidR="00106AE5" w:rsidRDefault="00BA7A7F" w:rsidP="001F33AB">
      <w:pPr>
        <w:pStyle w:val="TableHeading"/>
        <w:keepLines/>
        <w:spacing w:before="0"/>
        <w:rPr>
          <w:rFonts w:cs="Arial"/>
        </w:rPr>
      </w:pPr>
      <w:r>
        <w:rPr>
          <w:rFonts w:cs="Arial"/>
          <w:lang w:val="en-US"/>
        </w:rPr>
        <w:t>Table 3.9: Schedule of budgeted administered cash flows (for the period ended 30 June)</w:t>
      </w:r>
    </w:p>
    <w:p w:rsidR="00106AE5" w:rsidRDefault="00BA7A7F" w:rsidP="001F33AB">
      <w:pPr>
        <w:spacing w:line="240" w:lineRule="auto"/>
      </w:pPr>
      <w:r>
        <w:t>CSIRO has no budgeted administered cash flows; therefore Table 3.9 is not presented.</w:t>
      </w:r>
    </w:p>
    <w:p w:rsidR="00106AE5" w:rsidRDefault="00BA7A7F" w:rsidP="001F33AB">
      <w:pPr>
        <w:pStyle w:val="TableHeading"/>
        <w:keepLines/>
        <w:spacing w:before="0"/>
        <w:rPr>
          <w:rFonts w:cs="Arial"/>
        </w:rPr>
      </w:pPr>
      <w:r>
        <w:rPr>
          <w:rFonts w:cs="Arial"/>
          <w:lang w:val="en-US"/>
        </w:rPr>
        <w:t>Table 3.10: Administered capital budget statement (for the period ended 30 June)</w:t>
      </w:r>
    </w:p>
    <w:p w:rsidR="00106AE5" w:rsidRDefault="00BA7A7F" w:rsidP="001F33AB">
      <w:pPr>
        <w:spacing w:line="240" w:lineRule="auto"/>
      </w:pPr>
      <w:r>
        <w:t>CSIRO has no administered capital budget; therefore Table 3.10 is not presented.</w:t>
      </w:r>
    </w:p>
    <w:p w:rsidR="00106AE5" w:rsidRDefault="00BA7A7F" w:rsidP="001F33AB">
      <w:pPr>
        <w:pStyle w:val="TableHeading"/>
        <w:keepLines/>
        <w:spacing w:before="0"/>
        <w:rPr>
          <w:rFonts w:cs="Arial"/>
        </w:rPr>
      </w:pPr>
      <w:r>
        <w:rPr>
          <w:rFonts w:cs="Arial"/>
          <w:lang w:val="en-US"/>
        </w:rPr>
        <w:t>Table 3.11: Statement of administered asset movements (Budget year 2022­23)</w:t>
      </w:r>
    </w:p>
    <w:p w:rsidR="007E6680" w:rsidRDefault="00BA7A7F" w:rsidP="001F33AB">
      <w:pPr>
        <w:spacing w:line="240" w:lineRule="auto"/>
        <w:sectPr w:rsidR="007E6680" w:rsidSect="00106AE5">
          <w:headerReference w:type="even" r:id="rId300"/>
          <w:headerReference w:type="default" r:id="rId301"/>
          <w:footerReference w:type="even" r:id="rId302"/>
          <w:footerReference w:type="default" r:id="rId303"/>
          <w:headerReference w:type="first" r:id="rId304"/>
          <w:footerReference w:type="first" r:id="rId305"/>
          <w:type w:val="continuous"/>
          <w:pgSz w:w="11906" w:h="16838"/>
          <w:pgMar w:top="2466" w:right="2098" w:bottom="2466" w:left="2098" w:header="1899" w:footer="1899" w:gutter="0"/>
          <w:pgBorders>
            <w:top w:val="nil"/>
            <w:left w:val="nil"/>
            <w:bottom w:val="nil"/>
            <w:right w:val="nil"/>
          </w:pgBorders>
          <w:cols w:space="720"/>
          <w:docGrid w:linePitch="360"/>
        </w:sectPr>
      </w:pPr>
      <w:r>
        <w:t>CSIRO has no administered asset movements; therefore Table 3.11 is not presented.</w:t>
      </w:r>
    </w:p>
    <w:p w:rsidR="00D86095" w:rsidRDefault="00D86095">
      <w:pPr>
        <w:pageBreakBefore/>
      </w:pPr>
      <w:bookmarkStart w:id="1262" w:name="RG_MARKER_12003"/>
      <w:bookmarkStart w:id="1263" w:name="RG_MARKER_12008"/>
      <w:bookmarkStart w:id="1264" w:name="RG_MARKER_11885"/>
      <w:bookmarkStart w:id="1265" w:name="RG_MARKER_11883"/>
      <w:bookmarkEnd w:id="1262"/>
      <w:bookmarkEnd w:id="1263"/>
      <w:bookmarkEnd w:id="1264"/>
      <w:bookmarkEnd w:id="1265"/>
    </w:p>
    <w:p w:rsidR="00FA15D4" w:rsidRDefault="00BA7A7F" w:rsidP="00FE00F7">
      <w:pPr>
        <w:pStyle w:val="Department"/>
        <w:pageBreakBefore/>
        <w:jc w:val="left"/>
        <w:rPr>
          <w:smallCaps/>
          <w:color w:val="FFFFFF"/>
          <w:sz w:val="24"/>
          <w:szCs w:val="24"/>
        </w:rPr>
      </w:pPr>
      <w:bookmarkStart w:id="1266" w:name="RG_MARKER_12128"/>
      <w:r w:rsidRPr="00FE00F7">
        <w:rPr>
          <w:smallCaps/>
          <w:color w:val="FFFFFF"/>
          <w:sz w:val="24"/>
          <w:szCs w:val="24"/>
        </w:rPr>
        <w:t>Department o</w:t>
      </w:r>
      <w:bookmarkEnd w:id="1266"/>
    </w:p>
    <w:p w:rsidR="00FA15D4" w:rsidRDefault="00FA15D4" w:rsidP="002E6B3D">
      <w:pPr>
        <w:pStyle w:val="Department"/>
        <w:spacing w:before="1320"/>
        <w:rPr>
          <w:smallCaps/>
        </w:rPr>
      </w:pPr>
    </w:p>
    <w:p w:rsidR="00FA15D4" w:rsidRDefault="00FA15D4" w:rsidP="00FA15D4">
      <w:pPr>
        <w:pStyle w:val="PartHeading"/>
        <w:keepLines/>
        <w:spacing w:before="240" w:after="240"/>
        <w:rPr>
          <w:kern w:val="0"/>
          <w:szCs w:val="20"/>
        </w:rPr>
      </w:pPr>
    </w:p>
    <w:p w:rsidR="00FA15D4" w:rsidRPr="00427C91" w:rsidRDefault="00BA7A7F" w:rsidP="00FA15D4">
      <w:pPr>
        <w:pStyle w:val="PartHeading"/>
        <w:keepLines/>
        <w:spacing w:before="240" w:after="240"/>
        <w:rPr>
          <w:bCs w:val="0"/>
          <w:kern w:val="0"/>
          <w:szCs w:val="20"/>
        </w:rPr>
      </w:pPr>
      <w:r w:rsidRPr="00427C91">
        <w:rPr>
          <w:rFonts w:ascii="Arial" w:hAnsi="Arial"/>
          <w:bCs w:val="0"/>
          <w:kern w:val="0"/>
          <w:szCs w:val="20"/>
        </w:rPr>
        <w:t>Geoscience Australia</w:t>
      </w:r>
    </w:p>
    <w:p w:rsidR="00FA15D4" w:rsidRPr="00427C91" w:rsidRDefault="00FA15D4" w:rsidP="00FA15D4">
      <w:pPr>
        <w:pStyle w:val="PartHeading"/>
        <w:keepLines/>
        <w:spacing w:before="240" w:after="240"/>
        <w:rPr>
          <w:bCs w:val="0"/>
          <w:kern w:val="0"/>
          <w:sz w:val="48"/>
          <w:szCs w:val="48"/>
        </w:rPr>
      </w:pPr>
    </w:p>
    <w:p w:rsidR="00FA15D4" w:rsidRPr="00427C91" w:rsidRDefault="00FA15D4" w:rsidP="00FA15D4">
      <w:pPr>
        <w:pStyle w:val="PartHeading"/>
        <w:keepLines/>
        <w:spacing w:before="240" w:after="240"/>
        <w:rPr>
          <w:kern w:val="0"/>
          <w:sz w:val="48"/>
          <w:szCs w:val="48"/>
        </w:rPr>
      </w:pPr>
    </w:p>
    <w:p w:rsidR="00FA15D4" w:rsidRPr="00427C91" w:rsidRDefault="00BA7A7F" w:rsidP="00FA15D4">
      <w:pPr>
        <w:pStyle w:val="PartHeading-TOC"/>
        <w:rPr>
          <w:smallCaps w:val="0"/>
        </w:rPr>
      </w:pPr>
      <w:bookmarkStart w:id="1267" w:name="_Toc508032982_7"/>
      <w:r w:rsidRPr="00427C91">
        <w:rPr>
          <w:bCs w:val="0"/>
          <w:smallCaps w:val="0"/>
        </w:rPr>
        <w:t>Entity resources and planned performance</w:t>
      </w:r>
      <w:bookmarkEnd w:id="1267"/>
    </w:p>
    <w:p w:rsidR="00253274" w:rsidRDefault="00253274">
      <w:pPr>
        <w:keepLines w:val="0"/>
        <w:spacing w:after="160" w:line="259" w:lineRule="auto"/>
        <w:jc w:val="left"/>
        <w:rPr>
          <w:rFonts w:ascii="Calibri" w:eastAsia="Calibri" w:hAnsi="Calibri"/>
          <w:sz w:val="22"/>
          <w:szCs w:val="22"/>
          <w:lang w:val="en-US" w:eastAsia="en-US"/>
        </w:rPr>
      </w:pPr>
    </w:p>
    <w:p w:rsidR="007E6680" w:rsidRDefault="007E6680">
      <w:pPr>
        <w:keepLines w:val="0"/>
        <w:spacing w:after="160" w:line="259" w:lineRule="auto"/>
        <w:jc w:val="left"/>
        <w:rPr>
          <w:rFonts w:ascii="Calibri" w:eastAsia="Calibri" w:hAnsi="Calibri"/>
          <w:sz w:val="22"/>
          <w:szCs w:val="22"/>
          <w:lang w:val="en-US" w:eastAsia="en-US"/>
        </w:rPr>
      </w:pPr>
      <w:bookmarkStart w:id="1268" w:name="RG_MARKER_12361"/>
      <w:bookmarkEnd w:id="1268"/>
    </w:p>
    <w:p w:rsidR="00D86095" w:rsidRDefault="00BA7A7F">
      <w:pPr>
        <w:pageBreakBefore/>
      </w:pPr>
      <w:bookmarkStart w:id="1269" w:name="RG_MARKER_11994"/>
      <w:r>
        <w:t xml:space="preserve">      </w:t>
      </w:r>
      <w:bookmarkEnd w:id="1269"/>
    </w:p>
    <w:p w:rsidR="004D0F5B" w:rsidRPr="007544BC" w:rsidRDefault="00BA7A7F" w:rsidP="009420CE">
      <w:pPr>
        <w:pStyle w:val="ContentsHeading"/>
        <w:pageBreakBefore/>
        <w:spacing w:after="600"/>
        <w:rPr>
          <w:smallCaps w:val="0"/>
        </w:rPr>
      </w:pPr>
      <w:bookmarkStart w:id="1270" w:name="RG_MARKER_11887"/>
      <w:bookmarkStart w:id="1271" w:name="RG_MARKER_12150"/>
      <w:r w:rsidRPr="007544BC">
        <w:rPr>
          <w:smallCaps w:val="0"/>
        </w:rPr>
        <w:t>Geoscience Australia</w:t>
      </w:r>
      <w:bookmarkEnd w:id="1270"/>
      <w:bookmarkEnd w:id="1271"/>
    </w:p>
    <w:p w:rsidR="004D0F5B" w:rsidRPr="00846FBC" w:rsidRDefault="00BA7A7F" w:rsidP="00846FBC">
      <w:pPr>
        <w:pStyle w:val="TOC1"/>
      </w:pPr>
      <w:r w:rsidRPr="00846FBC">
        <w:t>Section 1: Entity overview and resources</w:t>
      </w:r>
      <w:r w:rsidRPr="00846FBC">
        <w:tab/>
        <w:t>267</w:t>
      </w:r>
    </w:p>
    <w:p w:rsidR="004D0F5B" w:rsidRDefault="00BA7A7F" w:rsidP="004D0F5B">
      <w:pPr>
        <w:pStyle w:val="TOC2"/>
      </w:pPr>
      <w:r>
        <w:t>1.1 Strategic direction statement</w:t>
      </w:r>
      <w:r>
        <w:tab/>
      </w:r>
      <w:r w:rsidRPr="00B75654">
        <w:t>267</w:t>
      </w:r>
    </w:p>
    <w:p w:rsidR="004D0F5B" w:rsidRDefault="00BA7A7F" w:rsidP="004D0F5B">
      <w:pPr>
        <w:pStyle w:val="TOC2"/>
      </w:pPr>
      <w:r>
        <w:t>1.2 Entity resource statement</w:t>
      </w:r>
      <w:r>
        <w:tab/>
      </w:r>
      <w:r w:rsidRPr="00B75654">
        <w:t>270</w:t>
      </w:r>
    </w:p>
    <w:p w:rsidR="00371743" w:rsidRDefault="00BA7A7F" w:rsidP="00371743">
      <w:pPr>
        <w:pStyle w:val="TOC2"/>
      </w:pPr>
      <w:r>
        <w:t>1.3 Budget measures</w:t>
      </w:r>
      <w:r>
        <w:tab/>
      </w:r>
      <w:r w:rsidRPr="00371743">
        <w:t>272</w:t>
      </w:r>
    </w:p>
    <w:p w:rsidR="004D0F5B" w:rsidRDefault="00BA7A7F" w:rsidP="00846FBC">
      <w:pPr>
        <w:pStyle w:val="TOC1"/>
      </w:pPr>
      <w:r>
        <w:t>S</w:t>
      </w:r>
      <w:r w:rsidRPr="002645FE">
        <w:t xml:space="preserve">ection 2: </w:t>
      </w:r>
      <w:r>
        <w:t>O</w:t>
      </w:r>
      <w:r w:rsidRPr="002645FE">
        <w:t xml:space="preserve">utcomes and </w:t>
      </w:r>
      <w:r>
        <w:t>p</w:t>
      </w:r>
      <w:r w:rsidRPr="002645FE">
        <w:t xml:space="preserve">lanned </w:t>
      </w:r>
      <w:r>
        <w:t>p</w:t>
      </w:r>
      <w:r w:rsidRPr="002645FE">
        <w:t>erformance</w:t>
      </w:r>
      <w:r>
        <w:tab/>
        <w:t>274</w:t>
      </w:r>
    </w:p>
    <w:p w:rsidR="004D0F5B" w:rsidRDefault="00BA7A7F" w:rsidP="004D0F5B">
      <w:pPr>
        <w:pStyle w:val="TOC2"/>
      </w:pPr>
      <w:r>
        <w:t>2.1 Budgeted expenses and performance for Outcome 1</w:t>
      </w:r>
      <w:r>
        <w:tab/>
        <w:t>275</w:t>
      </w:r>
    </w:p>
    <w:p w:rsidR="004D0F5B" w:rsidRDefault="00BA7A7F" w:rsidP="00846FBC">
      <w:pPr>
        <w:pStyle w:val="TOC1"/>
      </w:pPr>
      <w:r>
        <w:t>S</w:t>
      </w:r>
      <w:r w:rsidRPr="002645FE">
        <w:t xml:space="preserve">ection 3: </w:t>
      </w:r>
      <w:r>
        <w:t>B</w:t>
      </w:r>
      <w:r w:rsidRPr="002645FE">
        <w:t xml:space="preserve">udgeted </w:t>
      </w:r>
      <w:r>
        <w:t>f</w:t>
      </w:r>
      <w:r w:rsidRPr="002645FE">
        <w:t xml:space="preserve">inancial </w:t>
      </w:r>
      <w:r>
        <w:t>s</w:t>
      </w:r>
      <w:r w:rsidRPr="002645FE">
        <w:t>tatements</w:t>
      </w:r>
      <w:r>
        <w:tab/>
      </w:r>
      <w:r w:rsidRPr="004F6A3E">
        <w:t>279</w:t>
      </w:r>
    </w:p>
    <w:p w:rsidR="00D86095" w:rsidRDefault="00BA7A7F" w:rsidP="005F2963">
      <w:pPr>
        <w:pStyle w:val="TOC2"/>
      </w:pPr>
      <w:r>
        <w:t>3.1 Budgeted financial statements</w:t>
      </w:r>
      <w:r>
        <w:tab/>
      </w:r>
      <w:r w:rsidRPr="004F6A3E">
        <w:t>279</w:t>
      </w:r>
    </w:p>
    <w:p w:rsidR="00D86095" w:rsidRDefault="00BA7A7F">
      <w:pPr>
        <w:pageBreakBefore/>
        <w:sectPr w:rsidR="00D86095" w:rsidSect="00D86095">
          <w:headerReference w:type="even" r:id="rId306"/>
          <w:headerReference w:type="default" r:id="rId307"/>
          <w:footerReference w:type="even" r:id="rId308"/>
          <w:footerReference w:type="default" r:id="rId309"/>
          <w:headerReference w:type="first" r:id="rId310"/>
          <w:footerReference w:type="first" r:id="rId311"/>
          <w:type w:val="continuous"/>
          <w:pgSz w:w="11906" w:h="16838"/>
          <w:pgMar w:top="2466" w:right="2098" w:bottom="2466" w:left="2098" w:header="1899" w:footer="1899" w:gutter="0"/>
          <w:pgBorders>
            <w:top w:val="nil"/>
            <w:left w:val="nil"/>
            <w:bottom w:val="nil"/>
            <w:right w:val="nil"/>
          </w:pgBorders>
          <w:cols w:space="720"/>
          <w:docGrid w:linePitch="360"/>
        </w:sectPr>
      </w:pPr>
      <w:bookmarkStart w:id="1272" w:name="RG_MARKER_11889"/>
      <w:bookmarkStart w:id="1273" w:name="RG_MARKER_12000"/>
      <w:r>
        <w:t xml:space="preserve">     </w:t>
      </w:r>
      <w:bookmarkEnd w:id="1272"/>
      <w:bookmarkEnd w:id="1273"/>
    </w:p>
    <w:p w:rsidR="00A85152" w:rsidRPr="003A582C" w:rsidRDefault="00BA7A7F" w:rsidP="00A85152">
      <w:pPr>
        <w:pStyle w:val="Heading1"/>
        <w:pageBreakBefore/>
        <w:rPr>
          <w:smallCaps w:val="0"/>
        </w:rPr>
      </w:pPr>
      <w:bookmarkStart w:id="1274" w:name="RG_MARKER_11891"/>
      <w:bookmarkStart w:id="1275" w:name="RG_MARKER_12048"/>
      <w:bookmarkStart w:id="1276" w:name="RG_MARKER_12166"/>
      <w:r w:rsidRPr="003A582C">
        <w:rPr>
          <w:smallCaps w:val="0"/>
        </w:rPr>
        <w:t>Geoscience Australia</w:t>
      </w:r>
      <w:bookmarkEnd w:id="1274"/>
      <w:bookmarkEnd w:id="1275"/>
      <w:bookmarkEnd w:id="1276"/>
    </w:p>
    <w:p w:rsidR="00A85152" w:rsidRPr="003A582C" w:rsidRDefault="00BA7A7F" w:rsidP="00A85152">
      <w:pPr>
        <w:pStyle w:val="Heading2"/>
        <w:rPr>
          <w:b/>
          <w:sz w:val="26"/>
          <w:szCs w:val="26"/>
        </w:rPr>
      </w:pPr>
      <w:r w:rsidRPr="003A582C">
        <w:rPr>
          <w:b/>
          <w:sz w:val="26"/>
          <w:szCs w:val="26"/>
        </w:rPr>
        <w:t>Section 1</w:t>
      </w:r>
      <w:bookmarkStart w:id="1277" w:name="_Toc449255758_7"/>
      <w:bookmarkStart w:id="1278" w:name="_Toc446237031_7"/>
      <w:r w:rsidRPr="003A582C">
        <w:rPr>
          <w:b/>
          <w:sz w:val="26"/>
          <w:szCs w:val="26"/>
        </w:rPr>
        <w:t>: Entity overview and resources</w:t>
      </w:r>
      <w:bookmarkEnd w:id="1277"/>
      <w:bookmarkEnd w:id="1278"/>
    </w:p>
    <w:p w:rsidR="00A85152" w:rsidRPr="003A582C" w:rsidRDefault="00BA7A7F" w:rsidP="002278E8">
      <w:pPr>
        <w:pStyle w:val="Heading3"/>
        <w:spacing w:before="0" w:line="260" w:lineRule="exact"/>
        <w:rPr>
          <w:smallCaps w:val="0"/>
          <w:sz w:val="22"/>
          <w:szCs w:val="22"/>
        </w:rPr>
      </w:pPr>
      <w:bookmarkStart w:id="1279" w:name="_Toc210698428_6"/>
      <w:bookmarkStart w:id="1280" w:name="_Toc210646449_6"/>
      <w:bookmarkStart w:id="1281" w:name="_Toc210703209_6"/>
      <w:r w:rsidRPr="003A582C">
        <w:rPr>
          <w:smallCaps w:val="0"/>
          <w:sz w:val="22"/>
          <w:szCs w:val="22"/>
        </w:rPr>
        <w:t>1.1</w:t>
      </w:r>
      <w:r w:rsidRPr="003A582C">
        <w:rPr>
          <w:smallCaps w:val="0"/>
          <w:sz w:val="22"/>
          <w:szCs w:val="22"/>
        </w:rPr>
        <w:tab/>
        <w:t>Strategic direction</w:t>
      </w:r>
      <w:bookmarkEnd w:id="1279"/>
      <w:bookmarkEnd w:id="1280"/>
      <w:bookmarkEnd w:id="1281"/>
      <w:r w:rsidRPr="003A582C">
        <w:rPr>
          <w:smallCaps w:val="0"/>
          <w:sz w:val="22"/>
          <w:szCs w:val="22"/>
        </w:rPr>
        <w:t xml:space="preserve"> statement</w:t>
      </w:r>
    </w:p>
    <w:p w:rsidR="008F333B" w:rsidRPr="0063425B" w:rsidRDefault="00BA7A7F" w:rsidP="00163D66">
      <w:r w:rsidRPr="0063425B">
        <w:t>Geoscience Australia is the national public sector geoscience organisation. Its purpose is to be the trusted source of information on Australia’s geology and geography for government, industry and community decision making, and contribute to a safer, more prosperous and well-informed Australia.</w:t>
      </w:r>
    </w:p>
    <w:p w:rsidR="008F333B" w:rsidRDefault="00BA7A7F" w:rsidP="00163D66">
      <w:r w:rsidRPr="0063425B">
        <w:t>Geoscience Australia supports evidence-based decisions through information, advice and services for a strong economy, resilient society and sustainable environment. Geoscience Australia delivers Earth sciences for Australia’s future.  </w:t>
      </w:r>
    </w:p>
    <w:p w:rsidR="0063425B" w:rsidRDefault="00BA7A7F" w:rsidP="0063425B">
      <w:r>
        <w:t>During the budget and forward years Geoscience Australia will implement and progress Australian Government priorities and key budget measures. </w:t>
      </w:r>
    </w:p>
    <w:p w:rsidR="0063425B" w:rsidRDefault="00BA7A7F" w:rsidP="0063425B">
      <w:r>
        <w:t>The Australian Government has committed additional funding in the budget and forward years to improve global positioning information. Through the Positioning Australia program, Geoscience Australia is implementing a national system for open, reliable and high-accuracy positioning across Australia. A national network of ground stations and a Satellite Based Augmentation System will deliver positioning data accurate to 10 cm across Australia, and 3 to 5 cm in areas of mobile phone coverage.  </w:t>
      </w:r>
    </w:p>
    <w:p w:rsidR="0063425B" w:rsidRDefault="00BA7A7F" w:rsidP="0063425B">
      <w:r>
        <w:t>The 4 year (2020-2024), $124.5 million Exploring for the Future (phase two) program will continue to deliver high quality data and information that improves the understanding of the nation’s resource potential. This is driving the next generation of mineral, energy and groundwater discoveries in Australia and identifying resources vital to meeting future challenges.  </w:t>
      </w:r>
    </w:p>
    <w:p w:rsidR="0063425B" w:rsidRDefault="00BA7A7F" w:rsidP="0063425B">
      <w:r>
        <w:t>Geoscience Australia is supporting the Australian Government’s gas fired recovery agenda by delivering the Data Driven Discoveries initiative for the Cooper and Adavale basins. In November 2021, as part of the Government’s Cooper-Adavale Strategic Basin Plan, Geoscience Australia was allocated $30.9 million over four years to collect and publish new geoscientific data to drive exploration investment and unlock new Australian resources, supporting the Government’s objective of ensuring developments benefit all Australians including regional communities, domestic energy users and the broader Australian public. </w:t>
      </w:r>
    </w:p>
    <w:p w:rsidR="007A3191" w:rsidRDefault="007A3191" w:rsidP="0063425B">
      <w:pPr>
        <w:rPr>
          <w:vanish/>
        </w:rPr>
        <w:sectPr w:rsidR="007A3191" w:rsidSect="00E007A4">
          <w:headerReference w:type="even" r:id="rId312"/>
          <w:headerReference w:type="default" r:id="rId313"/>
          <w:footerReference w:type="even" r:id="rId314"/>
          <w:footerReference w:type="default" r:id="rId315"/>
          <w:headerReference w:type="first" r:id="rId316"/>
          <w:footerReference w:type="first" r:id="rId317"/>
          <w:type w:val="continuous"/>
          <w:pgSz w:w="11906" w:h="16838"/>
          <w:pgMar w:top="2466" w:right="2098" w:bottom="2466" w:left="2098" w:header="1899" w:footer="1899" w:gutter="0"/>
          <w:pgBorders>
            <w:top w:val="nil"/>
            <w:left w:val="nil"/>
            <w:bottom w:val="nil"/>
            <w:right w:val="nil"/>
          </w:pgBorders>
          <w:cols w:space="720"/>
          <w:docGrid w:linePitch="360"/>
        </w:sectPr>
      </w:pPr>
    </w:p>
    <w:p w:rsidR="00A3505C" w:rsidRDefault="00BA7A7F" w:rsidP="00A3505C">
      <w:pPr>
        <w:pageBreakBefore/>
      </w:pPr>
      <w:bookmarkStart w:id="1282" w:name="RG_MARKER_12064"/>
      <w:r>
        <w:t>Geoscience Australia has partnered with the Bureau of Meteorology, CSIRO and the Australian Bureau of Statistics to establish the Australian Climate Service. Funding announced in May 2021 of $209.7</w:t>
      </w:r>
      <w:bookmarkEnd w:id="1282"/>
      <w:r>
        <w:rPr>
          <w:rFonts w:ascii="Times New Roman" w:hAnsi="Times New Roman"/>
        </w:rPr>
        <w:t> </w:t>
      </w:r>
      <w:r>
        <w:t>million over 4</w:t>
      </w:r>
      <w:r>
        <w:rPr>
          <w:rFonts w:ascii="Times New Roman" w:hAnsi="Times New Roman"/>
        </w:rPr>
        <w:t> </w:t>
      </w:r>
      <w:r>
        <w:t>years to establish the Australian Climate Service will better connect and leverage the government’s extensive data, information and capabilities to inform climate and disaster risk management. </w:t>
      </w:r>
    </w:p>
    <w:p w:rsidR="00A3505C" w:rsidRDefault="00BA7A7F" w:rsidP="00A3505C">
      <w:r>
        <w:t>In the 2021-22 Budget, the Australian Government committed $40.2 million over 4 years to develop a Digital Atlas of Australia, as part of its commitment to making Australia a leading digital economy by 2030. The Digital Atlas of Australia will be a free, interactive geospatial map that will provide valuable data on Australia’s population, economy, employment, infrastructure, health, land and the environment. This will support governments, businesses and the community to make more informed decisions about planning, infrastructure and investment at the local and national level. </w:t>
      </w:r>
    </w:p>
    <w:p w:rsidR="008C5419" w:rsidRDefault="00BA7A7F" w:rsidP="008C5419">
      <w:r>
        <w:t>Geoscience Australia is continuing to support implementation of the Australian Government’s Civil Space Strategy by helping ensure the benefits of space data are realised on Earth, including through its work to connect the space and spatial sectors of the economy.  Geoscience Australia is working with the Australian Space Agency and other partners to support implementation of the National Space Mission for Earth Observations, including supporting the development of a series of Australian land imaging satellites. Geoscience Australia will continue to work with the Australian Space Agency to develop an equivalent technology roadmap for Positioning, Navigation and Timing. </w:t>
      </w:r>
    </w:p>
    <w:p w:rsidR="00A3505C" w:rsidRDefault="00BA7A7F" w:rsidP="00A3505C">
      <w:r>
        <w:t>Geoscience Australia is continuing to support implementation of the Australian Government’s Civil Space Strategy by helping ensure the benefits of space data are realised on Earth, including through its work to connect the space and spatial sectors of the economy.  The organisation is working with the Australian Space Agency and other partners to support implementation of the Earth Observations from Space Technology Roadmap, a document that provides the Australian space industry with guidance on opportunities for satellite technology development.  In 2022, Geoscience Australia will work with the Australian Space Agency to develop an equivalent technology roadmap for Positioning, Navigation and Timing. </w:t>
      </w:r>
    </w:p>
    <w:p w:rsidR="00A3505C" w:rsidRDefault="00BA7A7F" w:rsidP="00A3505C">
      <w:r>
        <w:t>Through the Digital Earth Australia program, Geoscience Australia will continue to provide free and open satellite data and derived information products to support Australian governments to make better decisions on policy, investment, management and operations, and Australian industry and business to create new capabilities that increase efficiency, productivity and employment opportunities across the Australian economy. </w:t>
      </w:r>
    </w:p>
    <w:p w:rsidR="00381ECB" w:rsidRPr="00381ECB" w:rsidRDefault="00BA7A7F" w:rsidP="00381ECB">
      <w:pPr>
        <w:keepLines w:val="0"/>
      </w:pPr>
      <w:r w:rsidRPr="00381ECB">
        <w:t>As part of the Australian Government’s National Critical Minerals Research and Deve</w:t>
      </w:r>
      <w:r>
        <w:t>lopment Centre, funding of $9.2</w:t>
      </w:r>
      <w:r w:rsidRPr="00381ECB">
        <w:t xml:space="preserve"> million has been allocated over three years to undertake research that will identify benefits to Australia’s critical mineral sector. The Centre will </w:t>
      </w:r>
      <w:r w:rsidR="007D3FCF" w:rsidRPr="00381ECB">
        <w:t>provide a</w:t>
      </w:r>
      <w:r w:rsidRPr="00381ECB">
        <w:t xml:space="preserve"> national perspective to critical minerals research and development and in addressing technical challenges by </w:t>
      </w:r>
      <w:r w:rsidR="007D3FCF" w:rsidRPr="00381ECB">
        <w:t>bringing together</w:t>
      </w:r>
      <w:r w:rsidRPr="00381ECB">
        <w:t xml:space="preserve"> Australia’s world-leading research capabilities of Geoscience Australia, CSIRO, and the Australian Nuclear Science and Technology Organisation.</w:t>
      </w:r>
    </w:p>
    <w:p w:rsidR="00A3505C" w:rsidRDefault="00BA7A7F" w:rsidP="00A3505C">
      <w:r>
        <w:t>Geoscience Australia will achieve its impacts with a focus on science excellence, optimising its data, fostering collaboration and strong partnerships, and providing a more diverse and inclusive workplace.</w:t>
      </w:r>
    </w:p>
    <w:p w:rsidR="004C2526" w:rsidRPr="00B42EEF" w:rsidRDefault="00BA7A7F" w:rsidP="004C2526">
      <w:pPr>
        <w:pStyle w:val="Heading3"/>
        <w:pageBreakBefore/>
        <w:rPr>
          <w:smallCaps w:val="0"/>
          <w:sz w:val="22"/>
          <w:szCs w:val="22"/>
        </w:rPr>
      </w:pPr>
      <w:bookmarkStart w:id="1283" w:name="RG_MARKER_12047"/>
      <w:bookmarkStart w:id="1284" w:name="RG_MARKER_12201"/>
      <w:r w:rsidRPr="00B42EEF">
        <w:rPr>
          <w:smallCaps w:val="0"/>
          <w:sz w:val="22"/>
          <w:szCs w:val="22"/>
        </w:rPr>
        <w:t>1.2</w:t>
      </w:r>
      <w:bookmarkEnd w:id="1283"/>
      <w:bookmarkEnd w:id="1284"/>
      <w:r w:rsidRPr="00B42EEF">
        <w:rPr>
          <w:smallCaps w:val="0"/>
          <w:sz w:val="22"/>
          <w:szCs w:val="22"/>
        </w:rPr>
        <w:tab/>
        <w:t>Entity resource statement</w:t>
      </w:r>
    </w:p>
    <w:p w:rsidR="00F978B9" w:rsidRPr="00F978B9" w:rsidRDefault="00BA7A7F" w:rsidP="00324BC6">
      <w:pPr>
        <w:keepLines w:val="0"/>
        <w:spacing w:after="200" w:line="276" w:lineRule="auto"/>
      </w:pPr>
      <w:bookmarkStart w:id="1285" w:name="OLE_LINK12_6"/>
      <w:bookmarkStart w:id="1286" w:name="OLE_LINK11_6"/>
      <w:r w:rsidRPr="00F978B9">
        <w:t>Table 1.1 shows the total funding from all sources available to the entity for its operations and to deliver programs and services on behalf of the Government.</w:t>
      </w:r>
    </w:p>
    <w:p w:rsidR="00F978B9" w:rsidRDefault="00BA7A7F" w:rsidP="00324BC6">
      <w:pPr>
        <w:keepLines w:val="0"/>
        <w:spacing w:after="200" w:line="276" w:lineRule="auto"/>
      </w:pPr>
      <w:r w:rsidRPr="00F978B9">
        <w:t>The table summarises how resources will be applied by outcome (government strategic policy objectives) and by administered (on behalf of the Government or the public) and departmental (for the entity’s operations) classification.</w:t>
      </w:r>
    </w:p>
    <w:p w:rsidR="00F978B9" w:rsidRPr="00F978B9" w:rsidRDefault="00BA7A7F" w:rsidP="00324BC6">
      <w:pPr>
        <w:keepLines w:val="0"/>
        <w:spacing w:after="200" w:line="276" w:lineRule="auto"/>
      </w:pPr>
      <w:r w:rsidRPr="00F978B9">
        <w:t>Information in this table is presented on a resourcing (that is, appropriations/cash available) basis, whilst the ‘Budgeted expenses by Outcome</w:t>
      </w:r>
      <w:r>
        <w:t xml:space="preserve"> 1</w:t>
      </w:r>
      <w:r w:rsidRPr="00F978B9">
        <w:t>’ tables in Section 2 and the financial statements in Section 3 are presented on an accrual basis.</w:t>
      </w:r>
      <w:bookmarkEnd w:id="1285"/>
      <w:bookmarkEnd w:id="1286"/>
    </w:p>
    <w:p w:rsidR="00462A34" w:rsidRDefault="00BA7A7F" w:rsidP="009A0FF2">
      <w:pPr>
        <w:keepLines w:val="0"/>
        <w:spacing w:after="200" w:line="276" w:lineRule="auto"/>
        <w:jc w:val="left"/>
        <w:rPr>
          <w:rFonts w:ascii="Arial" w:hAnsi="Arial"/>
          <w:b/>
        </w:rPr>
      </w:pPr>
      <w:r>
        <w:br w:type="page"/>
      </w:r>
    </w:p>
    <w:p w:rsidR="004C2526" w:rsidRDefault="00BA7A7F" w:rsidP="00602B7F">
      <w:pPr>
        <w:pStyle w:val="TableHeading"/>
        <w:keepLines/>
        <w:spacing w:before="60"/>
        <w:ind w:right="567"/>
      </w:pPr>
      <w:r w:rsidRPr="004C2526">
        <w:t xml:space="preserve">Table 1.1: </w:t>
      </w:r>
      <w:r>
        <w:rPr>
          <w:snapToGrid w:val="0"/>
        </w:rPr>
        <w:t>Geoscience Australia</w:t>
      </w:r>
      <w:r w:rsidRPr="004C2526">
        <w:t xml:space="preserve"> </w:t>
      </w:r>
      <w:r>
        <w:t>resource statement – B</w:t>
      </w:r>
      <w:r w:rsidRPr="00612A36">
        <w:t xml:space="preserve">udget estimates </w:t>
      </w:r>
      <w:r w:rsidRPr="004C2526">
        <w:t xml:space="preserve">for </w:t>
      </w:r>
      <w:r>
        <w:t>2022­23</w:t>
      </w:r>
      <w:r w:rsidRPr="004C2526">
        <w:t xml:space="preserve"> </w:t>
      </w:r>
      <w:r w:rsidRPr="00612A36">
        <w:t>as at Budget March</w:t>
      </w:r>
      <w:r w:rsidRPr="004C2526">
        <w:t xml:space="preserve"> </w:t>
      </w:r>
      <w:r>
        <w:t>2022</w:t>
      </w:r>
    </w:p>
    <w:tbl>
      <w:tblPr>
        <w:tblStyle w:val="CDMRange1"/>
        <w:tblW w:w="7665" w:type="dxa"/>
        <w:tblLayout w:type="fixed"/>
        <w:tblLook w:val="0600" w:firstRow="0" w:lastRow="0" w:firstColumn="0" w:lastColumn="0" w:noHBand="1" w:noVBand="1"/>
      </w:tblPr>
      <w:tblGrid>
        <w:gridCol w:w="5475"/>
        <w:gridCol w:w="1095"/>
        <w:gridCol w:w="1095"/>
      </w:tblGrid>
      <w:tr w:rsidR="00253274">
        <w:trPr>
          <w:trHeight w:val="900"/>
        </w:trPr>
        <w:tc>
          <w:tcPr>
            <w:tcW w:w="5475" w:type="dxa"/>
            <w:tcBorders>
              <w:top w:val="single" w:sz="4" w:space="0" w:color="000000"/>
              <w:left w:val="nil"/>
              <w:bottom w:val="nil"/>
              <w:right w:val="nil"/>
              <w:tl2br w:val="nil"/>
              <w:tr2bl w:val="nil"/>
            </w:tcBorders>
            <w:shd w:val="clear" w:color="FFFFFF" w:fill="FFFFFF"/>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95"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  Estimated actual</w:t>
            </w:r>
          </w:p>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 Estimate</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095" w:type="dxa"/>
            <w:tcBorders>
              <w:top w:val="dotted" w:sz="2" w:space="0" w:color="000000"/>
              <w:left w:val="nil"/>
              <w:bottom w:val="nil"/>
              <w:right w:val="nil"/>
              <w:tl2br w:val="nil"/>
              <w:tr2bl w:val="nil"/>
            </w:tcBorders>
            <w:shd w:val="clear" w:color="FFFFFF" w:fill="FFFFFF"/>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095" w:type="dxa"/>
            <w:tcBorders>
              <w:top w:val="nil"/>
              <w:left w:val="nil"/>
              <w:bottom w:val="nil"/>
              <w:right w:val="nil"/>
              <w:tl2br w:val="nil"/>
              <w:tr2bl w:val="nil"/>
            </w:tcBorders>
            <w:shd w:val="clear" w:color="FFFFFF" w:fill="FFFFFF"/>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Prior year appropriations available </w:t>
            </w:r>
          </w:p>
        </w:tc>
        <w:tc>
          <w:tcPr>
            <w:tcW w:w="1095"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50,189</w:t>
            </w:r>
          </w:p>
        </w:tc>
        <w:tc>
          <w:tcPr>
            <w:tcW w:w="1095" w:type="dxa"/>
            <w:tcBorders>
              <w:top w:val="nil"/>
              <w:left w:val="nil"/>
              <w:bottom w:val="nil"/>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156,839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appropriation (b)</w:t>
            </w:r>
          </w:p>
        </w:tc>
        <w:tc>
          <w:tcPr>
            <w:tcW w:w="1095"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261,064</w:t>
            </w:r>
          </w:p>
        </w:tc>
        <w:tc>
          <w:tcPr>
            <w:tcW w:w="1095" w:type="dxa"/>
            <w:tcBorders>
              <w:top w:val="nil"/>
              <w:left w:val="nil"/>
              <w:bottom w:val="nil"/>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345,316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s74 External Revenue (c)</w:t>
            </w:r>
          </w:p>
        </w:tc>
        <w:tc>
          <w:tcPr>
            <w:tcW w:w="1095"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70,626</w:t>
            </w:r>
          </w:p>
        </w:tc>
        <w:tc>
          <w:tcPr>
            <w:tcW w:w="1095" w:type="dxa"/>
            <w:tcBorders>
              <w:top w:val="nil"/>
              <w:left w:val="nil"/>
              <w:bottom w:val="nil"/>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68,797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 (d)</w:t>
            </w:r>
          </w:p>
        </w:tc>
        <w:tc>
          <w:tcPr>
            <w:tcW w:w="1095"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4,583</w:t>
            </w:r>
          </w:p>
        </w:tc>
        <w:tc>
          <w:tcPr>
            <w:tcW w:w="1095" w:type="dxa"/>
            <w:tcBorders>
              <w:top w:val="nil"/>
              <w:left w:val="nil"/>
              <w:bottom w:val="nil"/>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7,692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other services - non-operating </w:t>
            </w:r>
          </w:p>
        </w:tc>
        <w:tc>
          <w:tcPr>
            <w:tcW w:w="1095" w:type="dxa"/>
            <w:tcBorders>
              <w:top w:val="nil"/>
              <w:left w:val="nil"/>
              <w:bottom w:val="nil"/>
              <w:right w:val="nil"/>
              <w:tl2br w:val="nil"/>
              <w:tr2bl w:val="nil"/>
            </w:tcBorders>
            <w:shd w:val="clear" w:color="FFFFFF" w:fill="FFFFFF"/>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Prior year appropriation available </w:t>
            </w:r>
          </w:p>
        </w:tc>
        <w:tc>
          <w:tcPr>
            <w:tcW w:w="1095"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11,520</w:t>
            </w:r>
          </w:p>
        </w:tc>
        <w:tc>
          <w:tcPr>
            <w:tcW w:w="1095" w:type="dxa"/>
            <w:tcBorders>
              <w:top w:val="nil"/>
              <w:left w:val="nil"/>
              <w:bottom w:val="nil"/>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11,520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injection (e)</w:t>
            </w:r>
          </w:p>
        </w:tc>
        <w:tc>
          <w:tcPr>
            <w:tcW w:w="109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7,127</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9,594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405,109</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599,758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405,109</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599,758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095" w:type="dxa"/>
            <w:tcBorders>
              <w:top w:val="dotted" w:sz="2" w:space="0" w:color="000000"/>
              <w:left w:val="nil"/>
              <w:bottom w:val="nil"/>
              <w:right w:val="nil"/>
              <w:tl2br w:val="nil"/>
              <w:tr2bl w:val="nil"/>
            </w:tcBorders>
            <w:shd w:val="clear" w:color="FFFFFF" w:fill="FFFFFF"/>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095" w:type="dxa"/>
            <w:tcBorders>
              <w:top w:val="nil"/>
              <w:left w:val="nil"/>
              <w:bottom w:val="nil"/>
              <w:right w:val="nil"/>
              <w:tl2br w:val="nil"/>
              <w:tr2bl w:val="nil"/>
            </w:tcBorders>
            <w:shd w:val="clear" w:color="FFFFFF" w:fill="FFFFFF"/>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Grant</w:t>
            </w:r>
          </w:p>
        </w:tc>
        <w:tc>
          <w:tcPr>
            <w:tcW w:w="109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19</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19</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Geoscience Australia</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405,128</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599,777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109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109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dotted" w:sz="2" w:space="0" w:color="000000"/>
              <w:left w:val="nil"/>
              <w:bottom w:val="nil"/>
              <w:right w:val="nil"/>
              <w:tl2br w:val="nil"/>
              <w:tr2bl w:val="nil"/>
            </w:tcBorders>
            <w:shd w:val="clear" w:color="FFFFFF" w:fill="FFFFFF"/>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000000"/>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095" w:type="dxa"/>
            <w:tcBorders>
              <w:top w:val="dotted" w:sz="2" w:space="0" w:color="000000"/>
              <w:left w:val="nil"/>
              <w:bottom w:val="single" w:sz="4"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605</w:t>
            </w:r>
          </w:p>
        </w:tc>
        <w:tc>
          <w:tcPr>
            <w:tcW w:w="109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600</w:t>
            </w:r>
          </w:p>
        </w:tc>
      </w:tr>
    </w:tbl>
    <w:p w:rsidR="00527291" w:rsidRDefault="00BA7A7F" w:rsidP="00C40F9A">
      <w:pPr>
        <w:spacing w:before="40" w:after="0" w:line="240" w:lineRule="auto"/>
        <w:rPr>
          <w:rFonts w:ascii="Arial" w:eastAsia="Calibri" w:hAnsi="Arial" w:cs="Arial"/>
          <w:sz w:val="16"/>
          <w:bdr w:val="none" w:sz="0" w:space="0" w:color="auto" w:frame="1"/>
        </w:rPr>
      </w:pPr>
      <w:r w:rsidRPr="00B31D3F">
        <w:rPr>
          <w:rFonts w:ascii="Arial" w:eastAsia="Calibri" w:hAnsi="Arial" w:cs="Arial"/>
          <w:sz w:val="16"/>
          <w:bdr w:val="none" w:sz="0" w:space="0" w:color="auto" w:frame="1"/>
        </w:rPr>
        <w:t>All figures shown above are GST exclusive – these may not match figures in the cash flow statement.</w:t>
      </w:r>
      <w:r>
        <w:rPr>
          <w:rFonts w:ascii="Arial" w:eastAsia="Calibri" w:hAnsi="Arial" w:cs="Arial"/>
          <w:sz w:val="16"/>
          <w:bdr w:val="none" w:sz="0" w:space="0" w:color="auto" w:frame="1"/>
        </w:rPr>
        <w:t xml:space="preserve"> </w:t>
      </w:r>
      <w:r>
        <w:rPr>
          <w:rFonts w:ascii="Arial" w:eastAsia="Calibri" w:hAnsi="Arial" w:cs="Arial"/>
          <w:sz w:val="16"/>
          <w:szCs w:val="16"/>
          <w:bdr w:val="none" w:sz="0" w:space="0" w:color="auto" w:frame="1"/>
        </w:rPr>
        <w:t>Prepared on a resourcing (i.e. appropriations available) basis.</w:t>
      </w:r>
    </w:p>
    <w:p w:rsidR="00FD22E9" w:rsidRPr="006A783C" w:rsidRDefault="00BA7A7F" w:rsidP="00602B7F">
      <w:pPr>
        <w:pStyle w:val="ListParagraph"/>
        <w:keepLines/>
        <w:numPr>
          <w:ilvl w:val="0"/>
          <w:numId w:val="117"/>
        </w:numPr>
        <w:spacing w:after="0" w:line="240" w:lineRule="auto"/>
        <w:ind w:left="357" w:hanging="357"/>
        <w:rPr>
          <w:rFonts w:eastAsia="Calibri" w:cs="Arial"/>
          <w:sz w:val="16"/>
          <w:szCs w:val="16"/>
          <w:bdr w:val="none" w:sz="0" w:space="0" w:color="auto" w:frame="1"/>
          <w:lang w:val="en-AU"/>
        </w:rPr>
      </w:pPr>
      <w:r w:rsidRPr="006A783C">
        <w:rPr>
          <w:rFonts w:ascii="Arial" w:eastAsia="Calibri" w:hAnsi="Arial" w:cs="Arial"/>
          <w:sz w:val="16"/>
          <w:szCs w:val="16"/>
          <w:bdr w:val="none" w:sz="0" w:space="0" w:color="auto" w:frame="1"/>
          <w:lang w:val="en-AU"/>
        </w:rPr>
        <w:t xml:space="preserve">Appropriation Bill (No. 1) 2022­23. </w:t>
      </w:r>
    </w:p>
    <w:p w:rsidR="008F7797" w:rsidRPr="006A783C" w:rsidRDefault="00BA7A7F" w:rsidP="00602B7F">
      <w:pPr>
        <w:pStyle w:val="ListParagraph"/>
        <w:keepLines/>
        <w:numPr>
          <w:ilvl w:val="0"/>
          <w:numId w:val="117"/>
        </w:numPr>
        <w:spacing w:after="0" w:line="240" w:lineRule="auto"/>
        <w:ind w:left="357" w:hanging="357"/>
        <w:rPr>
          <w:rFonts w:eastAsia="Calibri" w:cs="Arial"/>
          <w:sz w:val="16"/>
          <w:szCs w:val="16"/>
          <w:bdr w:val="none" w:sz="0" w:space="0" w:color="auto" w:frame="1"/>
          <w:lang w:val="en-AU"/>
        </w:rPr>
      </w:pPr>
      <w:r w:rsidRPr="006A783C">
        <w:rPr>
          <w:rFonts w:ascii="Arial" w:eastAsia="Calibri" w:hAnsi="Arial" w:cs="Arial"/>
          <w:sz w:val="16"/>
          <w:szCs w:val="16"/>
          <w:bdr w:val="none" w:sz="0" w:space="0" w:color="auto" w:frame="1"/>
          <w:lang w:val="en-AU"/>
        </w:rPr>
        <w:t>Excludes departmental capital budget (DCB).</w:t>
      </w:r>
      <w:r w:rsidRPr="006A783C">
        <w:rPr>
          <w:rFonts w:ascii="Arial" w:eastAsia="Calibri" w:hAnsi="Arial" w:cs="Arial"/>
          <w:sz w:val="16"/>
          <w:szCs w:val="16"/>
          <w:bdr w:val="none" w:sz="0" w:space="0" w:color="auto" w:frame="1"/>
          <w:lang w:val="en-AU"/>
        </w:rPr>
        <w:tab/>
        <w:t xml:space="preserve"> </w:t>
      </w:r>
    </w:p>
    <w:p w:rsidR="008F7797" w:rsidRPr="006A783C" w:rsidRDefault="00BA7A7F" w:rsidP="00602B7F">
      <w:pPr>
        <w:pStyle w:val="ListParagraph"/>
        <w:keepLines/>
        <w:numPr>
          <w:ilvl w:val="0"/>
          <w:numId w:val="117"/>
        </w:numPr>
        <w:spacing w:after="0" w:line="240" w:lineRule="auto"/>
        <w:ind w:left="357" w:hanging="357"/>
        <w:rPr>
          <w:rFonts w:eastAsia="Calibri" w:cs="Arial"/>
          <w:sz w:val="16"/>
          <w:szCs w:val="16"/>
          <w:bdr w:val="none" w:sz="0" w:space="0" w:color="auto" w:frame="1"/>
          <w:lang w:val="en-AU"/>
        </w:rPr>
      </w:pPr>
      <w:r w:rsidRPr="006A783C">
        <w:rPr>
          <w:rFonts w:ascii="Arial" w:eastAsia="Calibri" w:hAnsi="Arial" w:cs="Arial"/>
          <w:sz w:val="16"/>
          <w:szCs w:val="16"/>
          <w:bdr w:val="none" w:sz="0" w:space="0" w:color="auto" w:frame="1"/>
          <w:lang w:val="en-AU"/>
        </w:rPr>
        <w:t>Estimated external revenue receipts under section 74 of the PGPA Act</w:t>
      </w:r>
      <w:r w:rsidRPr="006A783C">
        <w:rPr>
          <w:rFonts w:ascii="Arial" w:eastAsia="Calibri" w:hAnsi="Arial" w:cs="Arial"/>
          <w:i/>
          <w:sz w:val="16"/>
          <w:szCs w:val="16"/>
          <w:bdr w:val="none" w:sz="0" w:space="0" w:color="auto" w:frame="1"/>
          <w:lang w:val="en-AU"/>
        </w:rPr>
        <w:t>.</w:t>
      </w:r>
    </w:p>
    <w:p w:rsidR="008F7797" w:rsidRPr="006A783C" w:rsidRDefault="00BA7A7F" w:rsidP="00602B7F">
      <w:pPr>
        <w:pStyle w:val="ListParagraph"/>
        <w:keepLines/>
        <w:numPr>
          <w:ilvl w:val="0"/>
          <w:numId w:val="117"/>
        </w:numPr>
        <w:spacing w:after="0" w:line="240" w:lineRule="auto"/>
        <w:ind w:left="357" w:hanging="357"/>
        <w:rPr>
          <w:rFonts w:eastAsia="Calibri" w:cs="Arial"/>
          <w:sz w:val="16"/>
          <w:szCs w:val="16"/>
          <w:bdr w:val="none" w:sz="0" w:space="0" w:color="auto" w:frame="1"/>
          <w:lang w:val="en-AU"/>
        </w:rPr>
      </w:pPr>
      <w:r w:rsidRPr="006A783C">
        <w:rPr>
          <w:rFonts w:ascii="Arial" w:eastAsia="Calibri" w:hAnsi="Arial" w:cs="Arial"/>
          <w:sz w:val="16"/>
          <w:szCs w:val="16"/>
          <w:bdr w:val="none" w:sz="0" w:space="0" w:color="auto" w:frame="1"/>
          <w:lang w:val="en-AU"/>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rsidR="00C637C1" w:rsidRPr="006A783C" w:rsidRDefault="00BA7A7F" w:rsidP="00C637C1">
      <w:pPr>
        <w:pStyle w:val="ListParagraph"/>
        <w:keepLines/>
        <w:numPr>
          <w:ilvl w:val="0"/>
          <w:numId w:val="117"/>
        </w:numPr>
        <w:spacing w:after="0" w:line="240" w:lineRule="auto"/>
        <w:ind w:left="357" w:hanging="357"/>
        <w:rPr>
          <w:rFonts w:eastAsia="Calibri" w:cs="Arial"/>
          <w:sz w:val="16"/>
          <w:szCs w:val="16"/>
          <w:bdr w:val="none" w:sz="0" w:space="0" w:color="auto" w:frame="1"/>
          <w:lang w:val="en-AU"/>
        </w:rPr>
      </w:pPr>
      <w:r w:rsidRPr="006A783C">
        <w:rPr>
          <w:rFonts w:ascii="Arial" w:eastAsia="Calibri" w:hAnsi="Arial" w:cs="Arial"/>
          <w:sz w:val="16"/>
          <w:szCs w:val="16"/>
          <w:bdr w:val="none" w:sz="0" w:space="0" w:color="auto" w:frame="1"/>
          <w:lang w:val="en-AU"/>
        </w:rPr>
        <w:t>Appropriation Bill (No. 2) 2022­23.</w:t>
      </w:r>
      <w:r w:rsidR="00020E5D" w:rsidRPr="006A783C">
        <w:rPr>
          <w:rFonts w:ascii="Arial" w:eastAsia="Calibri" w:hAnsi="Arial" w:cs="Arial"/>
          <w:sz w:val="16"/>
          <w:szCs w:val="16"/>
          <w:bdr w:val="none" w:sz="0" w:space="0" w:color="auto" w:frame="1"/>
          <w:lang w:val="en-AU"/>
        </w:rPr>
        <w:t xml:space="preserve"> </w:t>
      </w:r>
    </w:p>
    <w:p w:rsidR="00B31D3F" w:rsidRPr="00E95549" w:rsidRDefault="00B31D3F" w:rsidP="00E95549">
      <w:pPr>
        <w:spacing w:line="240" w:lineRule="auto"/>
        <w:rPr>
          <w:rFonts w:ascii="Arial" w:hAnsi="Arial"/>
          <w:vanish/>
          <w:color w:val="000000"/>
          <w:sz w:val="16"/>
          <w:lang w:eastAsia="x-none"/>
        </w:rPr>
      </w:pPr>
    </w:p>
    <w:p w:rsidR="003E027B" w:rsidRPr="007B2885" w:rsidRDefault="00BA7A7F" w:rsidP="003E027B">
      <w:pPr>
        <w:pStyle w:val="Heading3"/>
        <w:pageBreakBefore/>
        <w:rPr>
          <w:smallCaps w:val="0"/>
          <w:sz w:val="22"/>
          <w:szCs w:val="22"/>
        </w:rPr>
      </w:pPr>
      <w:bookmarkStart w:id="1287" w:name="RG_MARKER_12046"/>
      <w:bookmarkStart w:id="1288" w:name="RG_MARKER_12082"/>
      <w:bookmarkStart w:id="1289" w:name="RG_MARKER_12233"/>
      <w:r w:rsidRPr="007B2885">
        <w:rPr>
          <w:smallCaps w:val="0"/>
          <w:sz w:val="22"/>
          <w:szCs w:val="22"/>
        </w:rPr>
        <w:t>1.3</w:t>
      </w:r>
      <w:bookmarkEnd w:id="1287"/>
      <w:bookmarkEnd w:id="1288"/>
      <w:bookmarkEnd w:id="1289"/>
      <w:r w:rsidRPr="007B2885">
        <w:rPr>
          <w:smallCaps w:val="0"/>
          <w:sz w:val="22"/>
          <w:szCs w:val="22"/>
        </w:rPr>
        <w:tab/>
        <w:t>Budget measures</w:t>
      </w:r>
    </w:p>
    <w:p w:rsidR="009D175B" w:rsidRDefault="00BA7A7F" w:rsidP="00C10853">
      <w:pPr>
        <w:rPr>
          <w:b/>
        </w:rPr>
      </w:pPr>
      <w:r w:rsidRPr="009D175B">
        <w:t xml:space="preserve">Budget measures </w:t>
      </w:r>
      <w:r>
        <w:t>in Part 1 relating to Geoscience Australia</w:t>
      </w:r>
      <w:r w:rsidRPr="009D175B">
        <w:t xml:space="preserve"> are detailed in Budget Paper No. 2 and are summarised below.</w:t>
      </w:r>
    </w:p>
    <w:p w:rsidR="009D175B" w:rsidRDefault="00BA7A7F" w:rsidP="000906D3">
      <w:pPr>
        <w:pStyle w:val="TableHeading"/>
        <w:keepLines/>
        <w:spacing w:before="60"/>
        <w:ind w:right="567"/>
      </w:pPr>
      <w:r w:rsidRPr="003E027B">
        <w:t xml:space="preserve">Table 1.2: </w:t>
      </w:r>
      <w:r>
        <w:t>Geoscience Australia 2022­23 Budget measures</w:t>
      </w:r>
      <w:r>
        <w:br/>
        <w:t xml:space="preserve">Part 1: </w:t>
      </w:r>
      <w:r w:rsidRPr="009D175B">
        <w:t xml:space="preserve">Measures announced </w:t>
      </w:r>
      <w:r w:rsidRPr="00131560">
        <w:t xml:space="preserve">after the </w:t>
      </w:r>
      <w:r w:rsidR="007B2885">
        <w:t xml:space="preserve">2021­22 Mid-Year Economic and Fiscal </w:t>
      </w:r>
      <w:r>
        <w:t>O</w:t>
      </w:r>
      <w:r w:rsidR="007B2885">
        <w:t>utlook (MYEFO)</w:t>
      </w:r>
    </w:p>
    <w:tbl>
      <w:tblPr>
        <w:tblStyle w:val="CDMRange1"/>
        <w:tblW w:w="7695" w:type="dxa"/>
        <w:tblLayout w:type="fixed"/>
        <w:tblLook w:val="0600" w:firstRow="0" w:lastRow="0" w:firstColumn="0" w:lastColumn="0" w:noHBand="1" w:noVBand="1"/>
      </w:tblPr>
      <w:tblGrid>
        <w:gridCol w:w="2895"/>
        <w:gridCol w:w="810"/>
        <w:gridCol w:w="750"/>
        <w:gridCol w:w="810"/>
        <w:gridCol w:w="810"/>
        <w:gridCol w:w="810"/>
        <w:gridCol w:w="810"/>
      </w:tblGrid>
      <w:tr w:rsidR="00253274">
        <w:trPr>
          <w:trHeight w:val="450"/>
        </w:trPr>
        <w:tc>
          <w:tcPr>
            <w:tcW w:w="28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75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Critical Minerals Strategy - implementation </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3,543</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3,420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2,277</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3,543</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3,420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2,277</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9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Support for the Australian Space Industry (a) </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000000"/>
                <w:sz w:val="16"/>
              </w:rPr>
            </w:pPr>
          </w:p>
        </w:tc>
        <w:tc>
          <w:tcPr>
            <w:tcW w:w="75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000000"/>
                <w:sz w:val="16"/>
              </w:rPr>
            </w:pP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9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3,543</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3,420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2,277</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75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3,543</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3,420</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2,277</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bl>
    <w:p w:rsidR="000B12FE" w:rsidRDefault="00BA7A7F" w:rsidP="00CD1DCA">
      <w:pPr>
        <w:pStyle w:val="Source"/>
        <w:spacing w:before="40"/>
      </w:pPr>
      <w:r>
        <w:t>Prepared on a Government Finance Statistics (Underlying Cash) basis. Figures displayed as a negative (-) represent a decrease in funds and a positive (+) represent an increase in funds.</w:t>
      </w:r>
    </w:p>
    <w:p w:rsidR="007C6FCB" w:rsidRDefault="00BA7A7F" w:rsidP="009452EC">
      <w:pPr>
        <w:pStyle w:val="Source"/>
        <w:numPr>
          <w:ilvl w:val="0"/>
          <w:numId w:val="118"/>
        </w:numPr>
      </w:pPr>
      <w:r w:rsidRPr="00B75C08">
        <w:t>T</w:t>
      </w:r>
      <w:r>
        <w:t xml:space="preserve">he payment for this measure is not for publication (nfp) due to commercial sensitivities. </w:t>
      </w:r>
    </w:p>
    <w:p w:rsidR="00FE24EA" w:rsidRDefault="00BA7A7F">
      <w:pPr>
        <w:keepLines w:val="0"/>
        <w:spacing w:after="200" w:line="276" w:lineRule="auto"/>
        <w:jc w:val="left"/>
        <w:rPr>
          <w:rFonts w:ascii="Arial" w:hAnsi="Arial"/>
          <w:sz w:val="16"/>
        </w:rPr>
      </w:pPr>
      <w:r>
        <w:br w:type="page"/>
      </w:r>
    </w:p>
    <w:p w:rsidR="00442F01" w:rsidRDefault="00BA7A7F" w:rsidP="00442F01">
      <w:pPr>
        <w:pStyle w:val="TableHeading"/>
        <w:keepLines/>
        <w:spacing w:before="60"/>
        <w:ind w:right="567"/>
      </w:pPr>
      <w:r>
        <w:t>Part 2: Other measures not previously reported in a portfolio statement</w:t>
      </w:r>
    </w:p>
    <w:tbl>
      <w:tblPr>
        <w:tblStyle w:val="CDMRange2"/>
        <w:tblW w:w="7695" w:type="dxa"/>
        <w:tblLayout w:type="fixed"/>
        <w:tblLook w:val="0600" w:firstRow="0" w:lastRow="0" w:firstColumn="0" w:lastColumn="0" w:noHBand="1" w:noVBand="1"/>
      </w:tblPr>
      <w:tblGrid>
        <w:gridCol w:w="2895"/>
        <w:gridCol w:w="810"/>
        <w:gridCol w:w="750"/>
        <w:gridCol w:w="810"/>
        <w:gridCol w:w="810"/>
        <w:gridCol w:w="810"/>
        <w:gridCol w:w="810"/>
      </w:tblGrid>
      <w:tr w:rsidR="00253274">
        <w:trPr>
          <w:trHeight w:val="450"/>
        </w:trPr>
        <w:tc>
          <w:tcPr>
            <w:tcW w:w="28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75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89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Critical Minerals - support for supply chains</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payment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Strategic Basin Plans - additional funding</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1,380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7,402</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8,024</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14,098</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1,380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7,402</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8,024</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14,098</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Satellite Based Augmentation System – additional funding (a)</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(8,358)</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13,407</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140,463</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104,351</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66,274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receipt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000000"/>
                <w:sz w:val="16"/>
              </w:rPr>
            </w:pPr>
          </w:p>
        </w:tc>
        <w:tc>
          <w:tcPr>
            <w:tcW w:w="75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center"/>
              <w:rPr>
                <w:rFonts w:ascii="Arial" w:eastAsia="Arial" w:hAnsi="Arial" w:cs="Arial"/>
                <w:b/>
                <w:color w:val="000000"/>
                <w:sz w:val="16"/>
              </w:rPr>
            </w:pPr>
          </w:p>
        </w:tc>
        <w:tc>
          <w:tcPr>
            <w:tcW w:w="75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75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bl>
    <w:p w:rsidR="00697065" w:rsidRPr="00697065" w:rsidRDefault="00BA7A7F" w:rsidP="00697065">
      <w:pPr>
        <w:pStyle w:val="Source"/>
        <w:spacing w:before="40"/>
      </w:pPr>
      <w:r w:rsidRPr="00697065">
        <w:t>Prepared on a Government Finance Statistics (Underlying Cash) basis. Figures displayed as a negative (-) represent a decrease in funds and a positive (+) represent an increase in funds.</w:t>
      </w:r>
    </w:p>
    <w:p w:rsidR="0042536F" w:rsidRPr="0033327E" w:rsidRDefault="00BA7A7F" w:rsidP="009452EC">
      <w:pPr>
        <w:pStyle w:val="Source"/>
        <w:numPr>
          <w:ilvl w:val="0"/>
          <w:numId w:val="119"/>
        </w:numPr>
      </w:pPr>
      <w:r w:rsidRPr="009452EC">
        <w:t xml:space="preserve">The </w:t>
      </w:r>
      <w:r>
        <w:t xml:space="preserve">receipt </w:t>
      </w:r>
      <w:r w:rsidRPr="009452EC">
        <w:t>for this measure are not for publication (nfp) due to legal sensitivities</w:t>
      </w:r>
    </w:p>
    <w:p w:rsidR="00FD26B4" w:rsidRPr="00B81577" w:rsidRDefault="00BA7A7F" w:rsidP="00FD26B4">
      <w:pPr>
        <w:pStyle w:val="Heading2"/>
        <w:pageBreakBefore/>
        <w:rPr>
          <w:b/>
          <w:sz w:val="26"/>
          <w:szCs w:val="26"/>
        </w:rPr>
      </w:pPr>
      <w:bookmarkStart w:id="1290" w:name="RG_MARKER_11893"/>
      <w:bookmarkStart w:id="1291" w:name="RG_MARKER_12239"/>
      <w:bookmarkStart w:id="1292" w:name="_Toc436624143_7"/>
      <w:bookmarkStart w:id="1293" w:name="_Toc436625444_7"/>
      <w:bookmarkStart w:id="1294" w:name="_Toc446237032_7"/>
      <w:bookmarkStart w:id="1295" w:name="_Toc449255764_7"/>
      <w:bookmarkStart w:id="1296" w:name="_Toc490972409_7"/>
      <w:bookmarkStart w:id="1297" w:name="_Toc491014629_7"/>
      <w:bookmarkStart w:id="1298" w:name="_Toc491014771_7"/>
      <w:bookmarkStart w:id="1299" w:name="_Toc491014951_7"/>
      <w:bookmarkStart w:id="1300" w:name="_Toc491015098_7"/>
      <w:bookmarkStart w:id="1301" w:name="_Toc491029242_7"/>
      <w:bookmarkStart w:id="1302" w:name="_Toc491030331_7"/>
      <w:bookmarkStart w:id="1303" w:name="_Toc491030790_7"/>
      <w:bookmarkStart w:id="1304" w:name="_Toc491031353_7"/>
      <w:bookmarkStart w:id="1305" w:name="_Toc491031940_7"/>
      <w:bookmarkStart w:id="1306" w:name="_Toc491032113_7"/>
      <w:bookmarkStart w:id="1307" w:name="_Toc491032221_7"/>
      <w:bookmarkStart w:id="1308" w:name="_Toc491032328_7"/>
      <w:bookmarkStart w:id="1309" w:name="_Toc491771720_7"/>
      <w:bookmarkStart w:id="1310" w:name="_Toc491773295_7"/>
      <w:bookmarkStart w:id="1311" w:name="_Toc23559353_7"/>
      <w:bookmarkStart w:id="1312" w:name="_Toc23559387_7"/>
      <w:bookmarkStart w:id="1313" w:name="_Toc23559674_7"/>
      <w:bookmarkStart w:id="1314" w:name="_Toc23560142_7"/>
      <w:bookmarkStart w:id="1315" w:name="_Toc23563436_7"/>
      <w:bookmarkStart w:id="1316" w:name="_Toc77998688_7"/>
      <w:bookmarkStart w:id="1317" w:name="_Toc79399717_7"/>
      <w:bookmarkStart w:id="1318" w:name="_Toc112211966_7"/>
      <w:bookmarkStart w:id="1319" w:name="_Toc112212060_7"/>
      <w:bookmarkStart w:id="1320" w:name="_Toc112137878_7"/>
      <w:bookmarkStart w:id="1321" w:name="_Toc112137900_7"/>
      <w:bookmarkStart w:id="1322" w:name="_Toc210646453_7"/>
      <w:bookmarkStart w:id="1323" w:name="_Toc210698432_7"/>
      <w:bookmarkStart w:id="1324" w:name="_Toc210703214_7"/>
      <w:r w:rsidRPr="00B81577">
        <w:rPr>
          <w:b/>
          <w:sz w:val="26"/>
          <w:szCs w:val="26"/>
        </w:rPr>
        <w:t>Section 2</w:t>
      </w:r>
      <w:bookmarkEnd w:id="1290"/>
      <w:bookmarkEnd w:id="1291"/>
      <w:bookmarkEnd w:id="1292"/>
      <w:bookmarkEnd w:id="1293"/>
      <w:bookmarkEnd w:id="1294"/>
      <w:bookmarkEnd w:id="1295"/>
      <w:r w:rsidRPr="00B81577">
        <w:rPr>
          <w:b/>
          <w:sz w:val="26"/>
          <w:szCs w:val="26"/>
        </w:rPr>
        <w:t xml:space="preserve">: </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r w:rsidRPr="00B81577">
        <w:rPr>
          <w:b/>
          <w:sz w:val="26"/>
          <w:szCs w:val="26"/>
        </w:rPr>
        <w:t>Outcomes and planned performanc</w:t>
      </w:r>
      <w:bookmarkEnd w:id="1323"/>
      <w:bookmarkEnd w:id="1324"/>
      <w:r w:rsidRPr="00B81577">
        <w:rPr>
          <w:b/>
          <w:sz w:val="26"/>
          <w:szCs w:val="26"/>
        </w:rPr>
        <w:t>e</w:t>
      </w:r>
      <w:bookmarkStart w:id="1325" w:name="_Toc436624145_15"/>
      <w:bookmarkStart w:id="1326" w:name="_Toc436625446_15"/>
      <w:bookmarkStart w:id="1327" w:name="_Toc449255766_15"/>
      <w:bookmarkStart w:id="1328" w:name="_Toc490972410_15"/>
      <w:bookmarkStart w:id="1329" w:name="_Toc491014630_15"/>
      <w:bookmarkStart w:id="1330" w:name="_Toc491014772_15"/>
      <w:bookmarkStart w:id="1331" w:name="_Toc491014952_15"/>
      <w:bookmarkStart w:id="1332" w:name="_Toc491015099_15"/>
      <w:bookmarkStart w:id="1333" w:name="_Toc491029243_15"/>
      <w:bookmarkStart w:id="1334" w:name="_Toc491030332_15"/>
      <w:bookmarkStart w:id="1335" w:name="_Toc491030791_15"/>
      <w:bookmarkStart w:id="1336" w:name="_Toc491031354_15"/>
      <w:bookmarkStart w:id="1337" w:name="_Toc491031941_15"/>
      <w:bookmarkStart w:id="1338" w:name="_Toc491032114_15"/>
      <w:bookmarkStart w:id="1339" w:name="_Toc491032222_15"/>
      <w:bookmarkStart w:id="1340" w:name="_Toc491032329_15"/>
      <w:bookmarkStart w:id="1341" w:name="_Toc491771721_15"/>
      <w:bookmarkStart w:id="1342" w:name="_Toc491773296_15"/>
      <w:bookmarkStart w:id="1343" w:name="_Toc23559354_15"/>
      <w:bookmarkStart w:id="1344" w:name="_Toc23559388_15"/>
      <w:bookmarkStart w:id="1345" w:name="_Toc23559675_15"/>
      <w:bookmarkStart w:id="1346" w:name="_Toc23560143_15"/>
      <w:bookmarkStart w:id="1347" w:name="_Toc23563437_15"/>
      <w:bookmarkStart w:id="1348" w:name="_Toc77998689_15"/>
      <w:bookmarkStart w:id="1349" w:name="_Toc79406118_15"/>
      <w:bookmarkStart w:id="1350" w:name="_Toc79467820_15"/>
      <w:bookmarkStart w:id="1351" w:name="_Toc112211967_15"/>
      <w:bookmarkStart w:id="1352" w:name="_Toc112212061_15"/>
      <w:bookmarkStart w:id="1353" w:name="_Toc112137879_15"/>
      <w:bookmarkStart w:id="1354" w:name="_Toc112137901_15"/>
      <w:bookmarkStart w:id="1355" w:name="_Toc210646454_15"/>
      <w:bookmarkStart w:id="1356" w:name="_Toc210698433_15"/>
      <w:bookmarkStart w:id="1357" w:name="_Toc210703215_15"/>
    </w:p>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rsidR="00FD26B4" w:rsidRDefault="00BA7A7F" w:rsidP="00FD26B4">
      <w:r>
        <w:t xml:space="preserve">Government outcomes are the intended results, impacts or consequences of actions by the Government on the Australian community. Commonwealth </w:t>
      </w:r>
      <w:r>
        <w:rPr>
          <w:color w:val="000000"/>
        </w:rPr>
        <w:t xml:space="preserve">programs </w:t>
      </w:r>
      <w:r>
        <w:t xml:space="preserve">are the primary vehicle by which government entities achieve the intended results of their outcome statements. Entities are required to identify the </w:t>
      </w:r>
      <w:r>
        <w:rPr>
          <w:color w:val="000000"/>
        </w:rPr>
        <w:t>programs</w:t>
      </w:r>
      <w:r>
        <w:t xml:space="preserve"> which contribute to government outcomes over the Budget and forward years.</w:t>
      </w:r>
    </w:p>
    <w:p w:rsidR="00FD26B4" w:rsidRDefault="00BA7A7F" w:rsidP="00FD26B4">
      <w:r>
        <w:t xml:space="preserve">Each outcome is described below together with its related </w:t>
      </w:r>
      <w:r>
        <w:rPr>
          <w:color w:val="000000"/>
        </w:rPr>
        <w:t>programs</w:t>
      </w:r>
      <w:r>
        <w:t>. The following provides detailed information on expenses for each outcome and program, further broken down by funding source.</w:t>
      </w:r>
    </w:p>
    <w:p w:rsidR="00FD26B4" w:rsidRDefault="00BA7A7F" w:rsidP="00FD26B4">
      <w:pPr>
        <w:pBdr>
          <w:top w:val="single" w:sz="4" w:space="1" w:color="auto"/>
          <w:left w:val="single" w:sz="4" w:space="4" w:color="auto"/>
          <w:bottom w:val="single" w:sz="4" w:space="1" w:color="auto"/>
          <w:right w:val="single" w:sz="4" w:space="4" w:color="auto"/>
        </w:pBdr>
        <w:spacing w:after="120" w:line="240" w:lineRule="auto"/>
        <w:rPr>
          <w:b/>
        </w:rPr>
      </w:pPr>
      <w:r>
        <w:rPr>
          <w:b/>
        </w:rPr>
        <w:t>Note:</w:t>
      </w:r>
    </w:p>
    <w:p w:rsidR="00DD2C54" w:rsidRDefault="00BA7A7F" w:rsidP="00B152E4">
      <w:pPr>
        <w:pBdr>
          <w:top w:val="single" w:sz="4" w:space="1" w:color="auto"/>
          <w:left w:val="single" w:sz="4" w:space="4" w:color="auto"/>
          <w:bottom w:val="single" w:sz="4" w:space="1" w:color="auto"/>
          <w:right w:val="single" w:sz="4" w:space="4" w:color="auto"/>
        </w:pBdr>
      </w:pPr>
      <w:r w:rsidRPr="00DD2C54">
        <w:t xml:space="preserve">Performance reporting requirements in the Portfolio Budget Statements are part of the Commonwealth performance framework established by the </w:t>
      </w:r>
      <w:r w:rsidRPr="00DD2C54">
        <w:rPr>
          <w:i/>
        </w:rPr>
        <w:t>Public Governance, Performance and Accountability Act 2013</w:t>
      </w:r>
      <w:r w:rsidRPr="00DD2C54">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rsidR="00B152E4" w:rsidRDefault="00BA7A7F" w:rsidP="000F7F3B">
      <w:pPr>
        <w:pBdr>
          <w:top w:val="single" w:sz="4" w:space="1" w:color="auto"/>
          <w:left w:val="single" w:sz="4" w:space="4" w:color="auto"/>
          <w:bottom w:val="single" w:sz="4" w:space="1" w:color="auto"/>
          <w:right w:val="single" w:sz="4" w:space="4" w:color="auto"/>
        </w:pBdr>
        <w:jc w:val="left"/>
      </w:pPr>
      <w:r>
        <w:t xml:space="preserve">The most recent corporate plan for Geoscience Australia can be found at: </w:t>
      </w:r>
      <w:hyperlink r:id="rId318" w:history="1">
        <w:r>
          <w:rPr>
            <w:rStyle w:val="Hyperlink"/>
          </w:rPr>
          <w:t>http://www.ga.gov.au/about/corporate-plan</w:t>
        </w:r>
      </w:hyperlink>
    </w:p>
    <w:p w:rsidR="00C95AF2" w:rsidRPr="00FD26B4" w:rsidRDefault="00BA7A7F" w:rsidP="000F7F3B">
      <w:pPr>
        <w:pBdr>
          <w:top w:val="single" w:sz="4" w:space="1" w:color="auto"/>
          <w:left w:val="single" w:sz="4" w:space="4" w:color="auto"/>
          <w:bottom w:val="single" w:sz="4" w:space="1" w:color="auto"/>
          <w:right w:val="single" w:sz="4" w:space="4" w:color="auto"/>
        </w:pBdr>
        <w:jc w:val="left"/>
      </w:pPr>
      <w:r>
        <w:t xml:space="preserve">The most recent annual performance statement can be found at: </w:t>
      </w:r>
      <w:hyperlink r:id="rId319" w:history="1">
        <w:r>
          <w:rPr>
            <w:rStyle w:val="Hyperlink"/>
          </w:rPr>
          <w:t>https://www.industry.gov.au/about-us/annual-report</w:t>
        </w:r>
      </w:hyperlink>
      <w:r>
        <w:t>.</w:t>
      </w:r>
    </w:p>
    <w:p w:rsidR="007D76B1" w:rsidRPr="00DE5663" w:rsidRDefault="00BA7A7F" w:rsidP="007D76B1">
      <w:pPr>
        <w:pStyle w:val="Heading3"/>
        <w:pageBreakBefore/>
        <w:rPr>
          <w:smallCaps w:val="0"/>
          <w:sz w:val="22"/>
          <w:szCs w:val="22"/>
        </w:rPr>
      </w:pPr>
      <w:bookmarkStart w:id="1358" w:name="RG_MARKER_12087"/>
      <w:bookmarkStart w:id="1359" w:name="RG_MARKER_12123"/>
      <w:bookmarkStart w:id="1360" w:name="_Toc210703215_16"/>
      <w:bookmarkStart w:id="1361" w:name="_Toc210698433_16"/>
      <w:bookmarkStart w:id="1362" w:name="_Toc210646454_16"/>
      <w:bookmarkStart w:id="1363" w:name="_Toc112137901_16"/>
      <w:bookmarkStart w:id="1364" w:name="_Toc112137879_16"/>
      <w:bookmarkStart w:id="1365" w:name="_Toc112212061_16"/>
      <w:bookmarkStart w:id="1366" w:name="_Toc112211967_16"/>
      <w:bookmarkStart w:id="1367" w:name="_Toc79467820_16"/>
      <w:bookmarkStart w:id="1368" w:name="_Toc79406118_16"/>
      <w:bookmarkStart w:id="1369" w:name="_Toc77998689_16"/>
      <w:bookmarkStart w:id="1370" w:name="_Toc23563437_16"/>
      <w:bookmarkStart w:id="1371" w:name="_Toc23560143_16"/>
      <w:bookmarkStart w:id="1372" w:name="_Toc23559675_16"/>
      <w:bookmarkStart w:id="1373" w:name="_Toc23559388_16"/>
      <w:bookmarkStart w:id="1374" w:name="_Toc23559354_16"/>
      <w:bookmarkStart w:id="1375" w:name="_Toc491773296_16"/>
      <w:bookmarkStart w:id="1376" w:name="_Toc491771721_16"/>
      <w:bookmarkStart w:id="1377" w:name="_Toc491032329_16"/>
      <w:bookmarkStart w:id="1378" w:name="_Toc491032222_16"/>
      <w:bookmarkStart w:id="1379" w:name="_Toc491032114_16"/>
      <w:bookmarkStart w:id="1380" w:name="_Toc491031941_16"/>
      <w:bookmarkStart w:id="1381" w:name="_Toc491031354_16"/>
      <w:bookmarkStart w:id="1382" w:name="_Toc491030791_16"/>
      <w:bookmarkStart w:id="1383" w:name="_Toc491030332_16"/>
      <w:bookmarkStart w:id="1384" w:name="_Toc491029243_16"/>
      <w:bookmarkStart w:id="1385" w:name="_Toc491015099_16"/>
      <w:bookmarkStart w:id="1386" w:name="_Toc491014952_16"/>
      <w:bookmarkStart w:id="1387" w:name="_Toc491014772_16"/>
      <w:bookmarkStart w:id="1388" w:name="_Toc491014630_16"/>
      <w:bookmarkStart w:id="1389" w:name="_Toc490972410_16"/>
      <w:bookmarkStart w:id="1390" w:name="_Toc449255766_16"/>
      <w:bookmarkStart w:id="1391" w:name="_Toc436625446_16"/>
      <w:bookmarkStart w:id="1392" w:name="_Toc436624145_16"/>
      <w:r w:rsidRPr="00DE5663">
        <w:rPr>
          <w:smallCaps w:val="0"/>
          <w:sz w:val="22"/>
          <w:szCs w:val="22"/>
        </w:rPr>
        <w:t>2.1</w:t>
      </w:r>
      <w:bookmarkEnd w:id="1358"/>
      <w:bookmarkEnd w:id="1359"/>
      <w:r w:rsidRPr="00DE5663">
        <w:rPr>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253274" w:rsidTr="00A241A3">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rsidR="00A241A3" w:rsidRDefault="00BA7A7F" w:rsidP="00C14D0E">
            <w:pPr>
              <w:pStyle w:val="TableColumnHeadingLeft"/>
              <w:keepLines/>
            </w:pPr>
            <w:r>
              <w:rPr>
                <w:color w:val="000000"/>
              </w:rPr>
              <w:t xml:space="preserve">Outcome 1: </w:t>
            </w:r>
            <w:r w:rsidRPr="00922C18">
              <w:rPr>
                <w:color w:val="000000"/>
              </w:rPr>
              <w:t xml:space="preserve">Informed government, industry and community decisions on the economic, social and environmental management of the nation’s natural resources through enabling access to geoscientific and </w:t>
            </w:r>
            <w:r>
              <w:rPr>
                <w:color w:val="000000"/>
              </w:rPr>
              <w:t>spatial information</w:t>
            </w:r>
          </w:p>
        </w:tc>
      </w:tr>
    </w:tbl>
    <w:p w:rsidR="00A241A3" w:rsidRPr="00DE5663" w:rsidRDefault="00BA7A7F" w:rsidP="00BA64D6">
      <w:pPr>
        <w:pStyle w:val="Heading4"/>
        <w:spacing w:before="240"/>
        <w:rPr>
          <w:rFonts w:cs="Arial"/>
          <w:sz w:val="20"/>
        </w:rPr>
      </w:pPr>
      <w:r w:rsidRPr="00DE5663">
        <w:rPr>
          <w:rFonts w:cs="Arial"/>
          <w:sz w:val="20"/>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253274" w:rsidTr="00A241A3">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rsidR="00A241A3" w:rsidRPr="00A879E3" w:rsidRDefault="00BA7A7F">
            <w:pPr>
              <w:pStyle w:val="ExampleText0"/>
              <w:spacing w:before="60" w:after="60" w:line="240" w:lineRule="auto"/>
              <w:rPr>
                <w:color w:val="auto"/>
              </w:rPr>
            </w:pPr>
            <w:r w:rsidRPr="00A879E3">
              <w:rPr>
                <w:rFonts w:cs="Book Antiqua"/>
                <w:b/>
                <w:bCs/>
                <w:i w:val="0"/>
                <w:iCs/>
                <w:color w:val="auto"/>
              </w:rPr>
              <w:t xml:space="preserve">Department of </w:t>
            </w:r>
            <w:r w:rsidRPr="00A879E3">
              <w:rPr>
                <w:rStyle w:val="ExampletextCharChar"/>
                <w:b/>
                <w:color w:val="auto"/>
              </w:rPr>
              <w:t>Industry, Science, Energy and Resources</w:t>
            </w:r>
          </w:p>
        </w:tc>
      </w:tr>
      <w:tr w:rsidR="00253274" w:rsidTr="00A241A3">
        <w:trPr>
          <w:trHeight w:val="113"/>
        </w:trPr>
        <w:tc>
          <w:tcPr>
            <w:tcW w:w="7592" w:type="dxa"/>
            <w:tcBorders>
              <w:top w:val="dotted" w:sz="4" w:space="0" w:color="auto"/>
              <w:left w:val="single" w:sz="4" w:space="0" w:color="auto"/>
              <w:bottom w:val="single" w:sz="4" w:space="0" w:color="auto"/>
              <w:right w:val="single" w:sz="4" w:space="0" w:color="auto"/>
            </w:tcBorders>
            <w:hideMark/>
          </w:tcPr>
          <w:p w:rsidR="00A241A3" w:rsidRPr="00A879E3" w:rsidRDefault="00BA7A7F">
            <w:pPr>
              <w:spacing w:before="60" w:after="60" w:line="240" w:lineRule="auto"/>
              <w:rPr>
                <w:rStyle w:val="ExampletextCharChar"/>
                <w:b/>
                <w:i w:val="0"/>
                <w:iCs/>
                <w:color w:val="auto"/>
              </w:rPr>
            </w:pPr>
            <w:r w:rsidRPr="00A879E3">
              <w:rPr>
                <w:rStyle w:val="ExampletextCharChar"/>
                <w:b/>
                <w:i w:val="0"/>
                <w:iCs/>
                <w:color w:val="auto"/>
              </w:rPr>
              <w:t>Programs</w:t>
            </w:r>
          </w:p>
          <w:p w:rsidR="00922C18" w:rsidRPr="00A879E3" w:rsidRDefault="00BA7A7F" w:rsidP="00922C18">
            <w:pPr>
              <w:keepLines w:val="0"/>
              <w:numPr>
                <w:ilvl w:val="0"/>
                <w:numId w:val="120"/>
              </w:numPr>
              <w:spacing w:before="60" w:after="60" w:line="240" w:lineRule="auto"/>
              <w:jc w:val="left"/>
              <w:rPr>
                <w:rStyle w:val="ExampletextCharChar"/>
                <w:i w:val="0"/>
                <w:iCs/>
                <w:color w:val="auto"/>
              </w:rPr>
            </w:pPr>
            <w:r w:rsidRPr="00A879E3">
              <w:rPr>
                <w:rStyle w:val="ExampletextCharChar"/>
                <w:i w:val="0"/>
                <w:iCs/>
                <w:color w:val="auto"/>
              </w:rPr>
              <w:t>Program 1.1 – Investing in science, technology and commercialisation</w:t>
            </w:r>
          </w:p>
          <w:p w:rsidR="00922C18" w:rsidRPr="00A879E3" w:rsidRDefault="00BA7A7F" w:rsidP="00922C18">
            <w:pPr>
              <w:keepLines w:val="0"/>
              <w:numPr>
                <w:ilvl w:val="0"/>
                <w:numId w:val="120"/>
              </w:numPr>
              <w:spacing w:before="60" w:after="60" w:line="240" w:lineRule="auto"/>
              <w:jc w:val="left"/>
              <w:rPr>
                <w:rStyle w:val="ExampletextCharChar"/>
                <w:i w:val="0"/>
                <w:iCs/>
                <w:color w:val="auto"/>
              </w:rPr>
            </w:pPr>
            <w:r w:rsidRPr="00A879E3">
              <w:rPr>
                <w:rStyle w:val="ExampletextCharChar"/>
                <w:i w:val="0"/>
                <w:iCs/>
                <w:color w:val="auto"/>
              </w:rPr>
              <w:t>Program 1.2 – Growing innovative and competitive businesses, industries and regions</w:t>
            </w:r>
          </w:p>
          <w:p w:rsidR="00A241A3" w:rsidRPr="001736DB" w:rsidRDefault="00BA7A7F" w:rsidP="001736DB">
            <w:pPr>
              <w:keepLines w:val="0"/>
              <w:numPr>
                <w:ilvl w:val="0"/>
                <w:numId w:val="120"/>
              </w:numPr>
              <w:spacing w:before="60" w:after="60" w:line="240" w:lineRule="auto"/>
              <w:jc w:val="left"/>
              <w:rPr>
                <w:rStyle w:val="ExampletextCharChar"/>
                <w:i w:val="0"/>
                <w:iCs/>
                <w:color w:val="auto"/>
              </w:rPr>
            </w:pPr>
            <w:r w:rsidRPr="00A879E3">
              <w:rPr>
                <w:rStyle w:val="ExampletextCharChar"/>
                <w:i w:val="0"/>
                <w:iCs/>
                <w:color w:val="auto"/>
              </w:rPr>
              <w:t>Program 1.3 – Supporting a strong resources sector</w:t>
            </w:r>
          </w:p>
        </w:tc>
      </w:tr>
      <w:tr w:rsidR="00253274" w:rsidTr="00A241A3">
        <w:trPr>
          <w:trHeight w:val="113"/>
        </w:trPr>
        <w:tc>
          <w:tcPr>
            <w:tcW w:w="7592" w:type="dxa"/>
            <w:tcBorders>
              <w:top w:val="single" w:sz="4" w:space="0" w:color="auto"/>
              <w:left w:val="single" w:sz="4" w:space="0" w:color="auto"/>
              <w:bottom w:val="single" w:sz="4" w:space="0" w:color="auto"/>
              <w:right w:val="single" w:sz="4" w:space="0" w:color="auto"/>
            </w:tcBorders>
            <w:hideMark/>
          </w:tcPr>
          <w:p w:rsidR="00A241A3" w:rsidRPr="00A879E3" w:rsidRDefault="00BA7A7F">
            <w:pPr>
              <w:spacing w:before="60" w:after="60" w:line="240" w:lineRule="auto"/>
              <w:rPr>
                <w:rStyle w:val="ExampletextCharChar"/>
                <w:b/>
                <w:i w:val="0"/>
                <w:iCs/>
                <w:color w:val="auto"/>
              </w:rPr>
            </w:pPr>
            <w:r w:rsidRPr="00A879E3">
              <w:rPr>
                <w:rStyle w:val="ExampletextCharChar"/>
                <w:b/>
                <w:i w:val="0"/>
                <w:iCs/>
                <w:color w:val="auto"/>
              </w:rPr>
              <w:t>Contribution to Outcome 1 made by linked programs</w:t>
            </w:r>
          </w:p>
          <w:p w:rsidR="00A241A3" w:rsidRPr="00A879E3" w:rsidRDefault="00BA7A7F">
            <w:pPr>
              <w:spacing w:before="60" w:after="60" w:line="240" w:lineRule="auto"/>
              <w:rPr>
                <w:rStyle w:val="ExampletextCharChar"/>
                <w:i w:val="0"/>
                <w:iCs/>
                <w:color w:val="auto"/>
              </w:rPr>
            </w:pPr>
            <w:r w:rsidRPr="00A879E3">
              <w:rPr>
                <w:rStyle w:val="ExampletextCharChar"/>
                <w:i w:val="0"/>
                <w:iCs/>
                <w:color w:val="auto"/>
              </w:rPr>
              <w:t>The Department of Industry, Science, Energy and R</w:t>
            </w:r>
            <w:r>
              <w:rPr>
                <w:rStyle w:val="ExampletextCharChar"/>
                <w:i w:val="0"/>
                <w:iCs/>
                <w:color w:val="auto"/>
              </w:rPr>
              <w:t xml:space="preserve">esources contributes to Outcome </w:t>
            </w:r>
            <w:r w:rsidRPr="00A879E3">
              <w:rPr>
                <w:rStyle w:val="ExampletextCharChar"/>
                <w:i w:val="0"/>
                <w:iCs/>
                <w:color w:val="auto"/>
              </w:rPr>
              <w:t>1 through its policies and programs supporting science, commercialisation, the sustainable development of the resources sector, and encouraging innovative technologies.</w:t>
            </w:r>
          </w:p>
        </w:tc>
      </w:tr>
      <w:tr w:rsidR="00253274" w:rsidTr="00A241A3">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rsidR="00A241A3" w:rsidRPr="00A879E3" w:rsidRDefault="00BA7A7F">
            <w:pPr>
              <w:pStyle w:val="ExampleText0"/>
              <w:spacing w:before="60" w:after="60" w:line="240" w:lineRule="auto"/>
              <w:rPr>
                <w:iCs/>
                <w:color w:val="auto"/>
              </w:rPr>
            </w:pPr>
            <w:r w:rsidRPr="00A879E3">
              <w:rPr>
                <w:rStyle w:val="ExampletextCharChar"/>
                <w:b/>
                <w:iCs/>
                <w:color w:val="auto"/>
              </w:rPr>
              <w:t>Bureau of Meteorology</w:t>
            </w:r>
          </w:p>
        </w:tc>
      </w:tr>
      <w:tr w:rsidR="00253274" w:rsidTr="00A241A3">
        <w:trPr>
          <w:trHeight w:val="113"/>
        </w:trPr>
        <w:tc>
          <w:tcPr>
            <w:tcW w:w="7592" w:type="dxa"/>
            <w:tcBorders>
              <w:top w:val="dotted" w:sz="4" w:space="0" w:color="auto"/>
              <w:left w:val="single" w:sz="4" w:space="0" w:color="auto"/>
              <w:bottom w:val="single" w:sz="4" w:space="0" w:color="auto"/>
              <w:right w:val="single" w:sz="4" w:space="0" w:color="auto"/>
            </w:tcBorders>
            <w:hideMark/>
          </w:tcPr>
          <w:p w:rsidR="00A241A3" w:rsidRPr="00A879E3" w:rsidRDefault="00BA7A7F">
            <w:pPr>
              <w:spacing w:before="60" w:after="60" w:line="240" w:lineRule="auto"/>
              <w:rPr>
                <w:rStyle w:val="ExampletextCharChar"/>
                <w:b/>
                <w:i w:val="0"/>
                <w:iCs/>
                <w:color w:val="auto"/>
              </w:rPr>
            </w:pPr>
            <w:r w:rsidRPr="00A879E3">
              <w:rPr>
                <w:rStyle w:val="ExampletextCharChar"/>
                <w:b/>
                <w:i w:val="0"/>
                <w:iCs/>
                <w:color w:val="auto"/>
              </w:rPr>
              <w:t>Program</w:t>
            </w:r>
          </w:p>
          <w:p w:rsidR="00A241A3" w:rsidRPr="00A879E3" w:rsidRDefault="00BA7A7F" w:rsidP="00A241A3">
            <w:pPr>
              <w:keepLines w:val="0"/>
              <w:numPr>
                <w:ilvl w:val="0"/>
                <w:numId w:val="120"/>
              </w:numPr>
              <w:spacing w:before="60" w:after="60" w:line="240" w:lineRule="auto"/>
              <w:ind w:left="714" w:hanging="357"/>
              <w:rPr>
                <w:rStyle w:val="ExampletextCharChar"/>
                <w:i w:val="0"/>
                <w:iCs/>
                <w:color w:val="auto"/>
              </w:rPr>
            </w:pPr>
            <w:r w:rsidRPr="00A879E3">
              <w:rPr>
                <w:rStyle w:val="ExampletextCharChar"/>
                <w:i w:val="0"/>
                <w:iCs/>
                <w:color w:val="auto"/>
              </w:rPr>
              <w:t>Program 1 – Bureau of Meteorology</w:t>
            </w:r>
          </w:p>
        </w:tc>
      </w:tr>
      <w:tr w:rsidR="00253274" w:rsidTr="00A241A3">
        <w:trPr>
          <w:trHeight w:val="113"/>
        </w:trPr>
        <w:tc>
          <w:tcPr>
            <w:tcW w:w="7592" w:type="dxa"/>
            <w:tcBorders>
              <w:top w:val="single" w:sz="4" w:space="0" w:color="auto"/>
              <w:left w:val="single" w:sz="4" w:space="0" w:color="auto"/>
              <w:bottom w:val="single" w:sz="4" w:space="0" w:color="auto"/>
              <w:right w:val="single" w:sz="4" w:space="0" w:color="auto"/>
            </w:tcBorders>
            <w:hideMark/>
          </w:tcPr>
          <w:p w:rsidR="00A241A3" w:rsidRPr="00A879E3" w:rsidRDefault="00BA7A7F">
            <w:pPr>
              <w:spacing w:before="60" w:after="60" w:line="240" w:lineRule="auto"/>
              <w:rPr>
                <w:rStyle w:val="ExampletextCharChar"/>
                <w:b/>
                <w:i w:val="0"/>
                <w:iCs/>
                <w:color w:val="auto"/>
              </w:rPr>
            </w:pPr>
            <w:r w:rsidRPr="00A879E3">
              <w:rPr>
                <w:rStyle w:val="ExampletextCharChar"/>
                <w:b/>
                <w:i w:val="0"/>
                <w:iCs/>
                <w:color w:val="auto"/>
              </w:rPr>
              <w:t>Contribution to Outcome 1 made by linked program</w:t>
            </w:r>
          </w:p>
          <w:p w:rsidR="00A241A3" w:rsidRPr="004135B1" w:rsidRDefault="00BA7A7F">
            <w:pPr>
              <w:spacing w:before="60" w:after="60" w:line="240" w:lineRule="auto"/>
              <w:rPr>
                <w:rStyle w:val="ExampletextCharChar"/>
                <w:i w:val="0"/>
                <w:iCs/>
              </w:rPr>
            </w:pPr>
            <w:r w:rsidRPr="00A879E3">
              <w:rPr>
                <w:rStyle w:val="ExampletextCharChar"/>
                <w:i w:val="0"/>
                <w:iCs/>
                <w:color w:val="auto"/>
              </w:rPr>
              <w:t>The Bureau of Meteorology partners with Geoscience Australia to provide the Joint Au</w:t>
            </w:r>
            <w:r>
              <w:rPr>
                <w:rStyle w:val="ExampletextCharChar"/>
                <w:i w:val="0"/>
                <w:iCs/>
                <w:color w:val="auto"/>
              </w:rPr>
              <w:t>stralian Tsunami Warning Centre</w:t>
            </w:r>
            <w:r w:rsidRPr="00A879E3">
              <w:rPr>
                <w:shd w:val="clear" w:color="auto" w:fill="FFFFFF"/>
              </w:rPr>
              <w:t xml:space="preserve"> </w:t>
            </w:r>
            <w:r w:rsidRPr="00A879E3">
              <w:rPr>
                <w:rStyle w:val="normaltextrun"/>
                <w:shd w:val="clear" w:color="auto" w:fill="FFFFFF"/>
              </w:rPr>
              <w:t>and to deliver world-leading science, information and expertise on climate and natural disaster risk through the Australian Climate Service.</w:t>
            </w:r>
            <w:r w:rsidRPr="00A879E3">
              <w:rPr>
                <w:rStyle w:val="eop"/>
                <w:shd w:val="clear" w:color="auto" w:fill="FFFFFF"/>
              </w:rPr>
              <w:t> </w:t>
            </w:r>
          </w:p>
        </w:tc>
      </w:tr>
      <w:tr w:rsidR="00253274" w:rsidTr="00D53396">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rsidR="00A879E3" w:rsidRPr="00A879E3" w:rsidRDefault="00BA7A7F" w:rsidP="00697649">
            <w:pPr>
              <w:pStyle w:val="ExampleText0"/>
              <w:spacing w:before="60" w:after="60" w:line="240" w:lineRule="auto"/>
              <w:rPr>
                <w:iCs/>
                <w:color w:val="auto"/>
              </w:rPr>
            </w:pPr>
            <w:r w:rsidRPr="00A879E3">
              <w:rPr>
                <w:rStyle w:val="ExampletextCharChar"/>
                <w:b/>
                <w:color w:val="auto"/>
              </w:rPr>
              <w:t>Commonwealth Scientific and In</w:t>
            </w:r>
            <w:r>
              <w:rPr>
                <w:rStyle w:val="ExampletextCharChar"/>
                <w:b/>
                <w:color w:val="auto"/>
              </w:rPr>
              <w:t xml:space="preserve">dustrial Research Organisation </w:t>
            </w:r>
          </w:p>
        </w:tc>
      </w:tr>
      <w:tr w:rsidR="00253274" w:rsidTr="00D53396">
        <w:trPr>
          <w:trHeight w:val="113"/>
        </w:trPr>
        <w:tc>
          <w:tcPr>
            <w:tcW w:w="7592" w:type="dxa"/>
            <w:tcBorders>
              <w:top w:val="dotted" w:sz="4" w:space="0" w:color="auto"/>
              <w:left w:val="single" w:sz="4" w:space="0" w:color="auto"/>
              <w:bottom w:val="single" w:sz="4" w:space="0" w:color="auto"/>
              <w:right w:val="single" w:sz="4" w:space="0" w:color="auto"/>
            </w:tcBorders>
            <w:hideMark/>
          </w:tcPr>
          <w:p w:rsidR="00A879E3" w:rsidRPr="00A879E3" w:rsidRDefault="00BA7A7F" w:rsidP="00D53396">
            <w:pPr>
              <w:spacing w:before="60" w:after="60" w:line="240" w:lineRule="auto"/>
              <w:rPr>
                <w:rStyle w:val="ExampletextCharChar"/>
                <w:b/>
                <w:i w:val="0"/>
                <w:iCs/>
                <w:color w:val="auto"/>
              </w:rPr>
            </w:pPr>
            <w:r w:rsidRPr="00A879E3">
              <w:rPr>
                <w:rStyle w:val="ExampletextCharChar"/>
                <w:b/>
                <w:i w:val="0"/>
                <w:iCs/>
                <w:color w:val="auto"/>
              </w:rPr>
              <w:t>Program</w:t>
            </w:r>
          </w:p>
          <w:p w:rsidR="00A879E3" w:rsidRPr="00A879E3" w:rsidRDefault="00BA7A7F" w:rsidP="00D53396">
            <w:pPr>
              <w:keepLines w:val="0"/>
              <w:numPr>
                <w:ilvl w:val="0"/>
                <w:numId w:val="120"/>
              </w:numPr>
              <w:spacing w:before="60" w:after="60" w:line="240" w:lineRule="auto"/>
              <w:ind w:left="714" w:hanging="357"/>
              <w:rPr>
                <w:rStyle w:val="ExampletextCharChar"/>
                <w:i w:val="0"/>
                <w:iCs/>
                <w:color w:val="auto"/>
              </w:rPr>
            </w:pPr>
            <w:r w:rsidRPr="00A879E3">
              <w:rPr>
                <w:rStyle w:val="ExampletextCharChar"/>
                <w:i w:val="0"/>
                <w:iCs/>
                <w:color w:val="auto"/>
              </w:rPr>
              <w:t>P</w:t>
            </w:r>
            <w:r>
              <w:rPr>
                <w:rStyle w:val="ExampletextCharChar"/>
                <w:i w:val="0"/>
                <w:iCs/>
                <w:color w:val="auto"/>
              </w:rPr>
              <w:t xml:space="preserve">rogram 1 – </w:t>
            </w:r>
            <w:r>
              <w:t>Scientific and Industrial Research and Infrastructure</w:t>
            </w:r>
          </w:p>
        </w:tc>
      </w:tr>
      <w:tr w:rsidR="00253274" w:rsidTr="00D53396">
        <w:trPr>
          <w:trHeight w:val="113"/>
        </w:trPr>
        <w:tc>
          <w:tcPr>
            <w:tcW w:w="7592" w:type="dxa"/>
            <w:tcBorders>
              <w:top w:val="single" w:sz="4" w:space="0" w:color="auto"/>
              <w:left w:val="single" w:sz="4" w:space="0" w:color="auto"/>
              <w:bottom w:val="single" w:sz="4" w:space="0" w:color="auto"/>
              <w:right w:val="single" w:sz="4" w:space="0" w:color="auto"/>
            </w:tcBorders>
            <w:hideMark/>
          </w:tcPr>
          <w:p w:rsidR="00A879E3" w:rsidRPr="00A879E3" w:rsidRDefault="00BA7A7F" w:rsidP="00D53396">
            <w:pPr>
              <w:spacing w:before="60" w:after="60" w:line="240" w:lineRule="auto"/>
              <w:rPr>
                <w:rStyle w:val="ExampletextCharChar"/>
                <w:b/>
                <w:i w:val="0"/>
                <w:iCs/>
                <w:color w:val="auto"/>
              </w:rPr>
            </w:pPr>
            <w:r w:rsidRPr="00A879E3">
              <w:rPr>
                <w:rStyle w:val="ExampletextCharChar"/>
                <w:b/>
                <w:i w:val="0"/>
                <w:iCs/>
                <w:color w:val="auto"/>
              </w:rPr>
              <w:t>Contribution to Outcome 1 made by linked program</w:t>
            </w:r>
          </w:p>
          <w:p w:rsidR="00A879E3" w:rsidRPr="004135B1" w:rsidRDefault="00BA7A7F" w:rsidP="00D53396">
            <w:pPr>
              <w:spacing w:before="60" w:after="60" w:line="240" w:lineRule="auto"/>
              <w:rPr>
                <w:rStyle w:val="ExampletextCharChar"/>
                <w:i w:val="0"/>
                <w:iCs/>
              </w:rPr>
            </w:pPr>
            <w:r>
              <w:rPr>
                <w:rStyle w:val="normaltextrun"/>
                <w:color w:val="000000"/>
                <w:shd w:val="clear" w:color="auto" w:fill="FFFFFF"/>
              </w:rPr>
              <w:t>CSIRO partners with Geoscience Australia to progress the Australian Space Agency’s Earth Observation from Space Technology Roadmap, as part of the Advancing Space: Australian Civil Space Strategy 2019-28.</w:t>
            </w:r>
            <w:r>
              <w:rPr>
                <w:rStyle w:val="eop"/>
                <w:color w:val="000000"/>
                <w:shd w:val="clear" w:color="auto" w:fill="FFFFFF"/>
              </w:rPr>
              <w:t> </w:t>
            </w:r>
          </w:p>
        </w:tc>
      </w:tr>
    </w:tbl>
    <w:p w:rsidR="00F045DF" w:rsidRDefault="00F045DF" w:rsidP="00A879E3">
      <w:pPr>
        <w:keepLines w:val="0"/>
        <w:spacing w:after="200" w:line="276" w:lineRule="auto"/>
        <w:jc w:val="left"/>
        <w:rPr>
          <w:vanish/>
        </w:rPr>
      </w:pPr>
    </w:p>
    <w:p w:rsidR="003B2E0F" w:rsidRPr="003B2E0F" w:rsidRDefault="00BA7A7F" w:rsidP="003B2E0F">
      <w:pPr>
        <w:pageBreakBefore/>
        <w:spacing w:after="120"/>
        <w:outlineLvl w:val="4"/>
        <w:rPr>
          <w:rFonts w:ascii="Arial" w:hAnsi="Arial" w:cs="Arial"/>
          <w:b/>
          <w:iCs/>
          <w:szCs w:val="26"/>
        </w:rPr>
      </w:pPr>
      <w:bookmarkStart w:id="1393" w:name="RG_MARKER_12335"/>
      <w:r w:rsidRPr="003B2E0F">
        <w:rPr>
          <w:rFonts w:ascii="Arial" w:hAnsi="Arial" w:cs="Arial"/>
          <w:b/>
          <w:iCs/>
          <w:szCs w:val="26"/>
        </w:rPr>
        <w:t>Budgeted expenses for Outcome 1</w:t>
      </w:r>
      <w:bookmarkEnd w:id="1393"/>
    </w:p>
    <w:p w:rsidR="003B2E0F" w:rsidRPr="003B2E0F" w:rsidRDefault="00BA7A7F" w:rsidP="003B2E0F">
      <w:r w:rsidRPr="003B2E0F">
        <w:t xml:space="preserve">This table shows how much </w:t>
      </w:r>
      <w:r>
        <w:t xml:space="preserve">Geoscience Australia </w:t>
      </w:r>
      <w:r w:rsidRPr="003B2E0F">
        <w:t xml:space="preserve">intends to spend (on an accrual basis) on achieving the outcome, broken </w:t>
      </w:r>
      <w:r>
        <w:t>down by program, as well as by administered and d</w:t>
      </w:r>
      <w:r w:rsidRPr="003B2E0F">
        <w:t>epartmental funding sources.</w:t>
      </w:r>
    </w:p>
    <w:p w:rsidR="003B2E0F" w:rsidRPr="003B2E0F" w:rsidRDefault="00BA7A7F" w:rsidP="003E3ADC">
      <w:pPr>
        <w:keepNext/>
        <w:spacing w:before="60" w:after="20" w:line="240" w:lineRule="auto"/>
        <w:jc w:val="left"/>
        <w:rPr>
          <w:rFonts w:ascii="Arial" w:hAnsi="Arial" w:cs="Arial"/>
          <w:b/>
        </w:rPr>
      </w:pPr>
      <w:r w:rsidRPr="003B2E0F">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253274">
        <w:trPr>
          <w:trHeight w:val="690"/>
        </w:trPr>
        <w:tc>
          <w:tcPr>
            <w:tcW w:w="7725"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r>
              <w:rPr>
                <w:rFonts w:ascii="Arial" w:eastAsia="Arial" w:hAnsi="Arial" w:cs="Arial"/>
                <w:color w:val="000000"/>
                <w:sz w:val="16"/>
                <w:szCs w:val="22"/>
                <w:lang w:val="en-US" w:eastAsia="en-US"/>
              </w:rPr>
              <w:t xml:space="preserve"> Informed government, industry and community decisions on the economic, social and environmental management of the nation's natural resources through enabling access to geoscientific and spatial information</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 Estimated actual</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2022­23 </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rsidR="00253274" w:rsidRDefault="00253274">
            <w:pPr>
              <w:keepLines w:val="0"/>
              <w:spacing w:after="0" w:line="240" w:lineRule="auto"/>
              <w:jc w:val="right"/>
              <w:rPr>
                <w:rFonts w:ascii="Arial" w:eastAsia="Arial" w:hAnsi="Arial" w:cs="Arial"/>
                <w:color w:val="000000"/>
                <w:sz w:val="16"/>
                <w:szCs w:val="22"/>
                <w:lang w:val="en-US" w:eastAsia="en-US"/>
              </w:rPr>
            </w:pP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 Geoscientific and Spatial Information Services</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FFFFFF" w:fill="FFFFFF"/>
            <w:tcMar>
              <w:left w:w="40" w:type="dxa"/>
              <w:right w:w="4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261,064</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345,316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305,591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266,791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256,210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(a)</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72,885</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71,567</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55,168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50,703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49,016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year (b)</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13,986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13,879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12,820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12,107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10,674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347,935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430,762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373,579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329,601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315,900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347,954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427,238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370,178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327,343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315,919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Outcome 1 Totals by </w:t>
            </w:r>
            <w:r w:rsidR="007D3FCF">
              <w:rPr>
                <w:rFonts w:ascii="Arial" w:eastAsia="Arial" w:hAnsi="Arial" w:cs="Arial"/>
                <w:b/>
                <w:color w:val="000000"/>
                <w:sz w:val="16"/>
                <w:szCs w:val="22"/>
                <w:lang w:val="en-US" w:eastAsia="en-US"/>
              </w:rPr>
              <w:t>appropriation</w:t>
            </w:r>
            <w:r>
              <w:rPr>
                <w:rFonts w:ascii="Arial" w:eastAsia="Arial" w:hAnsi="Arial" w:cs="Arial"/>
                <w:b/>
                <w:color w:val="000000"/>
                <w:sz w:val="16"/>
                <w:szCs w:val="22"/>
                <w:lang w:val="en-US" w:eastAsia="en-US"/>
              </w:rPr>
              <w:t xml:space="preserve"> type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FFFFFF" w:fill="FFFFFF"/>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FFFFFF" w:fill="FFFFFF"/>
            <w:tcMar>
              <w:left w:w="40" w:type="dxa"/>
              <w:right w:w="4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261,064</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345,316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305,591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266,791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256,210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FFFFFF" w:fill="FFFFFF"/>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(a)</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72,885</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71,567</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55,168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50,703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49,016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year (b)</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13,986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13,879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12,820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12,107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10,674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347,935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430,762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373,579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329,601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315,900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347,954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430,781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373,598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329,620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315,919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b/>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605</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600</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bl>
    <w:p w:rsidR="007E6680" w:rsidRPr="00897963" w:rsidRDefault="00BA7A7F" w:rsidP="00E74DB5">
      <w:pPr>
        <w:pStyle w:val="ListParagraph"/>
        <w:keepLines/>
        <w:numPr>
          <w:ilvl w:val="0"/>
          <w:numId w:val="121"/>
        </w:numPr>
        <w:tabs>
          <w:tab w:val="left" w:pos="284"/>
        </w:tabs>
        <w:spacing w:after="0" w:line="240" w:lineRule="auto"/>
        <w:ind w:left="284" w:hanging="284"/>
        <w:rPr>
          <w:rFonts w:ascii="Arial" w:eastAsia="Times New Roman" w:hAnsi="Arial" w:cs="Times New Roman"/>
          <w:i/>
          <w:sz w:val="16"/>
          <w:szCs w:val="20"/>
          <w:lang w:val="en-AU" w:eastAsia="en-AU"/>
        </w:rPr>
      </w:pPr>
      <w:r w:rsidRPr="00C501C5">
        <w:rPr>
          <w:rFonts w:ascii="Arial" w:eastAsia="Times New Roman" w:hAnsi="Arial" w:cs="Times New Roman"/>
          <w:sz w:val="16"/>
          <w:szCs w:val="20"/>
          <w:lang w:val="en-AU" w:eastAsia="en-AU"/>
        </w:rPr>
        <w:t xml:space="preserve">Estimated expenses incurred in relation to receipts retained under section 74 of the </w:t>
      </w:r>
      <w:r w:rsidRPr="00CC2970">
        <w:rPr>
          <w:rFonts w:ascii="Arial" w:eastAsia="Times New Roman" w:hAnsi="Arial" w:cs="Times New Roman"/>
          <w:sz w:val="16"/>
          <w:szCs w:val="20"/>
          <w:lang w:val="en-AU" w:eastAsia="en-AU"/>
        </w:rPr>
        <w:t>PGPA Act 2013</w:t>
      </w:r>
      <w:r w:rsidRPr="00897963">
        <w:rPr>
          <w:rFonts w:ascii="Arial" w:eastAsia="Times New Roman" w:hAnsi="Arial" w:cs="Times New Roman"/>
          <w:i/>
          <w:sz w:val="16"/>
          <w:szCs w:val="20"/>
          <w:lang w:val="en-AU" w:eastAsia="en-AU"/>
        </w:rPr>
        <w:t>.</w:t>
      </w:r>
    </w:p>
    <w:p w:rsidR="00C95B51" w:rsidRDefault="00BA7A7F" w:rsidP="008C1BEE">
      <w:pPr>
        <w:pStyle w:val="ListParagraph"/>
        <w:keepLines/>
        <w:numPr>
          <w:ilvl w:val="0"/>
          <w:numId w:val="121"/>
        </w:numPr>
        <w:tabs>
          <w:tab w:val="left" w:pos="284"/>
        </w:tabs>
        <w:spacing w:before="40" w:after="0" w:line="240" w:lineRule="auto"/>
        <w:ind w:left="284" w:hanging="284"/>
        <w:rPr>
          <w:rFonts w:ascii="Arial" w:eastAsia="Times New Roman" w:hAnsi="Arial" w:cs="Times New Roman"/>
          <w:sz w:val="16"/>
          <w:szCs w:val="20"/>
          <w:lang w:val="en-AU" w:eastAsia="en-AU"/>
        </w:rPr>
      </w:pPr>
      <w:r w:rsidRPr="00C501C5">
        <w:rPr>
          <w:rFonts w:ascii="Arial" w:eastAsia="Times New Roman" w:hAnsi="Arial" w:cs="Times New Roman"/>
          <w:sz w:val="16"/>
          <w:szCs w:val="20"/>
          <w:lang w:val="en-AU" w:eastAsia="en-AU"/>
        </w:rPr>
        <w:t>Expenses not requiring appropriation in the Budget years are made up of depreciation expenses, amortisation expenses, make good expenses, audit fees and accounting treatment of accommodation lease expenses.</w:t>
      </w:r>
    </w:p>
    <w:p w:rsidR="00C501C5" w:rsidRPr="00C501C5" w:rsidRDefault="00BA7A7F" w:rsidP="00C501C5">
      <w:pPr>
        <w:tabs>
          <w:tab w:val="left" w:pos="284"/>
        </w:tabs>
        <w:spacing w:before="40" w:after="0" w:line="240" w:lineRule="auto"/>
        <w:rPr>
          <w:rFonts w:ascii="Arial" w:hAnsi="Arial"/>
          <w:sz w:val="16"/>
        </w:rPr>
      </w:pPr>
      <w:r w:rsidRPr="00C501C5">
        <w:rPr>
          <w:rFonts w:ascii="Arial" w:hAnsi="Arial"/>
          <w:sz w:val="16"/>
        </w:rPr>
        <w:t>Note: Departmental appropriation splits and totals are indicative estimates and may change in the course of the budget year as government priorities change.</w:t>
      </w:r>
    </w:p>
    <w:p w:rsidR="00D86095" w:rsidRDefault="00BA7A7F" w:rsidP="006C3379">
      <w:pPr>
        <w:pStyle w:val="TableHeading"/>
        <w:keepLines/>
        <w:pageBreakBefore/>
      </w:pPr>
      <w:bookmarkStart w:id="1394" w:name="RG_MARKER_12244"/>
      <w:r w:rsidRPr="002E3447">
        <w:t>Table 2.1</w:t>
      </w:r>
      <w:bookmarkEnd w:id="1394"/>
      <w:r>
        <w:t>.2</w:t>
      </w:r>
      <w:r w:rsidRPr="002E3447">
        <w:t xml:space="preserve">: </w:t>
      </w:r>
      <w:r>
        <w:t xml:space="preserve">Performance measure for </w:t>
      </w:r>
      <w:r w:rsidRPr="002E3447">
        <w:t>Outcome 1</w:t>
      </w:r>
    </w:p>
    <w:p w:rsidR="00150EE5" w:rsidRDefault="00BA7A7F" w:rsidP="00150EE5">
      <w: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Style w:val="TableGrid"/>
        <w:tblW w:w="7796" w:type="dxa"/>
        <w:tblLook w:val="04A0" w:firstRow="1" w:lastRow="0" w:firstColumn="1" w:lastColumn="0" w:noHBand="0" w:noVBand="1"/>
      </w:tblPr>
      <w:tblGrid>
        <w:gridCol w:w="1560"/>
        <w:gridCol w:w="3118"/>
        <w:gridCol w:w="3118"/>
      </w:tblGrid>
      <w:tr w:rsidR="00253274" w:rsidTr="00B73D44">
        <w:trPr>
          <w:trHeight w:val="569"/>
        </w:trPr>
        <w:tc>
          <w:tcPr>
            <w:tcW w:w="7796" w:type="dxa"/>
            <w:gridSpan w:val="3"/>
            <w:hideMark/>
          </w:tcPr>
          <w:p w:rsidR="00150EE5" w:rsidRDefault="00BA7A7F">
            <w:pPr>
              <w:pStyle w:val="TableColumnHeadingLeft"/>
              <w:keepLines/>
            </w:pPr>
            <w:r w:rsidRPr="004E1067">
              <w:rPr>
                <w:rStyle w:val="TableHeadingChar"/>
                <w:b/>
                <w:color w:val="000000"/>
              </w:rPr>
              <w:t>Outcome 1</w:t>
            </w:r>
            <w:r w:rsidRPr="004E1067">
              <w:rPr>
                <w:color w:val="000000"/>
                <w:lang w:val="x-none"/>
              </w:rPr>
              <w:t xml:space="preserve"> </w:t>
            </w:r>
            <w:r w:rsidRPr="004E1067">
              <w:rPr>
                <w:color w:val="000000"/>
              </w:rPr>
              <w:t>– Informed</w:t>
            </w:r>
            <w:r>
              <w:rPr>
                <w:color w:val="000000"/>
              </w:rPr>
              <w:t xml:space="preserve"> government, industry and community decisions on the economic, social and environmental management of the nation’s natural resources through enabling access to geoscientific and spatial information</w:t>
            </w:r>
          </w:p>
        </w:tc>
      </w:tr>
      <w:tr w:rsidR="00253274" w:rsidTr="00B73D44">
        <w:trPr>
          <w:trHeight w:val="522"/>
        </w:trPr>
        <w:tc>
          <w:tcPr>
            <w:tcW w:w="7796" w:type="dxa"/>
            <w:gridSpan w:val="3"/>
            <w:hideMark/>
          </w:tcPr>
          <w:p w:rsidR="00150EE5" w:rsidRDefault="00BA7A7F">
            <w:pPr>
              <w:pStyle w:val="TableTextLeft"/>
              <w:rPr>
                <w:rFonts w:eastAsia="Calibri"/>
              </w:rPr>
            </w:pPr>
            <w:r>
              <w:rPr>
                <w:rFonts w:eastAsia="Calibri"/>
                <w:b/>
              </w:rPr>
              <w:t xml:space="preserve">Program 1 </w:t>
            </w:r>
            <w:r>
              <w:rPr>
                <w:rFonts w:eastAsia="Calibri"/>
              </w:rPr>
              <w:t xml:space="preserve">– </w:t>
            </w:r>
            <w:r>
              <w:rPr>
                <w:rFonts w:eastAsia="Calibri"/>
                <w:b/>
              </w:rPr>
              <w:t>Geoscientific and Spatial Information Services</w:t>
            </w:r>
          </w:p>
          <w:p w:rsidR="00150EE5" w:rsidRPr="00FF6D4A" w:rsidRDefault="00BA7A7F">
            <w:pPr>
              <w:pStyle w:val="TableTextLeft"/>
              <w:rPr>
                <w:rFonts w:eastAsia="Calibri"/>
                <w:sz w:val="16"/>
                <w:szCs w:val="16"/>
              </w:rPr>
            </w:pPr>
            <w:r w:rsidRPr="00FF6D4A">
              <w:rPr>
                <w:rFonts w:eastAsia="Calibri"/>
                <w:sz w:val="16"/>
                <w:szCs w:val="16"/>
              </w:rPr>
              <w:t>This program contributes to the outcome by providing trusted information and advice on Australia’s geology and geography to support faster and smarter decision making.</w:t>
            </w:r>
          </w:p>
        </w:tc>
      </w:tr>
      <w:tr w:rsidR="00253274" w:rsidTr="00B73D44">
        <w:trPr>
          <w:trHeight w:val="694"/>
        </w:trPr>
        <w:tc>
          <w:tcPr>
            <w:tcW w:w="1560" w:type="dxa"/>
            <w:hideMark/>
          </w:tcPr>
          <w:p w:rsidR="00150EE5" w:rsidRDefault="00BA7A7F" w:rsidP="00FF6D4A">
            <w:pPr>
              <w:tabs>
                <w:tab w:val="left" w:pos="709"/>
              </w:tabs>
              <w:spacing w:before="60" w:after="60" w:line="240" w:lineRule="auto"/>
              <w:rPr>
                <w:rFonts w:ascii="Arial" w:hAnsi="Arial" w:cs="Arial"/>
                <w:b/>
                <w:sz w:val="16"/>
                <w:szCs w:val="16"/>
              </w:rPr>
            </w:pPr>
            <w:r>
              <w:rPr>
                <w:rFonts w:ascii="Arial" w:hAnsi="Arial" w:cs="Arial"/>
                <w:b/>
                <w:sz w:val="16"/>
                <w:szCs w:val="16"/>
              </w:rPr>
              <w:t xml:space="preserve">Key Activities </w:t>
            </w:r>
          </w:p>
        </w:tc>
        <w:tc>
          <w:tcPr>
            <w:tcW w:w="6236" w:type="dxa"/>
            <w:gridSpan w:val="2"/>
            <w:hideMark/>
          </w:tcPr>
          <w:p w:rsidR="00150EE5" w:rsidRDefault="00BA7A7F" w:rsidP="00FF6D4A">
            <w:pPr>
              <w:tabs>
                <w:tab w:val="left" w:pos="709"/>
              </w:tabs>
              <w:spacing w:before="60" w:after="60" w:line="240" w:lineRule="auto"/>
              <w:jc w:val="left"/>
              <w:rPr>
                <w:rFonts w:ascii="Arial" w:hAnsi="Arial" w:cs="Arial"/>
                <w:bCs/>
                <w:sz w:val="16"/>
                <w:szCs w:val="16"/>
              </w:rPr>
            </w:pPr>
            <w:r>
              <w:rPr>
                <w:rFonts w:ascii="Arial" w:hAnsi="Arial" w:cs="Arial"/>
                <w:bCs/>
                <w:sz w:val="16"/>
                <w:szCs w:val="16"/>
              </w:rPr>
              <w:t xml:space="preserve">Geoscience Australia’s key activities, as reported in its corporate plan, are based on delivering value across six areas of national interest, with a seventh area focused on building internal performance and enabling functions. </w:t>
            </w:r>
          </w:p>
          <w:p w:rsidR="00150EE5" w:rsidRDefault="00BA7A7F" w:rsidP="00FF6D4A">
            <w:pPr>
              <w:tabs>
                <w:tab w:val="left" w:pos="709"/>
              </w:tabs>
              <w:spacing w:before="60" w:after="60" w:line="240" w:lineRule="auto"/>
              <w:jc w:val="left"/>
              <w:rPr>
                <w:rFonts w:ascii="Arial" w:hAnsi="Arial" w:cs="Arial"/>
                <w:bCs/>
                <w:sz w:val="16"/>
                <w:szCs w:val="16"/>
              </w:rPr>
            </w:pPr>
            <w:r>
              <w:rPr>
                <w:rFonts w:ascii="Arial" w:hAnsi="Arial" w:cs="Arial"/>
                <w:bCs/>
                <w:sz w:val="16"/>
                <w:szCs w:val="16"/>
              </w:rPr>
              <w:t xml:space="preserve">Geoscience Australia’s key activities: </w:t>
            </w:r>
          </w:p>
          <w:p w:rsidR="00150EE5" w:rsidRPr="00FF6D4A" w:rsidRDefault="00BA7A7F" w:rsidP="00FF6D4A">
            <w:pPr>
              <w:pStyle w:val="ListParagraph"/>
              <w:keepLines/>
              <w:numPr>
                <w:ilvl w:val="0"/>
                <w:numId w:val="122"/>
              </w:numPr>
              <w:spacing w:after="60" w:line="240" w:lineRule="auto"/>
              <w:jc w:val="left"/>
              <w:rPr>
                <w:rFonts w:eastAsia="Times New Roman" w:cs="Arial"/>
                <w:sz w:val="16"/>
                <w:szCs w:val="16"/>
                <w:lang w:val="en-AU"/>
              </w:rPr>
            </w:pPr>
            <w:r w:rsidRPr="00FF6D4A">
              <w:rPr>
                <w:rFonts w:ascii="Arial" w:eastAsia="Times New Roman" w:hAnsi="Arial" w:cs="Arial"/>
                <w:sz w:val="16"/>
                <w:szCs w:val="16"/>
                <w:lang w:val="en-AU"/>
              </w:rPr>
              <w:t>Building Australia’s resources wealth</w:t>
            </w:r>
          </w:p>
          <w:p w:rsidR="00150EE5" w:rsidRDefault="00BA7A7F" w:rsidP="00FF6D4A">
            <w:pPr>
              <w:pStyle w:val="ListParagraph"/>
              <w:keepLines/>
              <w:numPr>
                <w:ilvl w:val="0"/>
                <w:numId w:val="122"/>
              </w:numPr>
              <w:spacing w:after="60" w:line="240" w:lineRule="auto"/>
              <w:jc w:val="left"/>
              <w:rPr>
                <w:rFonts w:eastAsia="Times New Roman" w:cs="Arial"/>
                <w:sz w:val="16"/>
                <w:szCs w:val="16"/>
                <w:lang w:val="en-AU"/>
              </w:rPr>
            </w:pPr>
            <w:r>
              <w:rPr>
                <w:rFonts w:ascii="Arial" w:eastAsia="Times New Roman" w:hAnsi="Arial" w:cs="Arial"/>
                <w:sz w:val="16"/>
                <w:szCs w:val="16"/>
                <w:lang w:val="en-AU"/>
              </w:rPr>
              <w:t>Supporting Australia’s community safety</w:t>
            </w:r>
          </w:p>
          <w:p w:rsidR="00150EE5" w:rsidRDefault="00BA7A7F" w:rsidP="00FF6D4A">
            <w:pPr>
              <w:pStyle w:val="ListParagraph"/>
              <w:keepLines/>
              <w:numPr>
                <w:ilvl w:val="0"/>
                <w:numId w:val="122"/>
              </w:numPr>
              <w:spacing w:after="60" w:line="240" w:lineRule="auto"/>
              <w:jc w:val="left"/>
              <w:rPr>
                <w:rFonts w:eastAsia="Times New Roman" w:cs="Arial"/>
                <w:sz w:val="16"/>
                <w:szCs w:val="16"/>
                <w:lang w:val="en-AU"/>
              </w:rPr>
            </w:pPr>
            <w:r>
              <w:rPr>
                <w:rFonts w:ascii="Arial" w:eastAsia="Times New Roman" w:hAnsi="Arial" w:cs="Arial"/>
                <w:sz w:val="16"/>
                <w:szCs w:val="16"/>
                <w:lang w:val="en-AU"/>
              </w:rPr>
              <w:t>Securing Australia’s water resources</w:t>
            </w:r>
          </w:p>
          <w:p w:rsidR="00150EE5" w:rsidRDefault="00BA7A7F" w:rsidP="00FF6D4A">
            <w:pPr>
              <w:pStyle w:val="ListParagraph"/>
              <w:keepLines/>
              <w:numPr>
                <w:ilvl w:val="0"/>
                <w:numId w:val="122"/>
              </w:numPr>
              <w:spacing w:after="60" w:line="240" w:lineRule="auto"/>
              <w:jc w:val="left"/>
              <w:rPr>
                <w:rFonts w:eastAsia="Times New Roman" w:cs="Arial"/>
                <w:sz w:val="16"/>
                <w:szCs w:val="16"/>
                <w:lang w:val="en-AU"/>
              </w:rPr>
            </w:pPr>
            <w:r>
              <w:rPr>
                <w:rFonts w:ascii="Arial" w:eastAsia="Times New Roman" w:hAnsi="Arial" w:cs="Arial"/>
                <w:sz w:val="16"/>
                <w:szCs w:val="16"/>
                <w:lang w:val="en-AU"/>
              </w:rPr>
              <w:t>Managing Australia’s marine jurisdictions</w:t>
            </w:r>
          </w:p>
          <w:p w:rsidR="00150EE5" w:rsidRDefault="00BA7A7F" w:rsidP="00FF6D4A">
            <w:pPr>
              <w:pStyle w:val="ListParagraph"/>
              <w:keepLines/>
              <w:numPr>
                <w:ilvl w:val="0"/>
                <w:numId w:val="122"/>
              </w:numPr>
              <w:spacing w:after="60" w:line="240" w:lineRule="auto"/>
              <w:jc w:val="left"/>
              <w:rPr>
                <w:rFonts w:eastAsia="Times New Roman" w:cs="Arial"/>
                <w:sz w:val="16"/>
                <w:szCs w:val="16"/>
                <w:lang w:val="en-AU"/>
              </w:rPr>
            </w:pPr>
            <w:r>
              <w:rPr>
                <w:rFonts w:ascii="Arial" w:eastAsia="Times New Roman" w:hAnsi="Arial" w:cs="Arial"/>
                <w:sz w:val="16"/>
                <w:szCs w:val="16"/>
                <w:lang w:val="en-AU"/>
              </w:rPr>
              <w:t>Creating a location-enabled Australia</w:t>
            </w:r>
          </w:p>
          <w:p w:rsidR="00150EE5" w:rsidRDefault="00BA7A7F" w:rsidP="00FF6D4A">
            <w:pPr>
              <w:pStyle w:val="ListParagraph"/>
              <w:keepLines/>
              <w:numPr>
                <w:ilvl w:val="0"/>
                <w:numId w:val="122"/>
              </w:numPr>
              <w:spacing w:after="60" w:line="240" w:lineRule="auto"/>
              <w:jc w:val="left"/>
              <w:rPr>
                <w:rFonts w:eastAsia="Times New Roman" w:cs="Arial"/>
                <w:sz w:val="16"/>
                <w:szCs w:val="16"/>
                <w:lang w:val="en-AU"/>
              </w:rPr>
            </w:pPr>
            <w:r>
              <w:rPr>
                <w:rFonts w:ascii="Arial" w:eastAsia="Times New Roman" w:hAnsi="Arial" w:cs="Arial"/>
                <w:sz w:val="16"/>
                <w:szCs w:val="16"/>
                <w:lang w:val="en-AU"/>
              </w:rPr>
              <w:t>Enabling an informed Australia</w:t>
            </w:r>
          </w:p>
          <w:p w:rsidR="00150EE5" w:rsidRDefault="00BA7A7F" w:rsidP="00FF6D4A">
            <w:pPr>
              <w:pStyle w:val="ListParagraph"/>
              <w:keepLines/>
              <w:numPr>
                <w:ilvl w:val="0"/>
                <w:numId w:val="122"/>
              </w:numPr>
              <w:spacing w:after="60" w:line="240" w:lineRule="auto"/>
              <w:jc w:val="left"/>
              <w:rPr>
                <w:rFonts w:eastAsia="Times New Roman" w:cs="Arial"/>
                <w:sz w:val="16"/>
                <w:szCs w:val="16"/>
                <w:lang w:val="en-AU"/>
              </w:rPr>
            </w:pPr>
            <w:r>
              <w:rPr>
                <w:rFonts w:ascii="Arial" w:eastAsia="Times New Roman" w:hAnsi="Arial" w:cs="Arial"/>
                <w:sz w:val="16"/>
                <w:szCs w:val="16"/>
                <w:lang w:val="en-AU"/>
              </w:rPr>
              <w:t>Trusted, sustainable and high performing</w:t>
            </w:r>
          </w:p>
        </w:tc>
      </w:tr>
      <w:tr w:rsidR="00253274" w:rsidTr="00B73D44">
        <w:trPr>
          <w:trHeight w:val="258"/>
        </w:trPr>
        <w:tc>
          <w:tcPr>
            <w:tcW w:w="1560" w:type="dxa"/>
          </w:tcPr>
          <w:p w:rsidR="00150EE5" w:rsidRDefault="00BA7A7F" w:rsidP="00FF6D4A">
            <w:pPr>
              <w:pStyle w:val="TableTextBase"/>
              <w:rPr>
                <w:rFonts w:eastAsia="Calibri"/>
                <w:b/>
                <w:sz w:val="16"/>
                <w:szCs w:val="16"/>
              </w:rPr>
            </w:pPr>
            <w:r>
              <w:rPr>
                <w:rFonts w:eastAsia="Calibri"/>
                <w:b/>
                <w:sz w:val="16"/>
                <w:szCs w:val="16"/>
              </w:rPr>
              <w:t>Year</w:t>
            </w:r>
          </w:p>
        </w:tc>
        <w:tc>
          <w:tcPr>
            <w:tcW w:w="3118" w:type="dxa"/>
            <w:hideMark/>
          </w:tcPr>
          <w:p w:rsidR="00150EE5" w:rsidRDefault="00BA7A7F" w:rsidP="00FF6D4A">
            <w:pPr>
              <w:pStyle w:val="TableTextBase"/>
              <w:rPr>
                <w:rFonts w:eastAsia="Calibri"/>
                <w:b/>
                <w:sz w:val="16"/>
                <w:szCs w:val="16"/>
              </w:rPr>
            </w:pPr>
            <w:r>
              <w:rPr>
                <w:rFonts w:eastAsia="Calibri"/>
                <w:b/>
                <w:sz w:val="16"/>
                <w:szCs w:val="16"/>
              </w:rPr>
              <w:t>Performance measures</w:t>
            </w:r>
          </w:p>
        </w:tc>
        <w:tc>
          <w:tcPr>
            <w:tcW w:w="3118" w:type="dxa"/>
            <w:hideMark/>
          </w:tcPr>
          <w:p w:rsidR="00150EE5" w:rsidRDefault="00BA7A7F" w:rsidP="00FF6D4A">
            <w:pPr>
              <w:pStyle w:val="TableTextBase"/>
              <w:rPr>
                <w:rFonts w:eastAsia="Calibri"/>
                <w:b/>
                <w:sz w:val="16"/>
                <w:szCs w:val="16"/>
              </w:rPr>
            </w:pPr>
            <w:r>
              <w:rPr>
                <w:rFonts w:eastAsia="Calibri"/>
                <w:b/>
                <w:sz w:val="16"/>
                <w:szCs w:val="16"/>
              </w:rPr>
              <w:t>Expected Performance Results</w:t>
            </w:r>
          </w:p>
        </w:tc>
      </w:tr>
      <w:tr w:rsidR="00253274" w:rsidTr="00B73D44">
        <w:trPr>
          <w:trHeight w:val="642"/>
        </w:trPr>
        <w:tc>
          <w:tcPr>
            <w:tcW w:w="1560" w:type="dxa"/>
          </w:tcPr>
          <w:p w:rsidR="00150EE5" w:rsidRDefault="00BA7A7F" w:rsidP="00FF6D4A">
            <w:pPr>
              <w:pStyle w:val="TableTextBase"/>
              <w:rPr>
                <w:rFonts w:eastAsia="Calibri"/>
                <w:sz w:val="16"/>
                <w:szCs w:val="16"/>
              </w:rPr>
            </w:pPr>
            <w:r>
              <w:rPr>
                <w:rFonts w:eastAsia="Calibri"/>
                <w:sz w:val="16"/>
                <w:szCs w:val="16"/>
              </w:rPr>
              <w:t xml:space="preserve">Current year </w:t>
            </w:r>
          </w:p>
          <w:p w:rsidR="00150EE5" w:rsidRDefault="00BA7A7F" w:rsidP="00FF6D4A">
            <w:pPr>
              <w:pStyle w:val="TableTextBase"/>
              <w:rPr>
                <w:rFonts w:eastAsia="Calibri"/>
                <w:sz w:val="16"/>
                <w:szCs w:val="16"/>
              </w:rPr>
            </w:pPr>
            <w:r>
              <w:rPr>
                <w:rFonts w:eastAsia="Calibri"/>
                <w:sz w:val="16"/>
                <w:szCs w:val="16"/>
              </w:rPr>
              <w:t>2021-22</w:t>
            </w:r>
          </w:p>
        </w:tc>
        <w:tc>
          <w:tcPr>
            <w:tcW w:w="3118" w:type="dxa"/>
          </w:tcPr>
          <w:p w:rsidR="00150EE5" w:rsidRDefault="00BA7A7F" w:rsidP="00FF6D4A">
            <w:pPr>
              <w:pStyle w:val="TableTextBase"/>
              <w:rPr>
                <w:rFonts w:eastAsia="Calibri"/>
                <w:i/>
                <w:color w:val="0070C0"/>
                <w:sz w:val="16"/>
                <w:szCs w:val="16"/>
              </w:rPr>
            </w:pPr>
            <w:r>
              <w:rPr>
                <w:rFonts w:eastAsia="Calibri"/>
                <w:sz w:val="16"/>
                <w:szCs w:val="16"/>
              </w:rPr>
              <w:t>Geoscience Australia’s products and services are underpinned by quality science, are fit-for purpose and meet stakeholder needs.</w:t>
            </w:r>
          </w:p>
          <w:p w:rsidR="00150EE5" w:rsidRDefault="00150EE5" w:rsidP="00FF6D4A">
            <w:pPr>
              <w:pStyle w:val="TableTextBase"/>
              <w:rPr>
                <w:rFonts w:eastAsia="Calibri"/>
                <w:i/>
                <w:color w:val="0070C0"/>
                <w:sz w:val="16"/>
                <w:szCs w:val="16"/>
              </w:rPr>
            </w:pPr>
          </w:p>
        </w:tc>
        <w:tc>
          <w:tcPr>
            <w:tcW w:w="3118" w:type="dxa"/>
            <w:hideMark/>
          </w:tcPr>
          <w:p w:rsidR="00150EE5" w:rsidRPr="00B73D44" w:rsidRDefault="00BA7A7F" w:rsidP="00FF6D4A">
            <w:pPr>
              <w:pStyle w:val="paragraph"/>
              <w:spacing w:before="0" w:beforeAutospacing="0" w:after="60" w:afterAutospacing="0"/>
              <w:textAlignment w:val="baseline"/>
              <w:rPr>
                <w:rFonts w:ascii="Segoe UI" w:hAnsi="Segoe UI" w:cs="Segoe UI"/>
                <w:sz w:val="18"/>
                <w:szCs w:val="18"/>
              </w:rPr>
            </w:pPr>
            <w:r w:rsidRPr="00B73D44">
              <w:rPr>
                <w:rStyle w:val="normaltextrun"/>
                <w:rFonts w:ascii="Arial" w:hAnsi="Arial" w:cs="Arial"/>
                <w:bCs/>
                <w:sz w:val="16"/>
                <w:szCs w:val="16"/>
              </w:rPr>
              <w:t>On Track</w:t>
            </w:r>
            <w:r w:rsidRPr="00B73D44">
              <w:rPr>
                <w:rStyle w:val="eop"/>
                <w:rFonts w:ascii="Arial" w:hAnsi="Arial" w:cs="Arial"/>
                <w:sz w:val="16"/>
                <w:szCs w:val="16"/>
              </w:rPr>
              <w:t> </w:t>
            </w:r>
          </w:p>
          <w:p w:rsidR="00150EE5" w:rsidRDefault="00BA7A7F" w:rsidP="00FF6D4A">
            <w:pPr>
              <w:pStyle w:val="paragraph"/>
              <w:spacing w:before="0" w:beforeAutospacing="0" w:after="60" w:afterAutospacing="0"/>
              <w:textAlignment w:val="baseline"/>
              <w:rPr>
                <w:rFonts w:ascii="Segoe UI" w:hAnsi="Segoe UI" w:cs="Segoe UI"/>
                <w:sz w:val="18"/>
                <w:szCs w:val="18"/>
              </w:rPr>
            </w:pPr>
            <w:r>
              <w:rPr>
                <w:rStyle w:val="normaltextrun"/>
                <w:rFonts w:ascii="Arial" w:hAnsi="Arial" w:cs="Arial"/>
                <w:sz w:val="16"/>
                <w:szCs w:val="16"/>
              </w:rPr>
              <w:t>Geoscience Australia delivered a range of valued products and services that were fit-for-purpose, based on quality science and met stakeholder needs.</w:t>
            </w:r>
            <w:r>
              <w:rPr>
                <w:rStyle w:val="eop"/>
                <w:rFonts w:ascii="Arial" w:hAnsi="Arial" w:cs="Arial"/>
                <w:sz w:val="16"/>
                <w:szCs w:val="16"/>
              </w:rPr>
              <w:t> </w:t>
            </w:r>
          </w:p>
          <w:p w:rsidR="00150EE5" w:rsidRDefault="00BA7A7F" w:rsidP="00FF6D4A">
            <w:pPr>
              <w:pStyle w:val="paragraph"/>
              <w:spacing w:before="0" w:beforeAutospacing="0" w:after="60" w:afterAutospacing="0"/>
              <w:textAlignment w:val="baseline"/>
              <w:rPr>
                <w:rFonts w:ascii="Segoe UI" w:hAnsi="Segoe UI" w:cs="Segoe UI"/>
                <w:sz w:val="18"/>
                <w:szCs w:val="18"/>
              </w:rPr>
            </w:pPr>
            <w:r>
              <w:rPr>
                <w:rStyle w:val="normaltextrun"/>
                <w:rFonts w:ascii="Arial" w:hAnsi="Arial" w:cs="Arial"/>
                <w:sz w:val="16"/>
                <w:szCs w:val="16"/>
              </w:rPr>
              <w:t>The development and delivery of Geoscience Australia’s work is guided by its science strategy and founded on the principles of science excellence.</w:t>
            </w:r>
            <w:r>
              <w:rPr>
                <w:rStyle w:val="eop"/>
                <w:rFonts w:ascii="Arial" w:hAnsi="Arial" w:cs="Arial"/>
                <w:sz w:val="16"/>
                <w:szCs w:val="16"/>
              </w:rPr>
              <w:t> </w:t>
            </w:r>
          </w:p>
          <w:p w:rsidR="00150EE5" w:rsidRDefault="00BA7A7F" w:rsidP="00FF6D4A">
            <w:pPr>
              <w:pStyle w:val="paragraph"/>
              <w:spacing w:before="0" w:beforeAutospacing="0" w:after="60" w:afterAutospacing="0"/>
              <w:textAlignment w:val="baseline"/>
              <w:rPr>
                <w:rFonts w:ascii="Segoe UI" w:hAnsi="Segoe UI" w:cs="Segoe UI"/>
                <w:sz w:val="18"/>
                <w:szCs w:val="18"/>
              </w:rPr>
            </w:pPr>
            <w:r>
              <w:rPr>
                <w:rStyle w:val="normaltextrun"/>
                <w:rFonts w:ascii="Arial" w:hAnsi="Arial" w:cs="Arial"/>
                <w:sz w:val="16"/>
                <w:szCs w:val="16"/>
              </w:rPr>
              <w:t>Geoscience Australia delivered information on Australia’s geology and geography for government, industry and community decision making.</w:t>
            </w:r>
            <w:r>
              <w:rPr>
                <w:rStyle w:val="eop"/>
                <w:rFonts w:ascii="Arial" w:hAnsi="Arial" w:cs="Arial"/>
                <w:sz w:val="16"/>
                <w:szCs w:val="16"/>
              </w:rPr>
              <w:t> </w:t>
            </w:r>
          </w:p>
          <w:p w:rsidR="00150EE5" w:rsidRDefault="00BA7A7F" w:rsidP="00FF6D4A">
            <w:pPr>
              <w:pStyle w:val="paragraph"/>
              <w:spacing w:before="0" w:beforeAutospacing="0" w:after="60" w:afterAutospacing="0"/>
              <w:textAlignment w:val="baseline"/>
              <w:rPr>
                <w:rFonts w:ascii="Segoe UI" w:hAnsi="Segoe UI" w:cs="Segoe UI"/>
                <w:sz w:val="18"/>
                <w:szCs w:val="18"/>
              </w:rPr>
            </w:pPr>
            <w:r>
              <w:rPr>
                <w:rStyle w:val="normaltextrun"/>
                <w:rFonts w:ascii="Arial" w:hAnsi="Arial" w:cs="Arial"/>
                <w:sz w:val="16"/>
                <w:szCs w:val="16"/>
              </w:rPr>
              <w:t>This work supports and enables informed decisions regarding the nation’s use of natural resources, the management of the environment, and community safety.</w:t>
            </w:r>
          </w:p>
        </w:tc>
      </w:tr>
      <w:tr w:rsidR="00253274" w:rsidTr="00B73D44">
        <w:trPr>
          <w:trHeight w:val="345"/>
        </w:trPr>
        <w:tc>
          <w:tcPr>
            <w:tcW w:w="1560" w:type="dxa"/>
            <w:hideMark/>
          </w:tcPr>
          <w:p w:rsidR="00150EE5" w:rsidRDefault="00BA7A7F" w:rsidP="00FF6D4A">
            <w:pPr>
              <w:pStyle w:val="TableTextBase"/>
              <w:rPr>
                <w:rFonts w:eastAsia="Calibri"/>
                <w:b/>
                <w:sz w:val="16"/>
                <w:szCs w:val="16"/>
              </w:rPr>
            </w:pPr>
            <w:r>
              <w:rPr>
                <w:rFonts w:eastAsia="Calibri"/>
                <w:b/>
                <w:sz w:val="16"/>
                <w:szCs w:val="16"/>
              </w:rPr>
              <w:t>Year</w:t>
            </w:r>
          </w:p>
        </w:tc>
        <w:tc>
          <w:tcPr>
            <w:tcW w:w="3118" w:type="dxa"/>
            <w:hideMark/>
          </w:tcPr>
          <w:p w:rsidR="00150EE5" w:rsidRDefault="00BA7A7F" w:rsidP="00FF6D4A">
            <w:pPr>
              <w:pStyle w:val="TableTextBase"/>
              <w:rPr>
                <w:rFonts w:eastAsia="Calibri"/>
                <w:b/>
                <w:sz w:val="16"/>
                <w:szCs w:val="16"/>
              </w:rPr>
            </w:pPr>
            <w:r>
              <w:rPr>
                <w:rFonts w:eastAsia="Calibri"/>
                <w:b/>
                <w:sz w:val="16"/>
                <w:szCs w:val="16"/>
              </w:rPr>
              <w:t>Performance measures</w:t>
            </w:r>
          </w:p>
        </w:tc>
        <w:tc>
          <w:tcPr>
            <w:tcW w:w="3118" w:type="dxa"/>
            <w:hideMark/>
          </w:tcPr>
          <w:p w:rsidR="00150EE5" w:rsidRDefault="00BA7A7F" w:rsidP="00FF6D4A">
            <w:pPr>
              <w:pStyle w:val="TableTextBase"/>
              <w:rPr>
                <w:rFonts w:eastAsia="Calibri"/>
                <w:b/>
                <w:sz w:val="16"/>
                <w:szCs w:val="16"/>
              </w:rPr>
            </w:pPr>
            <w:r>
              <w:rPr>
                <w:rFonts w:eastAsia="Calibri"/>
                <w:b/>
                <w:sz w:val="16"/>
                <w:szCs w:val="16"/>
              </w:rPr>
              <w:t>Planned Performance Results</w:t>
            </w:r>
          </w:p>
        </w:tc>
      </w:tr>
      <w:tr w:rsidR="00253274" w:rsidTr="00B73D44">
        <w:trPr>
          <w:trHeight w:val="100"/>
        </w:trPr>
        <w:tc>
          <w:tcPr>
            <w:tcW w:w="1560" w:type="dxa"/>
            <w:hideMark/>
          </w:tcPr>
          <w:p w:rsidR="00FF6D4A" w:rsidRDefault="00BA7A7F" w:rsidP="00FF6D4A">
            <w:pPr>
              <w:pStyle w:val="TableTextBase"/>
              <w:rPr>
                <w:rFonts w:eastAsia="Calibri"/>
                <w:sz w:val="16"/>
                <w:szCs w:val="16"/>
              </w:rPr>
            </w:pPr>
            <w:r>
              <w:rPr>
                <w:rFonts w:eastAsia="Calibri"/>
                <w:sz w:val="16"/>
                <w:szCs w:val="16"/>
              </w:rPr>
              <w:t xml:space="preserve">Budget Year     </w:t>
            </w:r>
          </w:p>
          <w:p w:rsidR="00150EE5" w:rsidRDefault="00BA7A7F" w:rsidP="00FF6D4A">
            <w:pPr>
              <w:pStyle w:val="TableTextBase"/>
              <w:rPr>
                <w:rFonts w:eastAsia="Calibri"/>
                <w:sz w:val="16"/>
                <w:szCs w:val="16"/>
              </w:rPr>
            </w:pPr>
            <w:r>
              <w:rPr>
                <w:rFonts w:eastAsia="Calibri"/>
                <w:sz w:val="16"/>
                <w:szCs w:val="16"/>
              </w:rPr>
              <w:t>2022-23</w:t>
            </w:r>
          </w:p>
        </w:tc>
        <w:tc>
          <w:tcPr>
            <w:tcW w:w="3118" w:type="dxa"/>
          </w:tcPr>
          <w:p w:rsidR="00150EE5" w:rsidRDefault="00BA7A7F" w:rsidP="00FF6D4A">
            <w:pPr>
              <w:pStyle w:val="TableTextBase"/>
              <w:rPr>
                <w:rFonts w:eastAsia="Calibri"/>
                <w:i/>
                <w:color w:val="0070C0"/>
                <w:sz w:val="16"/>
                <w:szCs w:val="16"/>
              </w:rPr>
            </w:pPr>
            <w:r>
              <w:rPr>
                <w:rFonts w:eastAsia="Calibri"/>
                <w:sz w:val="16"/>
                <w:szCs w:val="16"/>
              </w:rPr>
              <w:t>Geoscience Australia’s products and services are underpinned by quality science, are fit-for purpose and meet stakeholder needs.</w:t>
            </w:r>
          </w:p>
          <w:p w:rsidR="00150EE5" w:rsidRDefault="00150EE5" w:rsidP="00FF6D4A">
            <w:pPr>
              <w:pStyle w:val="TableTextBase"/>
              <w:rPr>
                <w:rFonts w:eastAsia="Calibri"/>
                <w:i/>
                <w:color w:val="0070C0"/>
                <w:sz w:val="16"/>
                <w:szCs w:val="16"/>
              </w:rPr>
            </w:pPr>
          </w:p>
        </w:tc>
        <w:tc>
          <w:tcPr>
            <w:tcW w:w="3118" w:type="dxa"/>
            <w:hideMark/>
          </w:tcPr>
          <w:p w:rsidR="00150EE5" w:rsidRDefault="00BA7A7F" w:rsidP="00FF6D4A">
            <w:pPr>
              <w:pStyle w:val="TableTextBase"/>
              <w:rPr>
                <w:rFonts w:eastAsia="Calibri" w:cs="Times New Roman"/>
                <w:i/>
                <w:color w:val="0070C0"/>
                <w:sz w:val="16"/>
                <w:szCs w:val="16"/>
              </w:rPr>
            </w:pPr>
            <w:r>
              <w:rPr>
                <w:rStyle w:val="normaltextrun"/>
                <w:rFonts w:eastAsia="Calibri"/>
                <w:color w:val="000000"/>
                <w:sz w:val="16"/>
                <w:szCs w:val="16"/>
                <w:shd w:val="clear" w:color="auto" w:fill="FFFFFF"/>
              </w:rPr>
              <w:t>Products and services adhere to Geoscience Australia’s science principles; stakeholders are satisfied with the information, data, products and services delivered.</w:t>
            </w:r>
          </w:p>
        </w:tc>
      </w:tr>
      <w:tr w:rsidR="00253274" w:rsidTr="00B73D44">
        <w:trPr>
          <w:trHeight w:val="491"/>
        </w:trPr>
        <w:tc>
          <w:tcPr>
            <w:tcW w:w="1560" w:type="dxa"/>
            <w:hideMark/>
          </w:tcPr>
          <w:p w:rsidR="00150EE5" w:rsidRDefault="00BA7A7F" w:rsidP="00FF6D4A">
            <w:pPr>
              <w:pStyle w:val="TableTextBase"/>
              <w:rPr>
                <w:rFonts w:eastAsia="Calibri"/>
                <w:sz w:val="16"/>
                <w:szCs w:val="16"/>
              </w:rPr>
            </w:pPr>
            <w:r>
              <w:rPr>
                <w:rFonts w:eastAsia="Calibri"/>
                <w:sz w:val="16"/>
                <w:szCs w:val="16"/>
              </w:rPr>
              <w:t xml:space="preserve">Forward Estimates </w:t>
            </w:r>
          </w:p>
          <w:p w:rsidR="00150EE5" w:rsidRDefault="00BA7A7F" w:rsidP="00FF6D4A">
            <w:pPr>
              <w:pStyle w:val="TableTextBase"/>
              <w:rPr>
                <w:rFonts w:eastAsia="Calibri"/>
                <w:b/>
                <w:sz w:val="16"/>
                <w:szCs w:val="16"/>
              </w:rPr>
            </w:pPr>
            <w:r>
              <w:rPr>
                <w:rFonts w:eastAsia="Calibri"/>
                <w:sz w:val="16"/>
                <w:szCs w:val="16"/>
              </w:rPr>
              <w:t>2023-26</w:t>
            </w:r>
          </w:p>
        </w:tc>
        <w:tc>
          <w:tcPr>
            <w:tcW w:w="3118" w:type="dxa"/>
            <w:hideMark/>
          </w:tcPr>
          <w:p w:rsidR="00150EE5" w:rsidRDefault="00BA7A7F" w:rsidP="00FF6D4A">
            <w:pPr>
              <w:pStyle w:val="TableTextBase"/>
              <w:rPr>
                <w:rFonts w:eastAsia="Calibri"/>
                <w:sz w:val="16"/>
                <w:szCs w:val="16"/>
              </w:rPr>
            </w:pPr>
            <w:r>
              <w:rPr>
                <w:rFonts w:eastAsia="Calibri"/>
                <w:sz w:val="16"/>
                <w:szCs w:val="16"/>
              </w:rPr>
              <w:t>As per 2022-23</w:t>
            </w:r>
          </w:p>
        </w:tc>
        <w:tc>
          <w:tcPr>
            <w:tcW w:w="3118" w:type="dxa"/>
          </w:tcPr>
          <w:p w:rsidR="00150EE5" w:rsidRDefault="00BA7A7F" w:rsidP="00FF6D4A">
            <w:pPr>
              <w:pStyle w:val="TableTextBase"/>
              <w:rPr>
                <w:rFonts w:eastAsia="Calibri"/>
                <w:sz w:val="16"/>
                <w:szCs w:val="16"/>
              </w:rPr>
            </w:pPr>
            <w:r>
              <w:rPr>
                <w:rFonts w:eastAsia="Calibri"/>
                <w:sz w:val="16"/>
                <w:szCs w:val="16"/>
              </w:rPr>
              <w:t>As per 2022-23</w:t>
            </w:r>
          </w:p>
          <w:p w:rsidR="00150EE5" w:rsidRDefault="00150EE5" w:rsidP="00FF6D4A">
            <w:pPr>
              <w:pStyle w:val="TableTextBase"/>
              <w:rPr>
                <w:rFonts w:eastAsia="Calibri"/>
                <w:sz w:val="16"/>
                <w:szCs w:val="16"/>
              </w:rPr>
            </w:pPr>
          </w:p>
        </w:tc>
      </w:tr>
      <w:tr w:rsidR="00253274" w:rsidTr="00B73D44">
        <w:trPr>
          <w:trHeight w:val="148"/>
        </w:trPr>
        <w:tc>
          <w:tcPr>
            <w:tcW w:w="7796" w:type="dxa"/>
            <w:gridSpan w:val="3"/>
          </w:tcPr>
          <w:p w:rsidR="00B73D44" w:rsidRPr="00B73D44" w:rsidRDefault="00BA7A7F" w:rsidP="00FF6D4A">
            <w:pPr>
              <w:pStyle w:val="TableTextBase"/>
              <w:rPr>
                <w:rFonts w:eastAsia="Calibri"/>
                <w:i/>
                <w:sz w:val="16"/>
                <w:szCs w:val="16"/>
              </w:rPr>
            </w:pPr>
            <w:r w:rsidRPr="00B73D44">
              <w:rPr>
                <w:rFonts w:eastAsia="Calibri"/>
                <w:sz w:val="16"/>
                <w:szCs w:val="16"/>
              </w:rPr>
              <w:t>Material changes</w:t>
            </w:r>
            <w:r>
              <w:rPr>
                <w:rFonts w:eastAsia="Calibri"/>
                <w:sz w:val="16"/>
                <w:szCs w:val="16"/>
              </w:rPr>
              <w:t xml:space="preserve"> to Program 1 resulting from 2022-23 Budget Measures: Nil</w:t>
            </w:r>
          </w:p>
        </w:tc>
      </w:tr>
    </w:tbl>
    <w:p w:rsidR="005B2053" w:rsidRPr="00535998" w:rsidRDefault="00BA7A7F" w:rsidP="005B2053">
      <w:pPr>
        <w:pStyle w:val="Heading2"/>
        <w:pageBreakBefore/>
        <w:rPr>
          <w:b/>
          <w:sz w:val="26"/>
          <w:szCs w:val="26"/>
        </w:rPr>
      </w:pPr>
      <w:bookmarkStart w:id="1395" w:name="RG_MARKER_11895"/>
      <w:bookmarkStart w:id="1396" w:name="RG_MARKER_12007"/>
      <w:bookmarkStart w:id="1397" w:name="RG_MARKER_12131"/>
      <w:r w:rsidRPr="00535998">
        <w:rPr>
          <w:b/>
          <w:sz w:val="26"/>
          <w:szCs w:val="26"/>
        </w:rPr>
        <w:t>Section 3</w:t>
      </w:r>
      <w:bookmarkStart w:id="1398" w:name="_Toc449255782_7"/>
      <w:bookmarkStart w:id="1399" w:name="_Toc446237038_7"/>
      <w:bookmarkStart w:id="1400" w:name="_Toc436625460_7"/>
      <w:bookmarkStart w:id="1401" w:name="_Toc436624159_7"/>
      <w:bookmarkEnd w:id="1395"/>
      <w:bookmarkEnd w:id="1396"/>
      <w:bookmarkEnd w:id="1397"/>
      <w:r w:rsidRPr="00535998">
        <w:rPr>
          <w:b/>
          <w:sz w:val="26"/>
          <w:szCs w:val="26"/>
        </w:rPr>
        <w:t>: Budgeted financial statements</w:t>
      </w:r>
      <w:bookmarkEnd w:id="1398"/>
      <w:bookmarkEnd w:id="1399"/>
      <w:bookmarkEnd w:id="1400"/>
      <w:bookmarkEnd w:id="1401"/>
    </w:p>
    <w:p w:rsidR="00445F72" w:rsidRDefault="00BA7A7F" w:rsidP="00445F72">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rsidR="005B2053" w:rsidRPr="00535998" w:rsidRDefault="00BA7A7F" w:rsidP="005B2053">
      <w:pPr>
        <w:pStyle w:val="Heading3"/>
        <w:rPr>
          <w:smallCaps w:val="0"/>
          <w:sz w:val="22"/>
          <w:szCs w:val="22"/>
        </w:rPr>
      </w:pPr>
      <w:bookmarkStart w:id="1402" w:name="_Toc210703218_7"/>
      <w:bookmarkStart w:id="1403" w:name="_Toc190682533_7"/>
      <w:bookmarkStart w:id="1404" w:name="_Toc190682316_7"/>
      <w:r w:rsidRPr="00535998">
        <w:rPr>
          <w:smallCaps w:val="0"/>
          <w:sz w:val="22"/>
          <w:szCs w:val="22"/>
        </w:rPr>
        <w:t>3.1</w:t>
      </w:r>
      <w:r w:rsidRPr="00535998">
        <w:rPr>
          <w:smallCaps w:val="0"/>
          <w:sz w:val="22"/>
          <w:szCs w:val="22"/>
        </w:rPr>
        <w:tab/>
        <w:t>Budgeted financial statements</w:t>
      </w:r>
      <w:bookmarkEnd w:id="1402"/>
      <w:bookmarkEnd w:id="1403"/>
      <w:bookmarkEnd w:id="1404"/>
    </w:p>
    <w:p w:rsidR="0000614C" w:rsidRPr="00535998" w:rsidRDefault="00BA7A7F" w:rsidP="0000614C">
      <w:pPr>
        <w:pStyle w:val="Heading4"/>
        <w:rPr>
          <w:sz w:val="20"/>
        </w:rPr>
      </w:pPr>
      <w:r w:rsidRPr="00535998">
        <w:rPr>
          <w:sz w:val="20"/>
        </w:rPr>
        <w:t>3.1.</w:t>
      </w:r>
      <w:r>
        <w:rPr>
          <w:sz w:val="20"/>
        </w:rPr>
        <w:t>1</w:t>
      </w:r>
      <w:r w:rsidRPr="00535998">
        <w:rPr>
          <w:sz w:val="20"/>
        </w:rPr>
        <w:tab/>
        <w:t>Explanatory notes and analysis of budgeted financial statements</w:t>
      </w:r>
    </w:p>
    <w:p w:rsidR="00F3253C" w:rsidRDefault="00BA7A7F" w:rsidP="00F3253C">
      <w:pPr>
        <w:jc w:val="left"/>
        <w:rPr>
          <w:b/>
        </w:rPr>
      </w:pPr>
      <w:r>
        <w:rPr>
          <w:b/>
        </w:rPr>
        <w:t>Budgeted Departmental Income Statement</w:t>
      </w:r>
    </w:p>
    <w:p w:rsidR="002F2BB5" w:rsidRPr="002F2BB5" w:rsidRDefault="00BA7A7F" w:rsidP="002F2BB5">
      <w:pPr>
        <w:keepLines w:val="0"/>
        <w:jc w:val="left"/>
      </w:pPr>
      <w:r w:rsidRPr="002F2BB5">
        <w:t>Total revenues for 2022-23 are budgeted at $416.9 million, an increase of $82.9 million from estimated actual revenue in 2021-22. This is mainly due to an increase in appropriation revenue from the Australian Government, mainly comprised of:</w:t>
      </w:r>
    </w:p>
    <w:p w:rsidR="002F2BB5" w:rsidRPr="002F2BB5" w:rsidRDefault="00BA7A7F" w:rsidP="002F2BB5">
      <w:pPr>
        <w:keepLines w:val="0"/>
        <w:numPr>
          <w:ilvl w:val="0"/>
          <w:numId w:val="123"/>
        </w:numPr>
        <w:spacing w:after="200" w:line="276" w:lineRule="auto"/>
        <w:contextualSpacing/>
        <w:jc w:val="left"/>
      </w:pPr>
      <w:r w:rsidRPr="002F2BB5">
        <w:t>Satellite-Based Augmentation System – net increase of $65.2 million</w:t>
      </w:r>
      <w:r>
        <w:t>.</w:t>
      </w:r>
    </w:p>
    <w:p w:rsidR="002F2BB5" w:rsidRPr="002F2BB5" w:rsidRDefault="00BA7A7F" w:rsidP="002F2BB5">
      <w:pPr>
        <w:keepLines w:val="0"/>
        <w:numPr>
          <w:ilvl w:val="0"/>
          <w:numId w:val="123"/>
        </w:numPr>
        <w:spacing w:after="200" w:line="276" w:lineRule="auto"/>
        <w:contextualSpacing/>
        <w:jc w:val="left"/>
      </w:pPr>
      <w:r w:rsidRPr="002F2BB5">
        <w:t>Exploring for the Future (phase two) – increase of $6.3 million</w:t>
      </w:r>
      <w:r>
        <w:t>.</w:t>
      </w:r>
    </w:p>
    <w:p w:rsidR="002F2BB5" w:rsidRPr="002F2BB5" w:rsidRDefault="00BA7A7F" w:rsidP="002F2BB5">
      <w:pPr>
        <w:keepLines w:val="0"/>
        <w:numPr>
          <w:ilvl w:val="0"/>
          <w:numId w:val="123"/>
        </w:numPr>
        <w:spacing w:after="200" w:line="276" w:lineRule="auto"/>
        <w:contextualSpacing/>
        <w:jc w:val="left"/>
      </w:pPr>
      <w:r w:rsidRPr="002F2BB5">
        <w:t>Strategic Basin Plans – increase of $6.0 million</w:t>
      </w:r>
      <w:r>
        <w:t>.</w:t>
      </w:r>
    </w:p>
    <w:p w:rsidR="002F2BB5" w:rsidRPr="002F2BB5" w:rsidRDefault="00BA7A7F" w:rsidP="002F2BB5">
      <w:pPr>
        <w:keepLines w:val="0"/>
        <w:numPr>
          <w:ilvl w:val="0"/>
          <w:numId w:val="123"/>
        </w:numPr>
        <w:spacing w:after="200" w:line="276" w:lineRule="auto"/>
        <w:contextualSpacing/>
        <w:jc w:val="left"/>
      </w:pPr>
      <w:r w:rsidRPr="002F2BB5">
        <w:t xml:space="preserve">National Space Mission for Earth Observation – </w:t>
      </w:r>
      <w:r>
        <w:t>not for publication</w:t>
      </w:r>
      <w:r w:rsidRPr="002F2BB5">
        <w:t>.</w:t>
      </w:r>
    </w:p>
    <w:p w:rsidR="002F2BB5" w:rsidRPr="002F2BB5" w:rsidRDefault="00BA7A7F" w:rsidP="002F2BB5">
      <w:pPr>
        <w:keepLines w:val="0"/>
        <w:numPr>
          <w:ilvl w:val="0"/>
          <w:numId w:val="123"/>
        </w:numPr>
        <w:spacing w:after="200" w:line="276" w:lineRule="auto"/>
        <w:contextualSpacing/>
        <w:jc w:val="left"/>
      </w:pPr>
      <w:r w:rsidRPr="002F2BB5">
        <w:t>Critical Minerals – virtual research and development centre – increase of $3.5</w:t>
      </w:r>
      <w:r>
        <w:t xml:space="preserve"> million.</w:t>
      </w:r>
    </w:p>
    <w:p w:rsidR="002F2BB5" w:rsidRPr="002F2BB5" w:rsidRDefault="00BA7A7F" w:rsidP="002F2BB5">
      <w:pPr>
        <w:keepLines w:val="0"/>
      </w:pPr>
      <w:r w:rsidRPr="002F2BB5">
        <w:t>The budgeted deficit for 2022-23 is $13.9 million. The deficit represents depreciation and amortisation of $10.2 million, which is not funded under the Government’s net cash appropriation arrangements, and depreciation and amortisation on right-of-use assets of $27.4 million, less principal payments on leased assets of $23.7 million.</w:t>
      </w:r>
    </w:p>
    <w:p w:rsidR="002F2BB5" w:rsidRPr="002F2BB5" w:rsidRDefault="00BA7A7F" w:rsidP="002F2BB5">
      <w:pPr>
        <w:keepLines w:val="0"/>
        <w:jc w:val="left"/>
        <w:rPr>
          <w:b/>
        </w:rPr>
      </w:pPr>
      <w:r w:rsidRPr="002F2BB5">
        <w:rPr>
          <w:b/>
        </w:rPr>
        <w:t xml:space="preserve">Budgeted Departmental Balance Sheet </w:t>
      </w:r>
    </w:p>
    <w:p w:rsidR="002F2BB5" w:rsidRPr="002F2BB5" w:rsidRDefault="00BA7A7F" w:rsidP="002F2BB5">
      <w:pPr>
        <w:keepLines w:val="0"/>
      </w:pPr>
      <w:r w:rsidRPr="002F2BB5">
        <w:t xml:space="preserve">Geoscience Australia’s budgeted total assets of $503.7 million and total liabilities of $439.2 million in 2022-23 represent an increase of $89.0 million and $85.6 million respectively from 2021-22. This reflects an expected increase in appropriations receivable and supplier payables associated with recent measures. </w:t>
      </w:r>
    </w:p>
    <w:p w:rsidR="002F2BB5" w:rsidRPr="002F2BB5" w:rsidRDefault="00BA7A7F" w:rsidP="002F2BB5">
      <w:pPr>
        <w:keepLines w:val="0"/>
        <w:jc w:val="left"/>
        <w:rPr>
          <w:b/>
        </w:rPr>
      </w:pPr>
      <w:r w:rsidRPr="002F2BB5">
        <w:rPr>
          <w:b/>
        </w:rPr>
        <w:t>Budgeted Capital Budget Statement</w:t>
      </w:r>
    </w:p>
    <w:p w:rsidR="002F2BB5" w:rsidRPr="002F2BB5" w:rsidRDefault="00BA7A7F" w:rsidP="002F2BB5">
      <w:pPr>
        <w:keepLines w:val="0"/>
        <w:jc w:val="left"/>
      </w:pPr>
      <w:r w:rsidRPr="002F2BB5">
        <w:t>Planned capital expenditure for Geoscience Australia in 2022-23 is $17.3 million. This comprises capital expenditure funded from equity injections of $9.6 million and the departmental capital budget of $7.7 million.</w:t>
      </w:r>
    </w:p>
    <w:p w:rsidR="002F2BB5" w:rsidRPr="002F2BB5" w:rsidRDefault="00BA7A7F" w:rsidP="002F2BB5">
      <w:pPr>
        <w:keepNext/>
        <w:keepLines w:val="0"/>
        <w:jc w:val="left"/>
        <w:rPr>
          <w:b/>
        </w:rPr>
      </w:pPr>
      <w:r w:rsidRPr="002F2BB5">
        <w:rPr>
          <w:b/>
        </w:rPr>
        <w:t>Budgeted Administered Income Statement</w:t>
      </w:r>
    </w:p>
    <w:p w:rsidR="002F2BB5" w:rsidRPr="002F2BB5" w:rsidRDefault="00BA7A7F" w:rsidP="002F2BB5">
      <w:pPr>
        <w:keepNext/>
        <w:keepLines w:val="0"/>
        <w:jc w:val="left"/>
      </w:pPr>
      <w:r w:rsidRPr="002F2BB5">
        <w:t>Geoscience Australia will make one payment on behalf of the Australian Government in 2022-23, being a grant of $0.02 million for the International Geoscience Program.</w:t>
      </w:r>
    </w:p>
    <w:p w:rsidR="002F2BB5" w:rsidRPr="002F2BB5" w:rsidRDefault="00BA7A7F" w:rsidP="002F2BB5">
      <w:pPr>
        <w:keepLines w:val="0"/>
        <w:jc w:val="left"/>
        <w:rPr>
          <w:b/>
        </w:rPr>
      </w:pPr>
      <w:r w:rsidRPr="002F2BB5">
        <w:rPr>
          <w:b/>
        </w:rPr>
        <w:t>Budgeted Administered Balance Sheet</w:t>
      </w:r>
    </w:p>
    <w:p w:rsidR="002F2BB5" w:rsidRDefault="00BA7A7F" w:rsidP="002F2BB5">
      <w:pPr>
        <w:keepLines w:val="0"/>
      </w:pPr>
      <w:r w:rsidRPr="002F2BB5">
        <w:t>Geoscience Australia does not expect to hold any administered assets or liabilities in 2021-22 and 2022-23.</w:t>
      </w:r>
    </w:p>
    <w:p w:rsidR="006C7034" w:rsidRDefault="006C7034" w:rsidP="002F2BB5">
      <w:pPr>
        <w:keepLines w:val="0"/>
        <w:rPr>
          <w:vanish/>
        </w:rPr>
      </w:pPr>
    </w:p>
    <w:p w:rsidR="006B6EF0" w:rsidRPr="00AF27CA" w:rsidRDefault="00BA7A7F" w:rsidP="00FD22D0">
      <w:pPr>
        <w:pStyle w:val="Heading3"/>
        <w:pageBreakBefore/>
        <w:spacing w:before="0"/>
        <w:rPr>
          <w:rFonts w:ascii="Arial Bold" w:hAnsi="Arial Bold"/>
          <w:smallCaps w:val="0"/>
          <w:sz w:val="22"/>
          <w:szCs w:val="22"/>
        </w:rPr>
      </w:pPr>
      <w:bookmarkStart w:id="1405" w:name="RG_MARKER_12006"/>
      <w:bookmarkStart w:id="1406" w:name="RG_MARKER_12241"/>
      <w:r w:rsidRPr="00AF27CA">
        <w:rPr>
          <w:rFonts w:ascii="Arial Bold" w:hAnsi="Arial Bold"/>
          <w:smallCaps w:val="0"/>
          <w:sz w:val="22"/>
          <w:szCs w:val="22"/>
        </w:rPr>
        <w:t>3.2</w:t>
      </w:r>
      <w:bookmarkEnd w:id="1405"/>
      <w:bookmarkEnd w:id="1406"/>
      <w:r w:rsidRPr="00AF27CA">
        <w:rPr>
          <w:rFonts w:ascii="Arial Bold" w:hAnsi="Arial Bold"/>
          <w:smallCaps w:val="0"/>
          <w:sz w:val="22"/>
          <w:szCs w:val="22"/>
        </w:rPr>
        <w:tab/>
        <w:t>Budgeted financial statements tables</w:t>
      </w:r>
    </w:p>
    <w:p w:rsidR="005E7F55" w:rsidRDefault="00BA7A7F" w:rsidP="007F0E19">
      <w:pPr>
        <w:pStyle w:val="TableHeading"/>
        <w:keepLines/>
        <w:spacing w:before="60"/>
      </w:pPr>
      <w:r>
        <w:t>Table 3.1: Comprehensive income statement (showing net cost of services) for the period ended 30 June</w:t>
      </w:r>
    </w:p>
    <w:tbl>
      <w:tblPr>
        <w:tblStyle w:val="CDMRange1"/>
        <w:tblW w:w="7725" w:type="dxa"/>
        <w:tblLayout w:type="fixed"/>
        <w:tblLook w:val="0600" w:firstRow="0" w:lastRow="0" w:firstColumn="0" w:lastColumn="0" w:noHBand="1" w:noVBand="1"/>
      </w:tblPr>
      <w:tblGrid>
        <w:gridCol w:w="3600"/>
        <w:gridCol w:w="825"/>
        <w:gridCol w:w="825"/>
        <w:gridCol w:w="825"/>
        <w:gridCol w:w="825"/>
        <w:gridCol w:w="825"/>
      </w:tblGrid>
      <w:tr w:rsidR="00253274">
        <w:trPr>
          <w:trHeight w:val="900"/>
        </w:trPr>
        <w:tc>
          <w:tcPr>
            <w:tcW w:w="3600"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81,828</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80,956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80,654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80,956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80,956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225,519</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308,885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252,254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207,853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194,727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 (a)</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36,977</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37,604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37,663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38,107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37,870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3,611</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3,317</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2,685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2,347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347,935</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430,762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373,579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329,601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315,900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69,855</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68,535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52,134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47,667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45,987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Sublease income</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2,629</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2,631</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2,633</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2,635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2,628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72,885</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71,567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55,168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50,703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49,016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72,885</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71,567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55,168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50,703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49,016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(275,050)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(359,195)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(318,411)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(278,898)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(266,884)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261,064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345,316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305,391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266,791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256,210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(13,986)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(13,879)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(12,820)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(12,107)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(10,674)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(13,986)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(13,879)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(12,820)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(12,107)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(10,674)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00"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(13,986)</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(13,879)</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(13,020)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(12,107)</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(10,674)</w:t>
            </w:r>
          </w:p>
        </w:tc>
      </w:tr>
    </w:tbl>
    <w:p w:rsidR="00126D7D" w:rsidRDefault="00BA7A7F">
      <w:pPr>
        <w:keepLines w:val="0"/>
        <w:spacing w:after="200" w:line="276" w:lineRule="auto"/>
        <w:jc w:val="left"/>
        <w:rPr>
          <w:rFonts w:ascii="Arial" w:hAnsi="Arial"/>
          <w:b/>
        </w:rPr>
      </w:pPr>
      <w:r>
        <w:br w:type="page"/>
      </w:r>
    </w:p>
    <w:p w:rsidR="00E732FC" w:rsidRDefault="00BA7A7F" w:rsidP="007F0E19">
      <w:pPr>
        <w:pStyle w:val="TableHeading"/>
        <w:keepLines/>
        <w:spacing w:before="60"/>
      </w:pPr>
      <w:r>
        <w:t>Table 3.1: Comprehensive income statement (showing net cost of services) for the period ended 30 June (continued)</w:t>
      </w:r>
    </w:p>
    <w:tbl>
      <w:tblPr>
        <w:tblStyle w:val="CDMRange2"/>
        <w:tblW w:w="7725" w:type="dxa"/>
        <w:tblLayout w:type="fixed"/>
        <w:tblLook w:val="0600" w:firstRow="0" w:lastRow="0" w:firstColumn="0" w:lastColumn="0" w:noHBand="1" w:noVBand="1"/>
      </w:tblPr>
      <w:tblGrid>
        <w:gridCol w:w="3600"/>
        <w:gridCol w:w="825"/>
        <w:gridCol w:w="825"/>
        <w:gridCol w:w="825"/>
        <w:gridCol w:w="825"/>
        <w:gridCol w:w="825"/>
      </w:tblGrid>
      <w:tr w:rsidR="00253274">
        <w:trPr>
          <w:trHeight w:hRule="exact" w:val="225"/>
        </w:trPr>
        <w:tc>
          <w:tcPr>
            <w:tcW w:w="7725" w:type="dxa"/>
            <w:gridSpan w:val="6"/>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600"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0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0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previously funded through</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revenue appropriations (a)</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9,253</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10,232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10,291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10,736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27,724</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27,372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27,372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27,371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27,370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22,991</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23,725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24,843</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26,000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27,196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 (Deficit)</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13,986</w:t>
            </w:r>
          </w:p>
        </w:tc>
        <w:tc>
          <w:tcPr>
            <w:tcW w:w="82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13,879</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12,820</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12,107</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10,674</w:t>
            </w:r>
          </w:p>
        </w:tc>
      </w:tr>
    </w:tbl>
    <w:p w:rsidR="00A71830" w:rsidRDefault="00BA7A7F" w:rsidP="007F0E19">
      <w:pPr>
        <w:pStyle w:val="ChartandTableFootnoteAlpha"/>
        <w:keepNext w:val="0"/>
        <w:keepLines w:val="0"/>
        <w:numPr>
          <w:ilvl w:val="0"/>
          <w:numId w:val="124"/>
        </w:numPr>
        <w:spacing w:line="240" w:lineRule="auto"/>
        <w:ind w:left="357" w:hanging="357"/>
        <w:contextualSpacing/>
      </w:pPr>
      <w:r>
        <w:t>From 2010-11, the Government introduced net cash appropriation arrangements.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rsidR="00915587" w:rsidRDefault="00BA7A7F" w:rsidP="00A850F7">
      <w:pPr>
        <w:pStyle w:val="ChartandTableFootnoteAlpha"/>
        <w:keepNext w:val="0"/>
        <w:keepLines w:val="0"/>
        <w:numPr>
          <w:ilvl w:val="0"/>
          <w:numId w:val="124"/>
        </w:numPr>
        <w:spacing w:line="240" w:lineRule="auto"/>
        <w:ind w:left="357" w:hanging="357"/>
        <w:contextualSpacing/>
      </w:pPr>
      <w:r>
        <w:t>Applies leases under AASB 16 Leases.</w:t>
      </w:r>
    </w:p>
    <w:p w:rsidR="00DF55D3" w:rsidRPr="00DF55D3" w:rsidRDefault="00BA7A7F" w:rsidP="00DF55D3">
      <w:pPr>
        <w:rPr>
          <w:rFonts w:ascii="Arial" w:hAnsi="Arial" w:cs="Arial"/>
          <w:sz w:val="16"/>
          <w:szCs w:val="16"/>
        </w:rPr>
      </w:pPr>
      <w:r w:rsidRPr="003254F9">
        <w:rPr>
          <w:rFonts w:ascii="Arial" w:hAnsi="Arial" w:cs="Arial"/>
          <w:sz w:val="16"/>
          <w:szCs w:val="16"/>
        </w:rPr>
        <w:t>Prepared on Australian Accounting Standards basis</w:t>
      </w:r>
    </w:p>
    <w:p w:rsidR="005E7F55" w:rsidRDefault="00BA7A7F" w:rsidP="00F04214">
      <w:pPr>
        <w:pStyle w:val="TableHeading"/>
        <w:keepLines/>
        <w:pageBreakBefore/>
        <w:spacing w:before="60"/>
        <w:rPr>
          <w:rStyle w:val="BookTitle"/>
          <w:i w:val="0"/>
          <w:iCs/>
          <w:spacing w:val="0"/>
          <w:bdr w:val="none" w:sz="0" w:space="0" w:color="auto" w:frame="1"/>
        </w:rPr>
      </w:pPr>
      <w:r>
        <w:rPr>
          <w:bdr w:val="none" w:sz="0" w:space="0" w:color="auto" w:frame="1"/>
        </w:rPr>
        <w:t xml:space="preserve">Table 3.2: Budgeted departmental balance sheet (as at </w:t>
      </w:r>
      <w:r>
        <w:t>30 June)</w:t>
      </w:r>
    </w:p>
    <w:tbl>
      <w:tblPr>
        <w:tblStyle w:val="CDMRange1"/>
        <w:tblW w:w="7650" w:type="dxa"/>
        <w:tblLayout w:type="fixed"/>
        <w:tblLook w:val="0600" w:firstRow="0" w:lastRow="0" w:firstColumn="0" w:lastColumn="0" w:noHBand="1" w:noVBand="1"/>
      </w:tblPr>
      <w:tblGrid>
        <w:gridCol w:w="3375"/>
        <w:gridCol w:w="855"/>
        <w:gridCol w:w="855"/>
        <w:gridCol w:w="855"/>
        <w:gridCol w:w="855"/>
        <w:gridCol w:w="855"/>
      </w:tblGrid>
      <w:tr w:rsidR="00253274">
        <w:trPr>
          <w:trHeight w:val="900"/>
        </w:trPr>
        <w:tc>
          <w:tcPr>
            <w:tcW w:w="3375"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70,293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176,944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128,149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82,448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85,702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2,897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5,560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4,935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4,256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73,690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183,004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133,584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87,204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90,625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289,753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260,687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231,635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202,575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173,480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47,008</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55,913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68,310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68,009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74,935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734</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577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578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3,577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3,577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3,577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3,577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3,577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341,072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320,754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303,906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274,554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252,570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414,762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503,758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437,490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361,758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343,195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10,270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118,008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67,321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19,365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21,214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27,235</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27,544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27,544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27,853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28,158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37,505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145,552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94,865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47,218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49,372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284,605</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260,880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236,037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210,037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182,841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284,605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260,880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236,037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210,037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182,841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27,430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28,549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29,668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30,787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31,906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4,043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4,191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4,339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4,487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4,635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31,473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32,740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34,007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35,274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36,541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353,583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439,172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364,909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292,529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268,754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61,179</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64,586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72,581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69,229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74,441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63,334</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80,620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101,435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110,190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126,076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15,211</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15,211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15,211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15,211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15,211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(17,366)</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(31,245)</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(44,065)</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(56,172)</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(66,846)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61,179</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64,586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72,581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69,229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74,441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61,179</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64,586</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72,581</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69,229</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74,441</w:t>
            </w:r>
          </w:p>
        </w:tc>
      </w:tr>
    </w:tbl>
    <w:p w:rsidR="005E7F55" w:rsidRPr="00DD0A97" w:rsidRDefault="00BA7A7F" w:rsidP="00551AD8">
      <w:pPr>
        <w:spacing w:before="40" w:after="0" w:line="240" w:lineRule="auto"/>
        <w:rPr>
          <w:rFonts w:ascii="Arial" w:eastAsia="Calibri" w:hAnsi="Arial" w:cs="Arial"/>
          <w:sz w:val="16"/>
          <w:szCs w:val="16"/>
          <w:bdr w:val="none" w:sz="0" w:space="0" w:color="auto" w:frame="1"/>
        </w:rPr>
      </w:pPr>
      <w:r w:rsidRPr="00DD0A97">
        <w:rPr>
          <w:rFonts w:ascii="Arial" w:eastAsia="Calibri" w:hAnsi="Arial" w:cs="Arial"/>
          <w:sz w:val="16"/>
          <w:szCs w:val="16"/>
          <w:bdr w:val="none" w:sz="0" w:space="0" w:color="auto" w:frame="1"/>
        </w:rPr>
        <w:t>Prepared on Australian Accounting Standards basis.</w:t>
      </w:r>
    </w:p>
    <w:p w:rsidR="005E7F55" w:rsidRDefault="00BA7A7F" w:rsidP="007F0E19">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Pr="00DD0A97">
        <w:rPr>
          <w:rFonts w:ascii="Arial" w:eastAsia="Calibri" w:hAnsi="Arial" w:cs="Arial"/>
          <w:sz w:val="16"/>
          <w:szCs w:val="16"/>
          <w:bdr w:val="none" w:sz="0" w:space="0" w:color="auto" w:frame="1"/>
        </w:rPr>
        <w:t>Equity is the residual interest in assets after deduction of liabilities.</w:t>
      </w:r>
      <w:r>
        <w:rPr>
          <w:rFonts w:ascii="Arial" w:eastAsia="Calibri" w:hAnsi="Arial" w:cs="Arial"/>
          <w:sz w:val="16"/>
          <w:szCs w:val="16"/>
          <w:bdr w:val="none" w:sz="0" w:space="0" w:color="auto" w:frame="1"/>
        </w:rPr>
        <w:br w:type="page"/>
      </w:r>
    </w:p>
    <w:p w:rsidR="005E7F55" w:rsidRDefault="00BA7A7F" w:rsidP="00F04214">
      <w:pPr>
        <w:pStyle w:val="TableHeading"/>
        <w:keepLines/>
        <w:spacing w:before="60"/>
        <w:rPr>
          <w:rStyle w:val="BookTitle"/>
          <w:i w:val="0"/>
          <w:iCs/>
        </w:rPr>
      </w:pPr>
      <w:r>
        <w:t>Table 3.3: Departmental statement of changes in equity – summary of movement (Budget year 2022­23)</w:t>
      </w:r>
    </w:p>
    <w:tbl>
      <w:tblPr>
        <w:tblStyle w:val="CDMRange2"/>
        <w:tblW w:w="6735" w:type="dxa"/>
        <w:tblLayout w:type="fixed"/>
        <w:tblLook w:val="0600" w:firstRow="0" w:lastRow="0" w:firstColumn="0" w:lastColumn="0" w:noHBand="1" w:noVBand="1"/>
      </w:tblPr>
      <w:tblGrid>
        <w:gridCol w:w="3240"/>
        <w:gridCol w:w="810"/>
        <w:gridCol w:w="915"/>
        <w:gridCol w:w="960"/>
        <w:gridCol w:w="810"/>
      </w:tblGrid>
      <w:tr w:rsidR="00253274">
        <w:trPr>
          <w:trHeight w:val="900"/>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Asset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equity/</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(17,366)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15,211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63,334</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61,179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4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(17,366)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15,211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63,334</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61,179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comprehensive income</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(13,879)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(13,879)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4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(13,879)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(13,879)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9,594</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9,594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7,692</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7,692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4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owners</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17,286</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17,286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2023</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(31,245)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15,211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80,620</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64,586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(31,245)</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15,211</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80,620</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64,586</w:t>
            </w:r>
          </w:p>
        </w:tc>
      </w:tr>
    </w:tbl>
    <w:p w:rsidR="005D4C90" w:rsidRDefault="00BA7A7F"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BA7A7F"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BA7A7F" w:rsidP="00F04214">
      <w:pPr>
        <w:pStyle w:val="TableHeading"/>
        <w:keepLines/>
        <w:spacing w:before="60"/>
        <w:rPr>
          <w:rStyle w:val="BookTitle"/>
          <w:i w:val="0"/>
          <w:iCs/>
        </w:rPr>
      </w:pPr>
      <w:r>
        <w:t>Table 3.4: Budgeted departmental statement of cash flows (for the period ended 30 June)</w:t>
      </w:r>
    </w:p>
    <w:tbl>
      <w:tblPr>
        <w:tblStyle w:val="CDMRange1"/>
        <w:tblW w:w="7650" w:type="dxa"/>
        <w:tblLayout w:type="fixed"/>
        <w:tblLook w:val="0600" w:firstRow="0" w:lastRow="0" w:firstColumn="0" w:lastColumn="0" w:noHBand="1" w:noVBand="1"/>
      </w:tblPr>
      <w:tblGrid>
        <w:gridCol w:w="3225"/>
        <w:gridCol w:w="885"/>
        <w:gridCol w:w="885"/>
        <w:gridCol w:w="885"/>
        <w:gridCol w:w="885"/>
        <w:gridCol w:w="885"/>
      </w:tblGrid>
      <w:tr w:rsidR="00253274">
        <w:trPr>
          <w:trHeight w:val="900"/>
        </w:trPr>
        <w:tc>
          <w:tcPr>
            <w:tcW w:w="3225"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291,343</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268,784</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384,474</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342,580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283,045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68,138</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66,302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53,160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48,747</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46,221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11,530</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11,281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9,399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7,782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8,604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2,487</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2,495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2,526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2,526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2,525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373,498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348,862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449,559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401,635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340,395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80,399</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79,528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79,535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79,528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79,532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224,726</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200,943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302,833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255,699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192,775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11,530</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11,281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9,399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7,782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8,604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3,561</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3,267</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2,958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2,635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2,297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transferred to the OPA </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30,127</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30,118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30,089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30,089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30,089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350,343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325,137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424,716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375,635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313,199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23,155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23,725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24,843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27,196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11,710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17,286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20,815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15,886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11,710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17,286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20,815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8,755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15,886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Net cash from/(used by)</w:t>
            </w:r>
          </w:p>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investing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(11,710)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(17,286)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(20,815)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(8,755)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(15,886)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11,710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17,286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20,815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8,755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15,886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11,710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17,286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20,815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8,755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15,886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22,991</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23,725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24,843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27,196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22,991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23,725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24,843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27,196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22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(11,281)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(6,439)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(4,028)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(17,245)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(11,310)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r>
    </w:tbl>
    <w:p w:rsidR="00E02CEF" w:rsidRPr="004556DF" w:rsidRDefault="00BA7A7F"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rsidR="00E02CEF" w:rsidRDefault="00BA7A7F" w:rsidP="004556DF">
      <w:pPr>
        <w:pStyle w:val="TableHeading"/>
        <w:keepLines/>
        <w:spacing w:before="60"/>
        <w:rPr>
          <w:rStyle w:val="BookTitle"/>
          <w:i w:val="0"/>
          <w:iCs/>
        </w:rPr>
      </w:pPr>
      <w:r>
        <w:t>Table 3.5: Departmental capital budget statement (for the period ended 30 June)</w:t>
      </w:r>
    </w:p>
    <w:tbl>
      <w:tblPr>
        <w:tblStyle w:val="CDMRange2"/>
        <w:tblW w:w="7650" w:type="dxa"/>
        <w:tblLayout w:type="fixed"/>
        <w:tblLook w:val="0600" w:firstRow="0" w:lastRow="0" w:firstColumn="0" w:lastColumn="0" w:noHBand="1" w:noVBand="1"/>
      </w:tblPr>
      <w:tblGrid>
        <w:gridCol w:w="3375"/>
        <w:gridCol w:w="855"/>
        <w:gridCol w:w="855"/>
        <w:gridCol w:w="855"/>
        <w:gridCol w:w="855"/>
        <w:gridCol w:w="855"/>
      </w:tblGrid>
      <w:tr w:rsidR="00253274">
        <w:trPr>
          <w:trHeight w:val="900"/>
        </w:trPr>
        <w:tc>
          <w:tcPr>
            <w:tcW w:w="3375"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4,583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7,692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7,752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7,836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7,936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7,127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9,594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13,063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919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11,710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17,286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20,815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8,755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15,886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11,710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17,286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20,815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8,755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15,886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11,710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17,286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20,815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8,755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15,886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7,127</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9,594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13,063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919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DCB (b)</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4,583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7,692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7,752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7,836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7,936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11,710</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17,286</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20,815</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8,755</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15,886</w:t>
            </w:r>
          </w:p>
        </w:tc>
      </w:tr>
    </w:tbl>
    <w:p w:rsidR="00E02CEF" w:rsidRDefault="00BA7A7F"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2E5831" w:rsidRDefault="00BA7A7F" w:rsidP="004556DF">
      <w:pPr>
        <w:pStyle w:val="ChartandTableFootnoteAlpha"/>
        <w:keepNext w:val="0"/>
        <w:keepLines w:val="0"/>
        <w:numPr>
          <w:ilvl w:val="0"/>
          <w:numId w:val="125"/>
        </w:numPr>
        <w:spacing w:line="240" w:lineRule="auto"/>
        <w:ind w:left="357" w:hanging="357"/>
        <w:contextualSpacing/>
        <w:rPr>
          <w:rFonts w:cs="Arial"/>
          <w:szCs w:val="16"/>
        </w:rPr>
      </w:pPr>
      <w:r>
        <w:rPr>
          <w:rFonts w:cs="Arial"/>
          <w:szCs w:val="16"/>
        </w:rPr>
        <w:t>Includes both current Bill 2 and prior Act 2/4/6 appropriations.</w:t>
      </w:r>
    </w:p>
    <w:p w:rsidR="002E5831" w:rsidRPr="004556DF" w:rsidRDefault="00BA7A7F" w:rsidP="005D4C90">
      <w:pPr>
        <w:pStyle w:val="ChartandTableFootnoteAlpha"/>
        <w:keepNext w:val="0"/>
        <w:keepLines w:val="0"/>
        <w:numPr>
          <w:ilvl w:val="0"/>
          <w:numId w:val="125"/>
        </w:numPr>
        <w:spacing w:line="240" w:lineRule="auto"/>
        <w:contextualSpacing/>
        <w:rPr>
          <w:rFonts w:cs="Arial"/>
          <w:szCs w:val="16"/>
        </w:rPr>
      </w:pPr>
      <w:r w:rsidRPr="005D4C90">
        <w:rPr>
          <w:rFonts w:cs="Arial"/>
          <w:szCs w:val="16"/>
        </w:rPr>
        <w:t>Includes purchases from current and previous years' Departmental Capital Budgets (DCBs).</w:t>
      </w:r>
      <w:r>
        <w:br w:type="page"/>
      </w:r>
    </w:p>
    <w:p w:rsidR="00E02CEF" w:rsidRDefault="00BA7A7F" w:rsidP="004556DF">
      <w:pPr>
        <w:pStyle w:val="TableHeading"/>
        <w:keepLines/>
        <w:spacing w:before="60"/>
        <w:rPr>
          <w:rStyle w:val="BookTitle"/>
          <w:i w:val="0"/>
          <w:iCs/>
        </w:rPr>
      </w:pPr>
      <w:r>
        <w:t>Table 3.6: Statement of departmental asset movements (Budget year 2022­23)</w:t>
      </w:r>
    </w:p>
    <w:tbl>
      <w:tblPr>
        <w:tblStyle w:val="CDMRange1"/>
        <w:tblW w:w="7710" w:type="dxa"/>
        <w:tblLayout w:type="fixed"/>
        <w:tblLook w:val="0600" w:firstRow="0" w:lastRow="0" w:firstColumn="0" w:lastColumn="0" w:noHBand="1" w:noVBand="1"/>
      </w:tblPr>
      <w:tblGrid>
        <w:gridCol w:w="2550"/>
        <w:gridCol w:w="750"/>
        <w:gridCol w:w="900"/>
        <w:gridCol w:w="900"/>
        <w:gridCol w:w="900"/>
        <w:gridCol w:w="900"/>
        <w:gridCol w:w="810"/>
      </w:tblGrid>
      <w:tr w:rsidR="00253274">
        <w:trPr>
          <w:trHeight w:val="1125"/>
        </w:trPr>
        <w:tc>
          <w:tcPr>
            <w:tcW w:w="25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75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Land</w:t>
            </w: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Heritage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and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cultural</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7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23,558</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53,856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3,196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7,919</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89,694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7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824</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351,385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352,381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7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(4,511)</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(10,105)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(7,185)</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(21,801)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5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depreciation/amortisation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(82,526)</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(111)</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(82,779)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1,847</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287,906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43,812</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3,196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734</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337,495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5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(a)</w:t>
            </w:r>
          </w:p>
        </w:tc>
        <w:tc>
          <w:tcPr>
            <w:tcW w:w="7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16,586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17,286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16,586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200</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17,286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w:t>
            </w:r>
          </w:p>
        </w:tc>
        <w:tc>
          <w:tcPr>
            <w:tcW w:w="7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(2,209)</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(7,666)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(357)</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(10,232)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 on ROU assets</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(56)</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(27,301)</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(27,372)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(29,510)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(7,681)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(357)</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(37,604)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7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24,058</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70,442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3,196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8,119</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106,980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7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824</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351,385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352,381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75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(6,720)</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(17,771)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(7,542)</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(32,033)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5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(198)</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(109,827)</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(110,151)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75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1,791</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258,896</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52,717</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3,196</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577</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317,177</w:t>
            </w:r>
          </w:p>
        </w:tc>
      </w:tr>
    </w:tbl>
    <w:p w:rsidR="00E02CEF" w:rsidRDefault="00BA7A7F"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915587" w:rsidRPr="005D4C90" w:rsidRDefault="00BA7A7F" w:rsidP="005D4C90">
      <w:pPr>
        <w:pStyle w:val="ListParagraph"/>
        <w:keepLines/>
        <w:numPr>
          <w:ilvl w:val="0"/>
          <w:numId w:val="126"/>
        </w:numPr>
        <w:spacing w:after="0" w:line="240" w:lineRule="auto"/>
        <w:rPr>
          <w:rFonts w:eastAsia="Calibri" w:cs="Arial"/>
          <w:sz w:val="16"/>
          <w:szCs w:val="16"/>
          <w:bdr w:val="none" w:sz="0" w:space="0" w:color="auto" w:frame="1"/>
          <w:lang w:val="en-AU"/>
        </w:rPr>
      </w:pPr>
      <w:r w:rsidRPr="002E5831">
        <w:rPr>
          <w:rFonts w:ascii="Arial" w:eastAsia="Calibri" w:hAnsi="Arial" w:cs="Arial"/>
          <w:sz w:val="16"/>
          <w:szCs w:val="16"/>
          <w:bdr w:val="none" w:sz="0" w:space="0" w:color="auto" w:frame="1"/>
          <w:lang w:val="en-AU"/>
        </w:rPr>
        <w:t>‘Appropriation equity’ refers to equity injections appropriations provided through Appropriation Bill (No.</w:t>
      </w:r>
      <w:r>
        <w:rPr>
          <w:rFonts w:ascii="Arial" w:eastAsia="Calibri" w:hAnsi="Arial" w:cs="Arial"/>
          <w:sz w:val="16"/>
          <w:szCs w:val="16"/>
          <w:bdr w:val="none" w:sz="0" w:space="0" w:color="auto" w:frame="1"/>
          <w:lang w:val="en-AU"/>
        </w:rPr>
        <w:t> </w:t>
      </w:r>
      <w:r w:rsidRPr="002E5831">
        <w:rPr>
          <w:rFonts w:ascii="Arial" w:eastAsia="Calibri" w:hAnsi="Arial" w:cs="Arial"/>
          <w:sz w:val="16"/>
          <w:szCs w:val="16"/>
          <w:bdr w:val="none" w:sz="0" w:space="0" w:color="auto" w:frame="1"/>
          <w:lang w:val="en-AU"/>
        </w:rPr>
        <w:t xml:space="preserve">2) </w:t>
      </w:r>
      <w:r>
        <w:rPr>
          <w:rFonts w:ascii="Arial" w:eastAsia="Calibri" w:hAnsi="Arial" w:cs="Arial"/>
          <w:sz w:val="16"/>
          <w:szCs w:val="16"/>
          <w:bdr w:val="none" w:sz="0" w:space="0" w:color="auto" w:frame="1"/>
          <w:lang w:val="en-AU"/>
        </w:rPr>
        <w:t xml:space="preserve">2022­23 including </w:t>
      </w:r>
      <w:r w:rsidRPr="005D4C90">
        <w:rPr>
          <w:rFonts w:ascii="Arial" w:eastAsia="Calibri" w:hAnsi="Arial" w:cs="Arial"/>
          <w:sz w:val="16"/>
          <w:szCs w:val="16"/>
          <w:bdr w:val="none" w:sz="0" w:space="0" w:color="auto" w:frame="1"/>
          <w:lang w:val="en-AU"/>
        </w:rPr>
        <w:t>Collection Development Acquisition Budget.</w:t>
      </w:r>
      <w:r w:rsidRPr="005D4C90">
        <w:rPr>
          <w:rFonts w:ascii="Arial" w:eastAsia="Calibri" w:hAnsi="Arial" w:cs="Arial"/>
          <w:sz w:val="16"/>
          <w:szCs w:val="16"/>
          <w:bdr w:val="none" w:sz="0" w:space="0" w:color="auto" w:frame="1"/>
          <w:lang w:val="en-AU"/>
        </w:rPr>
        <w:br w:type="page"/>
      </w:r>
    </w:p>
    <w:p w:rsidR="00915587" w:rsidRDefault="00BA7A7F" w:rsidP="004556DF">
      <w:pPr>
        <w:pStyle w:val="TableHeading"/>
        <w:keepLines/>
        <w:spacing w:before="60"/>
        <w:rPr>
          <w:rFonts w:cs="Arial"/>
        </w:rPr>
      </w:pPr>
      <w:r>
        <w:rPr>
          <w:rFonts w:cs="Arial"/>
        </w:rPr>
        <w:t>Table 3.7: Schedule of budgeted income and expenses administered on behalf of Government</w:t>
      </w:r>
      <w:r w:rsidR="00C22961">
        <w:rPr>
          <w:rFonts w:cs="Arial"/>
        </w:rPr>
        <w:t xml:space="preserve"> </w:t>
      </w:r>
      <w:r w:rsidR="00C22961">
        <w:t>(for the period ended 30 June)</w:t>
      </w:r>
    </w:p>
    <w:tbl>
      <w:tblPr>
        <w:tblStyle w:val="CDMRange2"/>
        <w:tblW w:w="7650" w:type="dxa"/>
        <w:tblLayout w:type="fixed"/>
        <w:tblLook w:val="0600" w:firstRow="0" w:lastRow="0" w:firstColumn="0" w:lastColumn="0" w:noHBand="1" w:noVBand="1"/>
      </w:tblPr>
      <w:tblGrid>
        <w:gridCol w:w="3450"/>
        <w:gridCol w:w="840"/>
        <w:gridCol w:w="840"/>
        <w:gridCol w:w="840"/>
        <w:gridCol w:w="840"/>
        <w:gridCol w:w="840"/>
      </w:tblGrid>
      <w:tr w:rsidR="00253274">
        <w:trPr>
          <w:trHeight w:val="900"/>
        </w:trPr>
        <w:tc>
          <w:tcPr>
            <w:tcW w:w="3450"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administered on</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4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before income tax</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after income tax</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bl>
    <w:p w:rsidR="00915587" w:rsidRDefault="00BA7A7F"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915587" w:rsidRDefault="00915587" w:rsidP="00D14F53">
      <w:pPr>
        <w:keepLines w:val="0"/>
        <w:spacing w:after="0" w:line="276" w:lineRule="auto"/>
        <w:jc w:val="left"/>
        <w:rPr>
          <w:rFonts w:eastAsia="Calibri" w:cs="Arial"/>
          <w:sz w:val="16"/>
          <w:szCs w:val="16"/>
          <w:bdr w:val="none" w:sz="0" w:space="0" w:color="auto" w:frame="1"/>
        </w:rPr>
      </w:pPr>
    </w:p>
    <w:p w:rsidR="00510A5A" w:rsidRDefault="00510A5A" w:rsidP="00D14F53">
      <w:pPr>
        <w:keepLines w:val="0"/>
        <w:spacing w:after="0" w:line="276" w:lineRule="auto"/>
        <w:jc w:val="left"/>
        <w:rPr>
          <w:rFonts w:eastAsia="Calibri" w:cs="Arial"/>
          <w:sz w:val="16"/>
          <w:szCs w:val="16"/>
          <w:bdr w:val="none" w:sz="0" w:space="0" w:color="auto" w:frame="1"/>
        </w:rPr>
      </w:pPr>
    </w:p>
    <w:p w:rsidR="00915587" w:rsidRDefault="00BA7A7F" w:rsidP="004556DF">
      <w:pPr>
        <w:pStyle w:val="TableHeading"/>
        <w:keepLines/>
        <w:spacing w:before="60"/>
      </w:pPr>
      <w:r>
        <w:rPr>
          <w:rFonts w:cs="Arial"/>
        </w:rPr>
        <w:t xml:space="preserve">Table 3.8: </w:t>
      </w:r>
      <w:r>
        <w:t xml:space="preserve">Schedule of budgeted assets and liabilities administered on behalf of Government </w:t>
      </w:r>
      <w:r>
        <w:rPr>
          <w:bdr w:val="none" w:sz="0" w:space="0" w:color="auto" w:frame="1"/>
        </w:rPr>
        <w:t xml:space="preserve">(as at </w:t>
      </w:r>
      <w:r>
        <w:t>30 June)</w:t>
      </w:r>
    </w:p>
    <w:p w:rsidR="002E5831" w:rsidRDefault="00BA7A7F" w:rsidP="004556DF">
      <w:pPr>
        <w:jc w:val="left"/>
      </w:pPr>
      <w:r>
        <w:t>Geoscience Australia has no budgeted assets and liabilities administered on behalf of government; therefore Table 3.8 is not presented.</w:t>
      </w:r>
    </w:p>
    <w:p w:rsidR="00956F5A" w:rsidRDefault="00956F5A" w:rsidP="004556DF">
      <w:pPr>
        <w:jc w:val="left"/>
      </w:pPr>
    </w:p>
    <w:p w:rsidR="0079358A" w:rsidRDefault="00BA7A7F">
      <w:pPr>
        <w:keepLines w:val="0"/>
        <w:spacing w:after="200" w:line="276" w:lineRule="auto"/>
        <w:jc w:val="left"/>
        <w:rPr>
          <w:rFonts w:ascii="Arial" w:hAnsi="Arial"/>
          <w:b/>
        </w:rPr>
      </w:pPr>
      <w:r>
        <w:br w:type="page"/>
      </w:r>
    </w:p>
    <w:p w:rsidR="00892695" w:rsidRDefault="00BA7A7F" w:rsidP="00892695">
      <w:pPr>
        <w:pStyle w:val="TableHeading"/>
        <w:keepLines/>
        <w:spacing w:before="60"/>
      </w:pPr>
      <w:r>
        <w:t>Table 3.9: Schedule of budgeted administered cash flows (for the period ended 30 June)</w:t>
      </w:r>
    </w:p>
    <w:tbl>
      <w:tblPr>
        <w:tblStyle w:val="CDMRange1"/>
        <w:tblW w:w="7725" w:type="dxa"/>
        <w:tblLayout w:type="fixed"/>
        <w:tblLook w:val="0600" w:firstRow="0" w:lastRow="0" w:firstColumn="0" w:lastColumn="0" w:noHBand="1" w:noVBand="1"/>
      </w:tblPr>
      <w:tblGrid>
        <w:gridCol w:w="3750"/>
        <w:gridCol w:w="855"/>
        <w:gridCol w:w="780"/>
        <w:gridCol w:w="780"/>
        <w:gridCol w:w="780"/>
        <w:gridCol w:w="780"/>
      </w:tblGrid>
      <w:tr w:rsidR="00253274">
        <w:trPr>
          <w:trHeight w:val="900"/>
        </w:trPr>
        <w:tc>
          <w:tcPr>
            <w:tcW w:w="3750"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8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8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8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8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8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Grant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7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7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7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7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7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7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7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7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78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7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7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7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7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increase/(decrease) in cash</w:t>
            </w:r>
          </w:p>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held</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78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7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7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7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5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end of reporting period</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8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7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892695" w:rsidRDefault="00BA7A7F" w:rsidP="00892695">
      <w:pPr>
        <w:spacing w:before="40"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892695" w:rsidRDefault="00BA7A7F" w:rsidP="00892695">
      <w:pPr>
        <w:pStyle w:val="TableHeading"/>
        <w:keepLines/>
        <w:spacing w:before="240"/>
        <w:rPr>
          <w:rFonts w:cs="Arial"/>
        </w:rPr>
      </w:pPr>
      <w:r>
        <w:rPr>
          <w:rFonts w:cs="Arial"/>
        </w:rPr>
        <w:t xml:space="preserve">Table 3.10: Administered capital budget statement (for the period ended </w:t>
      </w:r>
      <w:r>
        <w:t>30 June)</w:t>
      </w:r>
    </w:p>
    <w:p w:rsidR="00892695" w:rsidRDefault="00BA7A7F" w:rsidP="00892695">
      <w:pPr>
        <w:jc w:val="left"/>
      </w:pPr>
      <w:r>
        <w:t>Geoscience Australia has no administered capital budget; therefore Table 3.10 is not presented.</w:t>
      </w:r>
    </w:p>
    <w:p w:rsidR="00892695" w:rsidRDefault="00BA7A7F" w:rsidP="00892695">
      <w:pPr>
        <w:pStyle w:val="TableHeading"/>
        <w:keepLines/>
        <w:spacing w:before="240" w:after="0"/>
      </w:pPr>
      <w:r>
        <w:rPr>
          <w:rFonts w:cs="Arial"/>
        </w:rPr>
        <w:t>Table 3.11: Statement of administered asset movements (Budget year 2022­23)</w:t>
      </w:r>
      <w:r>
        <w:rPr>
          <w:noProof/>
        </w:rPr>
        <w:t xml:space="preserve"> </w:t>
      </w:r>
    </w:p>
    <w:p w:rsidR="00915587" w:rsidRPr="00892695" w:rsidRDefault="00BA7A7F" w:rsidP="00892695">
      <w:pPr>
        <w:pStyle w:val="ChartandTableFootnoteAlpha"/>
        <w:tabs>
          <w:tab w:val="left" w:pos="720"/>
        </w:tabs>
        <w:ind w:left="0" w:firstLine="0"/>
        <w:jc w:val="left"/>
        <w:rPr>
          <w:rFonts w:ascii="Book Antiqua" w:hAnsi="Book Antiqua"/>
          <w:sz w:val="20"/>
        </w:rPr>
        <w:sectPr w:rsidR="00915587" w:rsidRPr="00892695" w:rsidSect="00F07738">
          <w:headerReference w:type="even" r:id="rId320"/>
          <w:headerReference w:type="default" r:id="rId321"/>
          <w:footerReference w:type="even" r:id="rId322"/>
          <w:footerReference w:type="default" r:id="rId323"/>
          <w:headerReference w:type="first" r:id="rId324"/>
          <w:footerReference w:type="first" r:id="rId325"/>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Book Antiqua" w:hAnsi="Book Antiqua"/>
          <w:sz w:val="20"/>
        </w:rPr>
        <w:t>Geoscience Australia has no administered asset movements; therefore Table 3.11 is not presented.</w:t>
      </w:r>
    </w:p>
    <w:p w:rsidR="00D86095" w:rsidRDefault="00D86095">
      <w:pPr>
        <w:pageBreakBefore/>
      </w:pPr>
      <w:bookmarkStart w:id="1407" w:name="RG_MARKER_12039"/>
      <w:bookmarkStart w:id="1408" w:name="RG_MARKER_12041"/>
      <w:bookmarkStart w:id="1409" w:name="RG_MARKER_11900"/>
      <w:bookmarkStart w:id="1410" w:name="RG_MARKER_11898"/>
      <w:bookmarkEnd w:id="1407"/>
      <w:bookmarkEnd w:id="1408"/>
      <w:bookmarkEnd w:id="1409"/>
      <w:bookmarkEnd w:id="1410"/>
    </w:p>
    <w:p w:rsidR="00FA15D4" w:rsidRDefault="00BA7A7F" w:rsidP="00FE00F7">
      <w:pPr>
        <w:pStyle w:val="Department"/>
        <w:pageBreakBefore/>
        <w:jc w:val="left"/>
        <w:rPr>
          <w:smallCaps/>
          <w:color w:val="FFFFFF"/>
          <w:sz w:val="24"/>
          <w:szCs w:val="24"/>
        </w:rPr>
      </w:pPr>
      <w:bookmarkStart w:id="1411" w:name="RG_MARKER_12133"/>
      <w:r w:rsidRPr="00FE00F7">
        <w:rPr>
          <w:smallCaps/>
          <w:color w:val="FFFFFF"/>
          <w:sz w:val="24"/>
          <w:szCs w:val="24"/>
        </w:rPr>
        <w:t>Department o</w:t>
      </w:r>
      <w:bookmarkEnd w:id="1411"/>
    </w:p>
    <w:p w:rsidR="00FA15D4" w:rsidRDefault="00FA15D4" w:rsidP="002E6B3D">
      <w:pPr>
        <w:pStyle w:val="Department"/>
        <w:spacing w:before="1320"/>
        <w:rPr>
          <w:smallCaps/>
        </w:rPr>
      </w:pPr>
    </w:p>
    <w:p w:rsidR="00FA15D4" w:rsidRDefault="00FA15D4" w:rsidP="00FA15D4">
      <w:pPr>
        <w:pStyle w:val="PartHeading"/>
        <w:keepLines/>
        <w:spacing w:before="240" w:after="240"/>
        <w:rPr>
          <w:kern w:val="0"/>
          <w:szCs w:val="20"/>
        </w:rPr>
      </w:pPr>
    </w:p>
    <w:p w:rsidR="00FA15D4" w:rsidRPr="00C15E5A" w:rsidRDefault="00BA7A7F" w:rsidP="00FA15D4">
      <w:pPr>
        <w:pStyle w:val="PartHeading"/>
        <w:keepLines/>
        <w:spacing w:before="240" w:after="240"/>
        <w:rPr>
          <w:bCs w:val="0"/>
          <w:kern w:val="0"/>
          <w:szCs w:val="20"/>
        </w:rPr>
      </w:pPr>
      <w:r w:rsidRPr="00C15E5A">
        <w:rPr>
          <w:rFonts w:ascii="Arial" w:hAnsi="Arial"/>
          <w:bCs w:val="0"/>
          <w:kern w:val="0"/>
          <w:szCs w:val="20"/>
        </w:rPr>
        <w:t>IP Australia</w:t>
      </w:r>
    </w:p>
    <w:p w:rsidR="00FA15D4" w:rsidRPr="00C15E5A" w:rsidRDefault="00FA15D4" w:rsidP="00FA15D4">
      <w:pPr>
        <w:pStyle w:val="PartHeading"/>
        <w:keepLines/>
        <w:spacing w:before="240" w:after="240"/>
        <w:rPr>
          <w:bCs w:val="0"/>
          <w:kern w:val="0"/>
          <w:sz w:val="48"/>
          <w:szCs w:val="48"/>
        </w:rPr>
      </w:pPr>
    </w:p>
    <w:p w:rsidR="00FA15D4" w:rsidRPr="00C15E5A" w:rsidRDefault="00FA15D4" w:rsidP="00FA15D4">
      <w:pPr>
        <w:pStyle w:val="PartHeading"/>
        <w:keepLines/>
        <w:spacing w:before="240" w:after="240"/>
        <w:rPr>
          <w:kern w:val="0"/>
          <w:sz w:val="48"/>
          <w:szCs w:val="48"/>
        </w:rPr>
      </w:pPr>
    </w:p>
    <w:p w:rsidR="00FA15D4" w:rsidRPr="00C15E5A" w:rsidRDefault="00BA7A7F" w:rsidP="00FA15D4">
      <w:pPr>
        <w:pStyle w:val="PartHeading-TOC"/>
        <w:rPr>
          <w:smallCaps w:val="0"/>
        </w:rPr>
      </w:pPr>
      <w:bookmarkStart w:id="1412" w:name="_Toc508032982_8"/>
      <w:r w:rsidRPr="00C15E5A">
        <w:rPr>
          <w:bCs w:val="0"/>
          <w:smallCaps w:val="0"/>
        </w:rPr>
        <w:t>Entity resources and planned performance</w:t>
      </w:r>
      <w:bookmarkEnd w:id="1412"/>
    </w:p>
    <w:p w:rsidR="00253274" w:rsidRDefault="00253274">
      <w:pPr>
        <w:keepLines w:val="0"/>
        <w:spacing w:after="160" w:line="259" w:lineRule="auto"/>
        <w:jc w:val="left"/>
        <w:rPr>
          <w:rFonts w:ascii="Calibri" w:eastAsia="Calibri" w:hAnsi="Calibri"/>
          <w:sz w:val="22"/>
          <w:szCs w:val="22"/>
          <w:lang w:val="en-US" w:eastAsia="en-US"/>
        </w:rPr>
      </w:pPr>
    </w:p>
    <w:p w:rsidR="007E6680" w:rsidRDefault="007E6680">
      <w:pPr>
        <w:keepLines w:val="0"/>
        <w:spacing w:after="160" w:line="259" w:lineRule="auto"/>
        <w:jc w:val="left"/>
        <w:rPr>
          <w:rFonts w:ascii="Calibri" w:eastAsia="Calibri" w:hAnsi="Calibri"/>
          <w:sz w:val="22"/>
          <w:szCs w:val="22"/>
          <w:lang w:val="en-US" w:eastAsia="en-US"/>
        </w:rPr>
      </w:pPr>
      <w:bookmarkStart w:id="1413" w:name="RG_MARKER_12362"/>
      <w:bookmarkEnd w:id="1413"/>
    </w:p>
    <w:p w:rsidR="00D86095" w:rsidRDefault="00BA7A7F">
      <w:pPr>
        <w:pageBreakBefore/>
      </w:pPr>
      <w:bookmarkStart w:id="1414" w:name="RG_MARKER_12032"/>
      <w:r>
        <w:t xml:space="preserve">      </w:t>
      </w:r>
      <w:bookmarkEnd w:id="1414"/>
    </w:p>
    <w:p w:rsidR="004D0F5B" w:rsidRPr="00A83479" w:rsidRDefault="00BA7A7F" w:rsidP="009420CE">
      <w:pPr>
        <w:pStyle w:val="ContentsHeading"/>
        <w:pageBreakBefore/>
        <w:spacing w:after="600"/>
        <w:rPr>
          <w:smallCaps w:val="0"/>
        </w:rPr>
      </w:pPr>
      <w:bookmarkStart w:id="1415" w:name="RG_MARKER_11903"/>
      <w:bookmarkStart w:id="1416" w:name="RG_MARKER_12152"/>
      <w:r w:rsidRPr="00A83479">
        <w:rPr>
          <w:smallCaps w:val="0"/>
        </w:rPr>
        <w:t>IP Australia</w:t>
      </w:r>
      <w:bookmarkEnd w:id="1415"/>
      <w:bookmarkEnd w:id="1416"/>
    </w:p>
    <w:p w:rsidR="004D0F5B" w:rsidRPr="00846FBC" w:rsidRDefault="00BA7A7F" w:rsidP="00846FBC">
      <w:pPr>
        <w:pStyle w:val="TOC1"/>
      </w:pPr>
      <w:r w:rsidRPr="00846FBC">
        <w:t>Section 1: Entity overview and resources</w:t>
      </w:r>
      <w:r w:rsidRPr="00846FBC">
        <w:tab/>
        <w:t>295</w:t>
      </w:r>
    </w:p>
    <w:p w:rsidR="004D0F5B" w:rsidRDefault="00BA7A7F" w:rsidP="004D0F5B">
      <w:pPr>
        <w:pStyle w:val="TOC2"/>
      </w:pPr>
      <w:r>
        <w:t>1.1 Strategic direction statement</w:t>
      </w:r>
      <w:r>
        <w:tab/>
      </w:r>
      <w:r w:rsidRPr="00B75654">
        <w:t>295</w:t>
      </w:r>
    </w:p>
    <w:p w:rsidR="004D0F5B" w:rsidRDefault="00BA7A7F" w:rsidP="004D0F5B">
      <w:pPr>
        <w:pStyle w:val="TOC2"/>
      </w:pPr>
      <w:r>
        <w:t>1.2 Entity resource statement</w:t>
      </w:r>
      <w:r>
        <w:tab/>
      </w:r>
      <w:r w:rsidRPr="00B75654">
        <w:t>297</w:t>
      </w:r>
    </w:p>
    <w:p w:rsidR="00371743" w:rsidRDefault="00BA7A7F" w:rsidP="00371743">
      <w:pPr>
        <w:pStyle w:val="TOC2"/>
      </w:pPr>
      <w:r>
        <w:t>1.3 Budget measures</w:t>
      </w:r>
      <w:r>
        <w:tab/>
      </w:r>
      <w:r w:rsidRPr="00371743">
        <w:t>298</w:t>
      </w:r>
    </w:p>
    <w:p w:rsidR="004D0F5B" w:rsidRDefault="00BA7A7F" w:rsidP="00846FBC">
      <w:pPr>
        <w:pStyle w:val="TOC1"/>
      </w:pPr>
      <w:r>
        <w:t>S</w:t>
      </w:r>
      <w:r w:rsidRPr="002645FE">
        <w:t xml:space="preserve">ection 2: </w:t>
      </w:r>
      <w:r>
        <w:t>O</w:t>
      </w:r>
      <w:r w:rsidRPr="002645FE">
        <w:t xml:space="preserve">utcomes and </w:t>
      </w:r>
      <w:r>
        <w:t>p</w:t>
      </w:r>
      <w:r w:rsidRPr="002645FE">
        <w:t xml:space="preserve">lanned </w:t>
      </w:r>
      <w:r>
        <w:t>p</w:t>
      </w:r>
      <w:r w:rsidRPr="002645FE">
        <w:t>erformance</w:t>
      </w:r>
      <w:r>
        <w:tab/>
        <w:t>299</w:t>
      </w:r>
    </w:p>
    <w:p w:rsidR="004D0F5B" w:rsidRDefault="00BA7A7F" w:rsidP="004D0F5B">
      <w:pPr>
        <w:pStyle w:val="TOC2"/>
      </w:pPr>
      <w:r>
        <w:t>2.1 Budgeted expenses and performance for Outcome 1</w:t>
      </w:r>
      <w:r>
        <w:tab/>
        <w:t>300</w:t>
      </w:r>
    </w:p>
    <w:p w:rsidR="004D0F5B" w:rsidRDefault="00BA7A7F" w:rsidP="00846FBC">
      <w:pPr>
        <w:pStyle w:val="TOC1"/>
      </w:pPr>
      <w:r>
        <w:t>S</w:t>
      </w:r>
      <w:r w:rsidRPr="002645FE">
        <w:t xml:space="preserve">ection 3: </w:t>
      </w:r>
      <w:r>
        <w:t>B</w:t>
      </w:r>
      <w:r w:rsidRPr="002645FE">
        <w:t xml:space="preserve">udgeted </w:t>
      </w:r>
      <w:r>
        <w:t>f</w:t>
      </w:r>
      <w:r w:rsidRPr="002645FE">
        <w:t xml:space="preserve">inancial </w:t>
      </w:r>
      <w:r>
        <w:t>s</w:t>
      </w:r>
      <w:r w:rsidRPr="002645FE">
        <w:t>tatements</w:t>
      </w:r>
      <w:r>
        <w:tab/>
      </w:r>
      <w:r w:rsidRPr="004F6A3E">
        <w:t>305</w:t>
      </w:r>
    </w:p>
    <w:p w:rsidR="00D86095" w:rsidRDefault="00BA7A7F" w:rsidP="005F2963">
      <w:pPr>
        <w:pStyle w:val="TOC2"/>
      </w:pPr>
      <w:r>
        <w:t>3.1 Budgeted financial statements</w:t>
      </w:r>
      <w:r>
        <w:tab/>
      </w:r>
      <w:r w:rsidRPr="004F6A3E">
        <w:t>305</w:t>
      </w:r>
    </w:p>
    <w:p w:rsidR="00D86095" w:rsidRDefault="00BA7A7F">
      <w:pPr>
        <w:pageBreakBefore/>
        <w:sectPr w:rsidR="00D86095" w:rsidSect="00D86095">
          <w:headerReference w:type="even" r:id="rId326"/>
          <w:headerReference w:type="default" r:id="rId327"/>
          <w:footerReference w:type="even" r:id="rId328"/>
          <w:footerReference w:type="default" r:id="rId329"/>
          <w:headerReference w:type="first" r:id="rId330"/>
          <w:footerReference w:type="first" r:id="rId331"/>
          <w:type w:val="continuous"/>
          <w:pgSz w:w="11906" w:h="16838"/>
          <w:pgMar w:top="2466" w:right="2098" w:bottom="2466" w:left="2098" w:header="1899" w:footer="1899" w:gutter="0"/>
          <w:pgBorders>
            <w:top w:val="nil"/>
            <w:left w:val="nil"/>
            <w:bottom w:val="nil"/>
            <w:right w:val="nil"/>
          </w:pgBorders>
          <w:cols w:space="720"/>
          <w:docGrid w:linePitch="360"/>
        </w:sectPr>
      </w:pPr>
      <w:bookmarkStart w:id="1417" w:name="RG_MARKER_11905"/>
      <w:bookmarkStart w:id="1418" w:name="RG_MARKER_12013"/>
      <w:r>
        <w:t xml:space="preserve">     </w:t>
      </w:r>
      <w:bookmarkEnd w:id="1417"/>
      <w:bookmarkEnd w:id="1418"/>
    </w:p>
    <w:p w:rsidR="00A85152" w:rsidRPr="008A4809" w:rsidRDefault="00BA7A7F" w:rsidP="00A85152">
      <w:pPr>
        <w:pStyle w:val="Heading1"/>
        <w:pageBreakBefore/>
        <w:rPr>
          <w:smallCaps w:val="0"/>
        </w:rPr>
      </w:pPr>
      <w:bookmarkStart w:id="1419" w:name="RG_MARKER_11908"/>
      <w:bookmarkStart w:id="1420" w:name="RG_MARKER_12053"/>
      <w:bookmarkStart w:id="1421" w:name="RG_MARKER_12092"/>
      <w:r w:rsidRPr="008A4809">
        <w:rPr>
          <w:smallCaps w:val="0"/>
        </w:rPr>
        <w:t>IP Australia</w:t>
      </w:r>
      <w:bookmarkEnd w:id="1419"/>
      <w:bookmarkEnd w:id="1420"/>
      <w:bookmarkEnd w:id="1421"/>
    </w:p>
    <w:p w:rsidR="00A85152" w:rsidRPr="008A4809" w:rsidRDefault="00BA7A7F" w:rsidP="00A85152">
      <w:pPr>
        <w:pStyle w:val="Heading2"/>
        <w:rPr>
          <w:b/>
          <w:sz w:val="26"/>
          <w:szCs w:val="26"/>
        </w:rPr>
      </w:pPr>
      <w:r w:rsidRPr="008A4809">
        <w:rPr>
          <w:b/>
          <w:sz w:val="26"/>
          <w:szCs w:val="26"/>
        </w:rPr>
        <w:t>Section 1</w:t>
      </w:r>
      <w:bookmarkStart w:id="1422" w:name="_Toc449255758_8"/>
      <w:bookmarkStart w:id="1423" w:name="_Toc446237031_8"/>
      <w:r w:rsidRPr="008A4809">
        <w:rPr>
          <w:b/>
          <w:sz w:val="26"/>
          <w:szCs w:val="26"/>
        </w:rPr>
        <w:t>: Entity overview and resources</w:t>
      </w:r>
      <w:bookmarkEnd w:id="1422"/>
      <w:bookmarkEnd w:id="1423"/>
    </w:p>
    <w:p w:rsidR="00A85152" w:rsidRDefault="00BA7A7F" w:rsidP="00F55923">
      <w:pPr>
        <w:pStyle w:val="Heading3"/>
        <w:numPr>
          <w:ilvl w:val="1"/>
          <w:numId w:val="127"/>
        </w:numPr>
        <w:spacing w:before="0" w:line="260" w:lineRule="exact"/>
        <w:rPr>
          <w:smallCaps w:val="0"/>
          <w:sz w:val="22"/>
          <w:szCs w:val="22"/>
        </w:rPr>
      </w:pPr>
      <w:bookmarkStart w:id="1424" w:name="_Toc210698428_7"/>
      <w:bookmarkStart w:id="1425" w:name="_Toc210646449_7"/>
      <w:bookmarkStart w:id="1426" w:name="_Toc210703209_7"/>
      <w:r w:rsidRPr="008A4809">
        <w:rPr>
          <w:smallCaps w:val="0"/>
          <w:sz w:val="22"/>
          <w:szCs w:val="22"/>
        </w:rPr>
        <w:t>Strategic direction</w:t>
      </w:r>
      <w:bookmarkEnd w:id="1424"/>
      <w:bookmarkEnd w:id="1425"/>
      <w:bookmarkEnd w:id="1426"/>
      <w:r w:rsidRPr="008A4809">
        <w:rPr>
          <w:smallCaps w:val="0"/>
          <w:sz w:val="22"/>
          <w:szCs w:val="22"/>
        </w:rPr>
        <w:t xml:space="preserve"> statement</w:t>
      </w:r>
    </w:p>
    <w:p w:rsidR="00C7731B" w:rsidRDefault="00BA7A7F" w:rsidP="00C7731B">
      <w:r>
        <w:t>IP Australia is responsible for administering Australia’s registrable intellectual property (IP) rights system, specifically patents, trade marks, designs and plant breeder’s rights. IP Australia is a listed non-corporate Commonwealth entity and recovers more than 98 per cent of its costs by charging fees for its IP rights services in accordance with the Australian Government Charging Framework.</w:t>
      </w:r>
    </w:p>
    <w:p w:rsidR="00406684" w:rsidRPr="00406684" w:rsidRDefault="00BA7A7F" w:rsidP="00406684">
      <w:r w:rsidRPr="00406684">
        <w:t>Granting exclusive IP rights fosters increased innovation, investment and trade in Australia, and by Australians overseas, by:</w:t>
      </w:r>
    </w:p>
    <w:p w:rsidR="00406684" w:rsidRPr="00406684" w:rsidRDefault="00BA7A7F" w:rsidP="0044767A">
      <w:pPr>
        <w:numPr>
          <w:ilvl w:val="0"/>
          <w:numId w:val="128"/>
        </w:numPr>
        <w:spacing w:after="0"/>
        <w:ind w:left="284" w:hanging="284"/>
        <w:rPr>
          <w:lang w:val="en-US"/>
        </w:rPr>
      </w:pPr>
      <w:r>
        <w:t>P</w:t>
      </w:r>
      <w:r w:rsidRPr="00406684">
        <w:t>roviding an effective legal framework for protection of innovative products and brands which creates a secure environment for inves</w:t>
      </w:r>
      <w:r>
        <w:t>tment.</w:t>
      </w:r>
    </w:p>
    <w:p w:rsidR="00406684" w:rsidRPr="00406684" w:rsidRDefault="00BA7A7F" w:rsidP="0044767A">
      <w:pPr>
        <w:numPr>
          <w:ilvl w:val="0"/>
          <w:numId w:val="128"/>
        </w:numPr>
        <w:spacing w:after="0"/>
        <w:ind w:left="284" w:hanging="284"/>
        <w:rPr>
          <w:lang w:val="en-US"/>
        </w:rPr>
      </w:pPr>
      <w:r>
        <w:t>P</w:t>
      </w:r>
      <w:r w:rsidRPr="00406684">
        <w:t>roviding incentives for undertaking research and development</w:t>
      </w:r>
      <w:r>
        <w:t>.</w:t>
      </w:r>
    </w:p>
    <w:p w:rsidR="00406684" w:rsidRPr="00406684" w:rsidRDefault="00BA7A7F" w:rsidP="0044767A">
      <w:pPr>
        <w:numPr>
          <w:ilvl w:val="0"/>
          <w:numId w:val="128"/>
        </w:numPr>
        <w:spacing w:after="0"/>
        <w:ind w:left="284" w:hanging="284"/>
        <w:rPr>
          <w:lang w:val="en-US"/>
        </w:rPr>
      </w:pPr>
      <w:r>
        <w:t>P</w:t>
      </w:r>
      <w:r w:rsidRPr="00406684">
        <w:t>romoting the disclosure of discoveries and follow-on generation of ideas</w:t>
      </w:r>
      <w:r>
        <w:t>.</w:t>
      </w:r>
    </w:p>
    <w:p w:rsidR="00406684" w:rsidRPr="00406684" w:rsidRDefault="00BA7A7F" w:rsidP="00743288">
      <w:pPr>
        <w:numPr>
          <w:ilvl w:val="0"/>
          <w:numId w:val="128"/>
        </w:numPr>
        <w:ind w:left="284" w:hanging="284"/>
        <w:rPr>
          <w:lang w:val="en-US"/>
        </w:rPr>
      </w:pPr>
      <w:r>
        <w:t>E</w:t>
      </w:r>
      <w:r w:rsidRPr="00406684">
        <w:t>nabling firms to build brand value and business reputation which in turn contributes to improved consumer confidence.</w:t>
      </w:r>
    </w:p>
    <w:p w:rsidR="00406684" w:rsidRPr="00406684" w:rsidRDefault="00BA7A7F" w:rsidP="00406684">
      <w:r w:rsidRPr="00406684">
        <w:t>IP Australia’s Strategic Corporate Plan (the plan) guides the agency’s strategic direction in pursuit of its vision to create a world leading IP system building prosperity for Australia. The plan provides an overview of IP Australia’s purpose to ensure Australians benefit from great ideas</w:t>
      </w:r>
      <w:r>
        <w:t>;</w:t>
      </w:r>
      <w:r w:rsidRPr="00406684">
        <w:t xml:space="preserve"> outlines the strategic objectives the agency wants to achieve</w:t>
      </w:r>
      <w:r>
        <w:t>;</w:t>
      </w:r>
      <w:r w:rsidRPr="00406684">
        <w:t xml:space="preserve"> and details the key activities intended to deliver those objectives. The </w:t>
      </w:r>
      <w:r>
        <w:t>p</w:t>
      </w:r>
      <w:r w:rsidRPr="00406684">
        <w:t xml:space="preserve">lan can be found </w:t>
      </w:r>
      <w:r>
        <w:t xml:space="preserve">at </w:t>
      </w:r>
      <w:r w:rsidRPr="00406684">
        <w:t>www.ipaustralia.gov.au</w:t>
      </w:r>
      <w:r>
        <w:t>.</w:t>
      </w:r>
    </w:p>
    <w:p w:rsidR="00406684" w:rsidRPr="00406684" w:rsidRDefault="00BA7A7F" w:rsidP="00406684">
      <w:r w:rsidRPr="00406684">
        <w:t>IP Australia is committed to delivering and maintaining a world leading intellectual property system and services that are modern, effectiv</w:t>
      </w:r>
      <w:r>
        <w:t xml:space="preserve">e, efficient and accessible. IP </w:t>
      </w:r>
      <w:r w:rsidRPr="00406684">
        <w:t>Australia promotes awareness of IP, regulates the IP attorney profession, provides advi</w:t>
      </w:r>
      <w:r>
        <w:t>ce to g</w:t>
      </w:r>
      <w:r w:rsidRPr="00406684">
        <w:t xml:space="preserve">overnment on policy relating to the IP rights system and contributes to bilateral and multilateral negotiations and the development of cooperation programs to support the global IP system. </w:t>
      </w:r>
    </w:p>
    <w:p w:rsidR="00406684" w:rsidRPr="00406684" w:rsidRDefault="00BA7A7F" w:rsidP="00406684">
      <w:r w:rsidRPr="00406684">
        <w:t xml:space="preserve">IP Australia’s key focus areas for the budget and forward estimates include: </w:t>
      </w:r>
    </w:p>
    <w:p w:rsidR="00F87E5A" w:rsidRDefault="00BA7A7F" w:rsidP="00F87E5A">
      <w:pPr>
        <w:numPr>
          <w:ilvl w:val="0"/>
          <w:numId w:val="128"/>
        </w:numPr>
        <w:spacing w:after="0"/>
        <w:ind w:left="284" w:hanging="284"/>
      </w:pPr>
      <w:r>
        <w:t>S</w:t>
      </w:r>
      <w:r w:rsidRPr="00406684">
        <w:t>upporting jobs and growth by contributing to Australia</w:t>
      </w:r>
      <w:r>
        <w:t>’s economic recovery objectives.</w:t>
      </w:r>
    </w:p>
    <w:p w:rsidR="00F87E5A" w:rsidRDefault="00BA7A7F" w:rsidP="00F87E5A">
      <w:pPr>
        <w:numPr>
          <w:ilvl w:val="0"/>
          <w:numId w:val="128"/>
        </w:numPr>
        <w:spacing w:after="0"/>
        <w:ind w:left="284" w:hanging="284"/>
      </w:pPr>
      <w:r>
        <w:t>Delivering and maintaining high-quality and timely patents, trade marks, designs and plant breeder’s rights.</w:t>
      </w:r>
    </w:p>
    <w:p w:rsidR="00406684" w:rsidRDefault="00406684" w:rsidP="00C7731B">
      <w:pPr>
        <w:rPr>
          <w:vanish/>
        </w:rPr>
        <w:sectPr w:rsidR="00406684" w:rsidSect="00E007A4">
          <w:headerReference w:type="even" r:id="rId332"/>
          <w:headerReference w:type="default" r:id="rId333"/>
          <w:footerReference w:type="even" r:id="rId334"/>
          <w:footerReference w:type="default" r:id="rId335"/>
          <w:headerReference w:type="first" r:id="rId336"/>
          <w:footerReference w:type="first" r:id="rId337"/>
          <w:type w:val="continuous"/>
          <w:pgSz w:w="11906" w:h="16838"/>
          <w:pgMar w:top="2466" w:right="2098" w:bottom="2466" w:left="2098" w:header="1899" w:footer="1899" w:gutter="0"/>
          <w:pgBorders>
            <w:top w:val="nil"/>
            <w:left w:val="nil"/>
            <w:bottom w:val="nil"/>
            <w:right w:val="nil"/>
          </w:pgBorders>
          <w:cols w:space="720"/>
          <w:docGrid w:linePitch="360"/>
        </w:sectPr>
      </w:pPr>
    </w:p>
    <w:p w:rsidR="00BD373C" w:rsidRDefault="00BA7A7F" w:rsidP="00112795">
      <w:pPr>
        <w:pageBreakBefore/>
        <w:numPr>
          <w:ilvl w:val="0"/>
          <w:numId w:val="129"/>
        </w:numPr>
        <w:spacing w:after="0"/>
        <w:ind w:left="284" w:hanging="284"/>
      </w:pPr>
      <w:bookmarkStart w:id="1427" w:name="RG_MARKER_12170"/>
      <w:r>
        <w:t>Increasing the digital capabilities and dexterity of our workforce to support continuous improvement in the delivery of world leading and cont</w:t>
      </w:r>
      <w:bookmarkEnd w:id="1427"/>
      <w:r>
        <w:t>emporary digital IP services.</w:t>
      </w:r>
    </w:p>
    <w:p w:rsidR="00AD099E" w:rsidRPr="00AD099E" w:rsidRDefault="00BA7A7F" w:rsidP="00BD373C">
      <w:pPr>
        <w:numPr>
          <w:ilvl w:val="0"/>
          <w:numId w:val="129"/>
        </w:numPr>
        <w:spacing w:after="0"/>
        <w:ind w:left="284" w:hanging="284"/>
      </w:pPr>
      <w:r>
        <w:t>P</w:t>
      </w:r>
      <w:r w:rsidRPr="00AD099E">
        <w:t>roviding targeted education and awareness offerings that demonstrate the benefits of IP rights ownership and facilitate greater understanding of the IP system</w:t>
      </w:r>
      <w:r>
        <w:t>.</w:t>
      </w:r>
      <w:r w:rsidRPr="00AD099E">
        <w:t xml:space="preserve"> </w:t>
      </w:r>
    </w:p>
    <w:p w:rsidR="00AD099E" w:rsidRPr="00AD099E" w:rsidRDefault="00BA7A7F" w:rsidP="00BD373C">
      <w:pPr>
        <w:numPr>
          <w:ilvl w:val="0"/>
          <w:numId w:val="129"/>
        </w:numPr>
        <w:spacing w:after="0"/>
        <w:ind w:left="284" w:hanging="284"/>
      </w:pPr>
      <w:r>
        <w:t>C</w:t>
      </w:r>
      <w:r w:rsidRPr="00AD099E">
        <w:t>ontinuing the policy work on the Australian designs and plant breeder’s rights systems to ensure they are fit for purpose and support the Australia</w:t>
      </w:r>
      <w:r>
        <w:t>n economy now and in the future.</w:t>
      </w:r>
    </w:p>
    <w:p w:rsidR="00AD099E" w:rsidRPr="00AD099E" w:rsidRDefault="00BA7A7F" w:rsidP="00BD373C">
      <w:pPr>
        <w:numPr>
          <w:ilvl w:val="0"/>
          <w:numId w:val="129"/>
        </w:numPr>
        <w:spacing w:after="0"/>
        <w:ind w:left="284" w:hanging="284"/>
      </w:pPr>
      <w:r>
        <w:t>I</w:t>
      </w:r>
      <w:r w:rsidRPr="00AD099E">
        <w:t>mproving Australia’s IP system to promote the cultural integrity and economic potential of Indigenous Knowledge</w:t>
      </w:r>
      <w:r>
        <w:t>.</w:t>
      </w:r>
    </w:p>
    <w:p w:rsidR="00AD099E" w:rsidRPr="00AD099E" w:rsidRDefault="00BA7A7F" w:rsidP="00BD373C">
      <w:pPr>
        <w:numPr>
          <w:ilvl w:val="0"/>
          <w:numId w:val="129"/>
        </w:numPr>
        <w:spacing w:after="0"/>
        <w:ind w:left="284" w:hanging="284"/>
      </w:pPr>
      <w:r>
        <w:t>C</w:t>
      </w:r>
      <w:r w:rsidRPr="00AD099E">
        <w:t>ontinuing to support Australians to export and invest through the agency’s inte</w:t>
      </w:r>
      <w:r>
        <w:t>rnational engagement activities.</w:t>
      </w:r>
    </w:p>
    <w:p w:rsidR="00AD099E" w:rsidRPr="00AD099E" w:rsidRDefault="00BA7A7F" w:rsidP="00BD373C">
      <w:pPr>
        <w:numPr>
          <w:ilvl w:val="0"/>
          <w:numId w:val="129"/>
        </w:numPr>
        <w:spacing w:after="0"/>
        <w:ind w:left="284" w:hanging="284"/>
      </w:pPr>
      <w:r>
        <w:t>E</w:t>
      </w:r>
      <w:r w:rsidRPr="00AD099E">
        <w:t>nhancing data capability to ensure that IP Australia’s information is used to deliver, shape and inform policy making and services across government as well as for</w:t>
      </w:r>
      <w:r>
        <w:t xml:space="preserve"> core business and customers.</w:t>
      </w:r>
    </w:p>
    <w:p w:rsidR="00AD099E" w:rsidRPr="00AD099E" w:rsidRDefault="00BA7A7F" w:rsidP="00AC4716">
      <w:pPr>
        <w:numPr>
          <w:ilvl w:val="0"/>
          <w:numId w:val="129"/>
        </w:numPr>
        <w:ind w:left="284" w:hanging="284"/>
      </w:pPr>
      <w:r>
        <w:t>E</w:t>
      </w:r>
      <w:r w:rsidRPr="00AD099E">
        <w:t>stablishing a sustainable innovation model that explores, tests and develops innovative solutions to benefit IP Australia’s customers.</w:t>
      </w:r>
    </w:p>
    <w:p w:rsidR="004C2526" w:rsidRPr="004C620F" w:rsidRDefault="00BA7A7F" w:rsidP="004C2526">
      <w:pPr>
        <w:pStyle w:val="Heading3"/>
        <w:pageBreakBefore/>
        <w:rPr>
          <w:smallCaps w:val="0"/>
          <w:sz w:val="22"/>
          <w:szCs w:val="22"/>
        </w:rPr>
      </w:pPr>
      <w:bookmarkStart w:id="1428" w:name="RG_MARKER_12050"/>
      <w:bookmarkStart w:id="1429" w:name="RG_MARKER_12238"/>
      <w:r w:rsidRPr="004C620F">
        <w:rPr>
          <w:smallCaps w:val="0"/>
          <w:sz w:val="22"/>
          <w:szCs w:val="22"/>
        </w:rPr>
        <w:t>1.2</w:t>
      </w:r>
      <w:bookmarkEnd w:id="1428"/>
      <w:bookmarkEnd w:id="1429"/>
      <w:r w:rsidRPr="004C620F">
        <w:rPr>
          <w:smallCaps w:val="0"/>
          <w:sz w:val="22"/>
          <w:szCs w:val="22"/>
        </w:rPr>
        <w:tab/>
        <w:t>Entity resource statement</w:t>
      </w:r>
    </w:p>
    <w:p w:rsidR="00B92556" w:rsidRPr="00B92556" w:rsidRDefault="00BA7A7F" w:rsidP="00B92556">
      <w:bookmarkStart w:id="1430" w:name="OLE_LINK12_7"/>
      <w:bookmarkStart w:id="1431" w:name="OLE_LINK11_7"/>
      <w:r w:rsidRPr="00B92556">
        <w:t>Table 1.1 shows the total funding from all sources available to the entity for its operations and to deliver programs and services on behalf of the Government.</w:t>
      </w:r>
    </w:p>
    <w:p w:rsidR="00B92556" w:rsidRPr="00B92556" w:rsidRDefault="00BA7A7F" w:rsidP="00B92556">
      <w:r w:rsidRPr="00B92556">
        <w:t>The table summarises how resources will be applied by outcome (government strategic policy objectives) and by administered (on behalf of the Government or the public) and departmental (for the entity’s operations) classification.</w:t>
      </w:r>
    </w:p>
    <w:p w:rsidR="00E36B85" w:rsidRDefault="00BA7A7F" w:rsidP="00186875">
      <w:r>
        <w:t xml:space="preserve">For more detailed information on special accounts and special appropriations, please refer to </w:t>
      </w:r>
      <w:r w:rsidRPr="00E36B85">
        <w:rPr>
          <w:i/>
        </w:rPr>
        <w:t>Budget Paper No.4 – Agency Resourcing</w:t>
      </w:r>
      <w:r>
        <w:t xml:space="preserve">. </w:t>
      </w:r>
    </w:p>
    <w:p w:rsidR="00186875" w:rsidRPr="00186875" w:rsidRDefault="00BA7A7F" w:rsidP="00186875">
      <w:r w:rsidRPr="00B92556">
        <w:t xml:space="preserve">Information in this table is presented on a resourcing (that is, appropriations/cash available) basis, whilst the ‘Budgeted expenses </w:t>
      </w:r>
      <w:r>
        <w:t>by</w:t>
      </w:r>
      <w:r w:rsidRPr="00B92556">
        <w:t xml:space="preserve"> Outcome </w:t>
      </w:r>
      <w:r>
        <w:t>1</w:t>
      </w:r>
      <w:r w:rsidRPr="00B92556">
        <w:t>’ tables in Section 2 and the financial statements in Section 3 are presented on an accrual basis.</w:t>
      </w:r>
      <w:bookmarkEnd w:id="1430"/>
      <w:bookmarkEnd w:id="1431"/>
      <w:r>
        <w:br w:type="page"/>
      </w:r>
    </w:p>
    <w:p w:rsidR="004C2526" w:rsidRDefault="00BA7A7F" w:rsidP="00206790">
      <w:pPr>
        <w:pStyle w:val="TableHeading"/>
        <w:keepLines/>
        <w:spacing w:before="60"/>
        <w:ind w:right="567"/>
      </w:pPr>
      <w:r w:rsidRPr="004C2526">
        <w:t xml:space="preserve">Table 1.1: </w:t>
      </w:r>
      <w:r>
        <w:rPr>
          <w:snapToGrid w:val="0"/>
        </w:rPr>
        <w:t>IP Australia</w:t>
      </w:r>
      <w:r w:rsidRPr="004C2526">
        <w:t xml:space="preserve"> </w:t>
      </w:r>
      <w:r>
        <w:t>resource statement – B</w:t>
      </w:r>
      <w:r w:rsidRPr="00612A36">
        <w:t xml:space="preserve">udget estimates </w:t>
      </w:r>
      <w:r w:rsidRPr="004C2526">
        <w:t xml:space="preserve">for </w:t>
      </w:r>
      <w:r>
        <w:t>2022­23</w:t>
      </w:r>
      <w:r w:rsidRPr="004C2526">
        <w:t xml:space="preserve"> </w:t>
      </w:r>
      <w:r w:rsidRPr="00612A36">
        <w:t xml:space="preserve">as </w:t>
      </w:r>
      <w:r>
        <w:t>a</w:t>
      </w:r>
      <w:r w:rsidRPr="00612A36">
        <w:t>t Budget March</w:t>
      </w:r>
      <w:r w:rsidRPr="004C2526">
        <w:t xml:space="preserve"> </w:t>
      </w:r>
      <w:r>
        <w:t>2022</w:t>
      </w:r>
    </w:p>
    <w:tbl>
      <w:tblPr>
        <w:tblStyle w:val="CDMRange1"/>
        <w:tblW w:w="7740" w:type="dxa"/>
        <w:tblLayout w:type="fixed"/>
        <w:tblLook w:val="0600" w:firstRow="0" w:lastRow="0" w:firstColumn="0" w:lastColumn="0" w:noHBand="1" w:noVBand="1"/>
      </w:tblPr>
      <w:tblGrid>
        <w:gridCol w:w="5475"/>
        <w:gridCol w:w="1170"/>
        <w:gridCol w:w="1095"/>
      </w:tblGrid>
      <w:tr w:rsidR="00253274">
        <w:trPr>
          <w:trHeight w:val="900"/>
        </w:trPr>
        <w:tc>
          <w:tcPr>
            <w:tcW w:w="5475" w:type="dxa"/>
            <w:tcBorders>
              <w:top w:val="single" w:sz="4" w:space="0" w:color="000000"/>
              <w:left w:val="nil"/>
              <w:bottom w:val="nil"/>
              <w:right w:val="nil"/>
              <w:tl2br w:val="nil"/>
              <w:tr2bl w:val="nil"/>
            </w:tcBorders>
            <w:shd w:val="clear" w:color="FFFFFF" w:fill="FFFFFF"/>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70"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  Estimated actual</w:t>
            </w:r>
          </w:p>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 Estimate</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70" w:type="dxa"/>
            <w:tcBorders>
              <w:top w:val="dotted" w:sz="2" w:space="0" w:color="000000"/>
              <w:left w:val="nil"/>
              <w:bottom w:val="nil"/>
              <w:right w:val="nil"/>
              <w:tl2br w:val="nil"/>
              <w:tr2bl w:val="nil"/>
            </w:tcBorders>
            <w:shd w:val="clear" w:color="FFFFFF" w:fill="FFFFFF"/>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70" w:type="dxa"/>
            <w:tcBorders>
              <w:top w:val="nil"/>
              <w:left w:val="nil"/>
              <w:bottom w:val="nil"/>
              <w:right w:val="nil"/>
              <w:tl2br w:val="nil"/>
              <w:tr2bl w:val="nil"/>
            </w:tcBorders>
            <w:shd w:val="clear" w:color="FFFFFF" w:fill="FFFFFF"/>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appropriation</w:t>
            </w:r>
          </w:p>
        </w:tc>
        <w:tc>
          <w:tcPr>
            <w:tcW w:w="1170"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356</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356</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Special accounts (b)</w:t>
            </w:r>
          </w:p>
        </w:tc>
        <w:tc>
          <w:tcPr>
            <w:tcW w:w="1170" w:type="dxa"/>
            <w:tcBorders>
              <w:top w:val="dotted" w:sz="2" w:space="0" w:color="000000"/>
              <w:left w:val="nil"/>
              <w:bottom w:val="nil"/>
              <w:right w:val="nil"/>
              <w:tl2br w:val="nil"/>
              <w:tr2bl w:val="nil"/>
            </w:tcBorders>
            <w:shd w:val="clear" w:color="FFFFFF" w:fill="FFFFFF"/>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Opening balance</w:t>
            </w:r>
          </w:p>
        </w:tc>
        <w:tc>
          <w:tcPr>
            <w:tcW w:w="1170"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52,937</w:t>
            </w:r>
          </w:p>
        </w:tc>
        <w:tc>
          <w:tcPr>
            <w:tcW w:w="1095" w:type="dxa"/>
            <w:tcBorders>
              <w:top w:val="nil"/>
              <w:left w:val="nil"/>
              <w:bottom w:val="nil"/>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65,316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receipts (c)</w:t>
            </w:r>
          </w:p>
        </w:tc>
        <w:tc>
          <w:tcPr>
            <w:tcW w:w="1170" w:type="dxa"/>
            <w:tcBorders>
              <w:top w:val="nil"/>
              <w:left w:val="nil"/>
              <w:bottom w:val="nil"/>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356</w:t>
            </w:r>
          </w:p>
        </w:tc>
        <w:tc>
          <w:tcPr>
            <w:tcW w:w="1095" w:type="dxa"/>
            <w:tcBorders>
              <w:top w:val="nil"/>
              <w:left w:val="nil"/>
              <w:bottom w:val="nil"/>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Non-appropriation receipts</w:t>
            </w:r>
          </w:p>
        </w:tc>
        <w:tc>
          <w:tcPr>
            <w:tcW w:w="1170"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245,631</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246,893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accounts</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298,924</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312,569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less departmental appropriations drawn from annual/special</w:t>
            </w:r>
          </w:p>
          <w:p w:rsidR="00253274" w:rsidRDefault="00BA7A7F">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appropriations and credited to special accounts</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356</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298,924</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312,569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IP Australia</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298,924</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312,569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7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253274" w:rsidRDefault="00253274">
            <w:pPr>
              <w:spacing w:after="0" w:line="240" w:lineRule="auto"/>
              <w:jc w:val="left"/>
              <w:rPr>
                <w:rFonts w:ascii="Arial" w:eastAsia="Arial" w:hAnsi="Arial" w:cs="Arial"/>
                <w:i/>
                <w:color w:val="000000"/>
                <w:sz w:val="16"/>
              </w:rPr>
            </w:pPr>
          </w:p>
        </w:tc>
        <w:tc>
          <w:tcPr>
            <w:tcW w:w="109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dotted" w:sz="2" w:space="0" w:color="000000"/>
              <w:left w:val="nil"/>
              <w:bottom w:val="nil"/>
              <w:right w:val="nil"/>
              <w:tl2br w:val="nil"/>
              <w:tr2bl w:val="nil"/>
            </w:tcBorders>
            <w:shd w:val="clear" w:color="FFFFFF" w:fill="FFFFFF"/>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000000"/>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70" w:type="dxa"/>
            <w:tcBorders>
              <w:top w:val="dotted" w:sz="2" w:space="0" w:color="000000"/>
              <w:left w:val="nil"/>
              <w:bottom w:val="single" w:sz="4" w:space="0" w:color="000000"/>
              <w:right w:val="nil"/>
              <w:tl2br w:val="nil"/>
              <w:tr2bl w:val="nil"/>
            </w:tcBorders>
            <w:shd w:val="clear" w:color="FFFFFF" w:fill="FFFFFF"/>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1,054</w:t>
            </w:r>
          </w:p>
        </w:tc>
        <w:tc>
          <w:tcPr>
            <w:tcW w:w="109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1,054</w:t>
            </w:r>
          </w:p>
        </w:tc>
      </w:tr>
    </w:tbl>
    <w:p w:rsidR="001F194F" w:rsidRDefault="00BA7A7F" w:rsidP="00206790">
      <w:pPr>
        <w:spacing w:before="40" w:after="0" w:line="240" w:lineRule="auto"/>
        <w:rPr>
          <w:rFonts w:ascii="Arial" w:eastAsia="Calibri" w:hAnsi="Arial" w:cs="Arial"/>
          <w:sz w:val="16"/>
          <w:szCs w:val="16"/>
          <w:bdr w:val="none" w:sz="0" w:space="0" w:color="auto" w:frame="1"/>
        </w:rPr>
      </w:pPr>
      <w:r w:rsidRPr="001F194F">
        <w:rPr>
          <w:rFonts w:ascii="Arial" w:eastAsia="Calibri" w:hAnsi="Arial" w:cs="Arial"/>
          <w:sz w:val="16"/>
          <w:szCs w:val="16"/>
          <w:bdr w:val="none" w:sz="0" w:space="0" w:color="auto" w:frame="1"/>
        </w:rPr>
        <w:t>All figures shown above are GST exclusive – these may not match figures in the cash flow statement.</w:t>
      </w:r>
    </w:p>
    <w:p w:rsidR="00525465" w:rsidRPr="002740A8" w:rsidRDefault="00BA7A7F" w:rsidP="00206790">
      <w:pPr>
        <w:spacing w:after="0" w:line="240" w:lineRule="auto"/>
        <w:rPr>
          <w:rFonts w:ascii="Arial" w:eastAsia="Calibri" w:hAnsi="Arial" w:cs="Arial"/>
          <w:sz w:val="16"/>
          <w:szCs w:val="16"/>
          <w:bdr w:val="none" w:sz="0" w:space="0" w:color="auto" w:frame="1"/>
        </w:rPr>
      </w:pPr>
      <w:r w:rsidRPr="002740A8">
        <w:rPr>
          <w:rFonts w:ascii="Arial" w:eastAsia="Calibri" w:hAnsi="Arial" w:cs="Arial"/>
          <w:sz w:val="16"/>
          <w:szCs w:val="16"/>
          <w:bdr w:val="none" w:sz="0" w:space="0" w:color="auto" w:frame="1"/>
        </w:rPr>
        <w:t>Prepared on a resourcing (that is, appropriations available) basis.</w:t>
      </w:r>
    </w:p>
    <w:p w:rsidR="00B31D3F" w:rsidRPr="002740A8" w:rsidRDefault="00BA7A7F" w:rsidP="00206790">
      <w:pPr>
        <w:pStyle w:val="ListParagraph"/>
        <w:keepLines/>
        <w:numPr>
          <w:ilvl w:val="0"/>
          <w:numId w:val="130"/>
        </w:numPr>
        <w:spacing w:after="0" w:line="240" w:lineRule="auto"/>
        <w:ind w:left="357" w:hanging="357"/>
        <w:rPr>
          <w:rFonts w:eastAsia="Calibri" w:cs="Arial"/>
          <w:sz w:val="16"/>
          <w:szCs w:val="16"/>
          <w:bdr w:val="none" w:sz="0" w:space="0" w:color="auto" w:frame="1"/>
          <w:lang w:val="en-AU"/>
        </w:rPr>
      </w:pPr>
      <w:r w:rsidRPr="002740A8">
        <w:rPr>
          <w:rFonts w:ascii="Arial" w:eastAsia="Calibri" w:hAnsi="Arial" w:cs="Arial"/>
          <w:sz w:val="16"/>
          <w:szCs w:val="16"/>
          <w:bdr w:val="none" w:sz="0" w:space="0" w:color="auto" w:frame="1"/>
          <w:lang w:val="en-AU"/>
        </w:rPr>
        <w:t>Appropriation Bill (No. 1) 2022­23.</w:t>
      </w:r>
    </w:p>
    <w:p w:rsidR="001311F7" w:rsidRPr="002740A8" w:rsidRDefault="00BA7A7F" w:rsidP="00206790">
      <w:pPr>
        <w:pStyle w:val="ChartandTableFootnote"/>
        <w:numPr>
          <w:ilvl w:val="0"/>
          <w:numId w:val="130"/>
        </w:numPr>
        <w:tabs>
          <w:tab w:val="clear" w:pos="284"/>
          <w:tab w:val="left" w:pos="720"/>
        </w:tabs>
        <w:ind w:left="357" w:hanging="357"/>
        <w:rPr>
          <w:rFonts w:eastAsia="Times New Roman" w:cs="Times New Roman"/>
          <w:color w:val="auto"/>
          <w:szCs w:val="20"/>
          <w:lang w:val="en-AU" w:eastAsia="en-AU"/>
        </w:rPr>
      </w:pPr>
      <w:r w:rsidRPr="002740A8">
        <w:rPr>
          <w:rFonts w:eastAsia="Times New Roman" w:cs="Times New Roman"/>
          <w:color w:val="auto"/>
          <w:szCs w:val="20"/>
          <w:lang w:val="en-AU" w:eastAsia="en-AU"/>
        </w:rPr>
        <w:t>Excludes trust moneys held in Services for Other Entities and Trust Moneys (SOETM) and other special accounts. For further information on special accounts, please refer to Budget Paper No. 4 - Agency Resourcing. Please also see Table 2.1 for further information on outcome and program expenses broken down by various funding sources, e.g. annual appropriations, special appropriations and special accounts.</w:t>
      </w:r>
    </w:p>
    <w:p w:rsidR="001311F7" w:rsidRPr="002740A8" w:rsidRDefault="00BA7A7F" w:rsidP="001311F7">
      <w:pPr>
        <w:pStyle w:val="ChartandTableFootnote"/>
        <w:numPr>
          <w:ilvl w:val="0"/>
          <w:numId w:val="130"/>
        </w:numPr>
        <w:tabs>
          <w:tab w:val="clear" w:pos="284"/>
          <w:tab w:val="left" w:pos="720"/>
        </w:tabs>
        <w:ind w:left="357" w:hanging="357"/>
        <w:rPr>
          <w:rFonts w:eastAsia="Times New Roman" w:cs="Times New Roman"/>
          <w:color w:val="auto"/>
          <w:szCs w:val="20"/>
          <w:lang w:val="en-AU" w:eastAsia="en-AU"/>
        </w:rPr>
      </w:pPr>
      <w:r w:rsidRPr="002740A8">
        <w:rPr>
          <w:rFonts w:eastAsia="Times New Roman" w:cs="Times New Roman"/>
          <w:color w:val="auto"/>
          <w:szCs w:val="20"/>
          <w:lang w:val="en-AU" w:eastAsia="en-AU"/>
        </w:rPr>
        <w:t>Amounts credited to the special account from IP Australia's annual appropriations.</w:t>
      </w:r>
    </w:p>
    <w:p w:rsidR="00253274" w:rsidRDefault="00253274"/>
    <w:p w:rsidR="003E027B" w:rsidRPr="00FE525F" w:rsidRDefault="00BA7A7F" w:rsidP="003E027B">
      <w:pPr>
        <w:pStyle w:val="Heading3"/>
        <w:rPr>
          <w:smallCaps w:val="0"/>
          <w:sz w:val="22"/>
          <w:szCs w:val="22"/>
        </w:rPr>
      </w:pPr>
      <w:bookmarkStart w:id="1432" w:name="RG_MARKER_12049"/>
      <w:bookmarkStart w:id="1433" w:name="RG_MARKER_12010"/>
      <w:bookmarkStart w:id="1434" w:name="RG_MARKER_12135"/>
      <w:r w:rsidRPr="00FE525F">
        <w:rPr>
          <w:smallCaps w:val="0"/>
          <w:sz w:val="22"/>
          <w:szCs w:val="22"/>
        </w:rPr>
        <w:t>1.3</w:t>
      </w:r>
      <w:bookmarkEnd w:id="1432"/>
      <w:bookmarkEnd w:id="1433"/>
      <w:bookmarkEnd w:id="1434"/>
      <w:r w:rsidRPr="00FE525F">
        <w:rPr>
          <w:smallCaps w:val="0"/>
          <w:sz w:val="22"/>
          <w:szCs w:val="22"/>
        </w:rPr>
        <w:tab/>
        <w:t>Budget measures</w:t>
      </w:r>
    </w:p>
    <w:p w:rsidR="00571056" w:rsidRDefault="00BA7A7F" w:rsidP="00571056">
      <w:r>
        <w:t>There are no Budget measures relating to IP Australia detailed in Budget Paper No. 2; therefore Table 1.2 is not presented.</w:t>
      </w:r>
    </w:p>
    <w:p w:rsidR="00FD26B4" w:rsidRPr="000574C0" w:rsidRDefault="00BA7A7F" w:rsidP="00FD26B4">
      <w:pPr>
        <w:pStyle w:val="Heading2"/>
        <w:pageBreakBefore/>
        <w:rPr>
          <w:b/>
          <w:sz w:val="26"/>
          <w:szCs w:val="26"/>
        </w:rPr>
      </w:pPr>
      <w:bookmarkStart w:id="1435" w:name="RG_MARKER_11910"/>
      <w:bookmarkStart w:id="1436" w:name="RG_MARKER_12237"/>
      <w:bookmarkStart w:id="1437" w:name="_Toc436624143_8"/>
      <w:bookmarkStart w:id="1438" w:name="_Toc436625444_8"/>
      <w:bookmarkStart w:id="1439" w:name="_Toc446237032_8"/>
      <w:bookmarkStart w:id="1440" w:name="_Toc449255764_8"/>
      <w:bookmarkStart w:id="1441" w:name="_Toc490972409_8"/>
      <w:bookmarkStart w:id="1442" w:name="_Toc491014629_8"/>
      <w:bookmarkStart w:id="1443" w:name="_Toc491014771_8"/>
      <w:bookmarkStart w:id="1444" w:name="_Toc491014951_8"/>
      <w:bookmarkStart w:id="1445" w:name="_Toc491015098_8"/>
      <w:bookmarkStart w:id="1446" w:name="_Toc491029242_8"/>
      <w:bookmarkStart w:id="1447" w:name="_Toc491030331_8"/>
      <w:bookmarkStart w:id="1448" w:name="_Toc491030790_8"/>
      <w:bookmarkStart w:id="1449" w:name="_Toc491031353_8"/>
      <w:bookmarkStart w:id="1450" w:name="_Toc491031940_8"/>
      <w:bookmarkStart w:id="1451" w:name="_Toc491032113_8"/>
      <w:bookmarkStart w:id="1452" w:name="_Toc491032221_8"/>
      <w:bookmarkStart w:id="1453" w:name="_Toc491032328_8"/>
      <w:bookmarkStart w:id="1454" w:name="_Toc491771720_8"/>
      <w:bookmarkStart w:id="1455" w:name="_Toc491773295_8"/>
      <w:bookmarkStart w:id="1456" w:name="_Toc23559353_8"/>
      <w:bookmarkStart w:id="1457" w:name="_Toc23559387_8"/>
      <w:bookmarkStart w:id="1458" w:name="_Toc23559674_8"/>
      <w:bookmarkStart w:id="1459" w:name="_Toc23560142_8"/>
      <w:bookmarkStart w:id="1460" w:name="_Toc23563436_8"/>
      <w:bookmarkStart w:id="1461" w:name="_Toc77998688_8"/>
      <w:bookmarkStart w:id="1462" w:name="_Toc79399717_8"/>
      <w:bookmarkStart w:id="1463" w:name="_Toc112211966_8"/>
      <w:bookmarkStart w:id="1464" w:name="_Toc112212060_8"/>
      <w:bookmarkStart w:id="1465" w:name="_Toc112137878_8"/>
      <w:bookmarkStart w:id="1466" w:name="_Toc112137900_8"/>
      <w:bookmarkStart w:id="1467" w:name="_Toc210646453_8"/>
      <w:bookmarkStart w:id="1468" w:name="_Toc210698432_8"/>
      <w:bookmarkStart w:id="1469" w:name="_Toc210703214_8"/>
      <w:r w:rsidRPr="000574C0">
        <w:rPr>
          <w:b/>
          <w:sz w:val="26"/>
          <w:szCs w:val="26"/>
        </w:rPr>
        <w:t>Section 2</w:t>
      </w:r>
      <w:bookmarkEnd w:id="1435"/>
      <w:bookmarkEnd w:id="1436"/>
      <w:bookmarkEnd w:id="1437"/>
      <w:bookmarkEnd w:id="1438"/>
      <w:bookmarkEnd w:id="1439"/>
      <w:bookmarkEnd w:id="1440"/>
      <w:r w:rsidRPr="000574C0">
        <w:rPr>
          <w:b/>
          <w:sz w:val="26"/>
          <w:szCs w:val="26"/>
        </w:rPr>
        <w:t xml:space="preserve">: </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r w:rsidRPr="000574C0">
        <w:rPr>
          <w:b/>
          <w:sz w:val="26"/>
          <w:szCs w:val="26"/>
        </w:rPr>
        <w:t>Outcomes and planned performanc</w:t>
      </w:r>
      <w:bookmarkEnd w:id="1468"/>
      <w:bookmarkEnd w:id="1469"/>
      <w:r w:rsidRPr="000574C0">
        <w:rPr>
          <w:b/>
          <w:sz w:val="26"/>
          <w:szCs w:val="26"/>
        </w:rPr>
        <w:t>e</w:t>
      </w:r>
      <w:bookmarkStart w:id="1470" w:name="_Toc436624145_17"/>
      <w:bookmarkStart w:id="1471" w:name="_Toc436625446_17"/>
      <w:bookmarkStart w:id="1472" w:name="_Toc449255766_17"/>
      <w:bookmarkStart w:id="1473" w:name="_Toc490972410_17"/>
      <w:bookmarkStart w:id="1474" w:name="_Toc491014630_17"/>
      <w:bookmarkStart w:id="1475" w:name="_Toc491014772_17"/>
      <w:bookmarkStart w:id="1476" w:name="_Toc491014952_17"/>
      <w:bookmarkStart w:id="1477" w:name="_Toc491015099_17"/>
      <w:bookmarkStart w:id="1478" w:name="_Toc491029243_17"/>
      <w:bookmarkStart w:id="1479" w:name="_Toc491030332_17"/>
      <w:bookmarkStart w:id="1480" w:name="_Toc491030791_17"/>
      <w:bookmarkStart w:id="1481" w:name="_Toc491031354_17"/>
      <w:bookmarkStart w:id="1482" w:name="_Toc491031941_17"/>
      <w:bookmarkStart w:id="1483" w:name="_Toc491032114_17"/>
      <w:bookmarkStart w:id="1484" w:name="_Toc491032222_17"/>
      <w:bookmarkStart w:id="1485" w:name="_Toc491032329_17"/>
      <w:bookmarkStart w:id="1486" w:name="_Toc491771721_17"/>
      <w:bookmarkStart w:id="1487" w:name="_Toc491773296_17"/>
      <w:bookmarkStart w:id="1488" w:name="_Toc23559354_17"/>
      <w:bookmarkStart w:id="1489" w:name="_Toc23559388_17"/>
      <w:bookmarkStart w:id="1490" w:name="_Toc23559675_17"/>
      <w:bookmarkStart w:id="1491" w:name="_Toc23560143_17"/>
      <w:bookmarkStart w:id="1492" w:name="_Toc23563437_17"/>
      <w:bookmarkStart w:id="1493" w:name="_Toc77998689_17"/>
      <w:bookmarkStart w:id="1494" w:name="_Toc79406118_17"/>
      <w:bookmarkStart w:id="1495" w:name="_Toc79467820_17"/>
      <w:bookmarkStart w:id="1496" w:name="_Toc112211967_17"/>
      <w:bookmarkStart w:id="1497" w:name="_Toc112212061_17"/>
      <w:bookmarkStart w:id="1498" w:name="_Toc112137879_17"/>
      <w:bookmarkStart w:id="1499" w:name="_Toc112137901_17"/>
      <w:bookmarkStart w:id="1500" w:name="_Toc210646454_17"/>
      <w:bookmarkStart w:id="1501" w:name="_Toc210698433_17"/>
      <w:bookmarkStart w:id="1502" w:name="_Toc210703215_17"/>
    </w:p>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p w:rsidR="00656751" w:rsidRDefault="00BA7A7F" w:rsidP="00656751">
      <w:pPr>
        <w:jc w:val="left"/>
      </w:pPr>
      <w: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656751" w:rsidRDefault="00BA7A7F" w:rsidP="00656751">
      <w:pPr>
        <w:jc w:val="left"/>
      </w:pPr>
      <w:r>
        <w:t xml:space="preserve">Each outcome is described below together with its related programs. The following provides detailed information on expenses for each outcome and program, further broken down by funding source. </w:t>
      </w:r>
    </w:p>
    <w:p w:rsidR="00957360" w:rsidRDefault="00BA7A7F" w:rsidP="00957360">
      <w:pPr>
        <w:pBdr>
          <w:top w:val="single" w:sz="2" w:space="6" w:color="auto"/>
          <w:left w:val="single" w:sz="2" w:space="4" w:color="auto"/>
          <w:bottom w:val="single" w:sz="2" w:space="6" w:color="auto"/>
          <w:right w:val="single" w:sz="2" w:space="4" w:color="auto"/>
        </w:pBdr>
        <w:spacing w:after="120" w:line="240" w:lineRule="auto"/>
        <w:rPr>
          <w:b/>
        </w:rPr>
      </w:pPr>
      <w:r>
        <w:rPr>
          <w:b/>
        </w:rPr>
        <w:t>Note:</w:t>
      </w:r>
    </w:p>
    <w:p w:rsidR="00957360" w:rsidRDefault="00BA7A7F" w:rsidP="00957360">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Commonwealth performance framework established by the </w:t>
      </w:r>
      <w:r>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rsidR="00F869CF" w:rsidRDefault="00BA7A7F" w:rsidP="00F869CF">
      <w:pPr>
        <w:pBdr>
          <w:top w:val="single" w:sz="2" w:space="6" w:color="auto"/>
          <w:left w:val="single" w:sz="2" w:space="4" w:color="auto"/>
          <w:bottom w:val="single" w:sz="2" w:space="6" w:color="auto"/>
          <w:right w:val="single" w:sz="2" w:space="4" w:color="auto"/>
        </w:pBdr>
        <w:jc w:val="left"/>
      </w:pPr>
      <w:r>
        <w:t>The most recent corporate plan for IP Australia can be found at: https://www.ipaustralia.gov.au/ip-australia-corporate-plan-2021-22.</w:t>
      </w:r>
    </w:p>
    <w:p w:rsidR="00F869CF" w:rsidRDefault="00BA7A7F" w:rsidP="00F869CF">
      <w:pPr>
        <w:pBdr>
          <w:top w:val="single" w:sz="2" w:space="6" w:color="auto"/>
          <w:left w:val="single" w:sz="2" w:space="4" w:color="auto"/>
          <w:bottom w:val="single" w:sz="2" w:space="6" w:color="auto"/>
          <w:right w:val="single" w:sz="2" w:space="4" w:color="auto"/>
        </w:pBdr>
        <w:jc w:val="left"/>
      </w:pPr>
      <w:r>
        <w:t>The most recent annual performance statement can be found at: https://www.industry.gov.au/data-and-publications/annual-report-2020-21.</w:t>
      </w:r>
    </w:p>
    <w:p w:rsidR="007D76B1" w:rsidRPr="00293420" w:rsidRDefault="00BA7A7F" w:rsidP="007D76B1">
      <w:pPr>
        <w:pStyle w:val="Heading3"/>
        <w:pageBreakBefore/>
        <w:rPr>
          <w:smallCaps w:val="0"/>
          <w:sz w:val="22"/>
          <w:szCs w:val="22"/>
        </w:rPr>
      </w:pPr>
      <w:bookmarkStart w:id="1503" w:name="RG_MARKER_12086"/>
      <w:bookmarkStart w:id="1504" w:name="RG_MARKER_12117"/>
      <w:bookmarkStart w:id="1505" w:name="_Toc210703215_18"/>
      <w:bookmarkStart w:id="1506" w:name="_Toc210698433_18"/>
      <w:bookmarkStart w:id="1507" w:name="_Toc210646454_18"/>
      <w:bookmarkStart w:id="1508" w:name="_Toc112137901_18"/>
      <w:bookmarkStart w:id="1509" w:name="_Toc112137879_18"/>
      <w:bookmarkStart w:id="1510" w:name="_Toc112212061_18"/>
      <w:bookmarkStart w:id="1511" w:name="_Toc112211967_18"/>
      <w:bookmarkStart w:id="1512" w:name="_Toc79467820_18"/>
      <w:bookmarkStart w:id="1513" w:name="_Toc79406118_18"/>
      <w:bookmarkStart w:id="1514" w:name="_Toc77998689_18"/>
      <w:bookmarkStart w:id="1515" w:name="_Toc23563437_18"/>
      <w:bookmarkStart w:id="1516" w:name="_Toc23560143_18"/>
      <w:bookmarkStart w:id="1517" w:name="_Toc23559675_18"/>
      <w:bookmarkStart w:id="1518" w:name="_Toc23559388_18"/>
      <w:bookmarkStart w:id="1519" w:name="_Toc23559354_18"/>
      <w:bookmarkStart w:id="1520" w:name="_Toc491773296_18"/>
      <w:bookmarkStart w:id="1521" w:name="_Toc491771721_18"/>
      <w:bookmarkStart w:id="1522" w:name="_Toc491032329_18"/>
      <w:bookmarkStart w:id="1523" w:name="_Toc491032222_18"/>
      <w:bookmarkStart w:id="1524" w:name="_Toc491032114_18"/>
      <w:bookmarkStart w:id="1525" w:name="_Toc491031941_18"/>
      <w:bookmarkStart w:id="1526" w:name="_Toc491031354_18"/>
      <w:bookmarkStart w:id="1527" w:name="_Toc491030791_18"/>
      <w:bookmarkStart w:id="1528" w:name="_Toc491030332_18"/>
      <w:bookmarkStart w:id="1529" w:name="_Toc491029243_18"/>
      <w:bookmarkStart w:id="1530" w:name="_Toc491015099_18"/>
      <w:bookmarkStart w:id="1531" w:name="_Toc491014952_18"/>
      <w:bookmarkStart w:id="1532" w:name="_Toc491014772_18"/>
      <w:bookmarkStart w:id="1533" w:name="_Toc491014630_18"/>
      <w:bookmarkStart w:id="1534" w:name="_Toc490972410_18"/>
      <w:bookmarkStart w:id="1535" w:name="_Toc449255766_18"/>
      <w:bookmarkStart w:id="1536" w:name="_Toc436625446_18"/>
      <w:bookmarkStart w:id="1537" w:name="_Toc436624145_18"/>
      <w:r w:rsidRPr="00293420">
        <w:rPr>
          <w:smallCaps w:val="0"/>
          <w:sz w:val="22"/>
          <w:szCs w:val="22"/>
        </w:rPr>
        <w:t>2.1</w:t>
      </w:r>
      <w:bookmarkEnd w:id="1503"/>
      <w:bookmarkEnd w:id="1504"/>
      <w:r w:rsidRPr="00293420">
        <w:rPr>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253274" w:rsidTr="00F96411">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p w:rsidR="00F96411" w:rsidRDefault="00BA7A7F" w:rsidP="00403024">
            <w:pPr>
              <w:pStyle w:val="TableColumnHeadingLeft"/>
              <w:keepLines/>
              <w:rPr>
                <w:rFonts w:cs="Arial"/>
              </w:rPr>
            </w:pPr>
            <w:r>
              <w:rPr>
                <w:color w:val="000000"/>
              </w:rPr>
              <w:t>Outcome 1: Increased innovation, investment and trade in Australia, and by Australians overseas, through the administration of the registrable intellectual property rights system, promoting public awareness and industry engagement, and advising government</w:t>
            </w:r>
          </w:p>
        </w:tc>
      </w:tr>
    </w:tbl>
    <w:p w:rsidR="00F96411" w:rsidRPr="00293420" w:rsidRDefault="00BA7A7F" w:rsidP="008D081E">
      <w:pPr>
        <w:pStyle w:val="Heading4"/>
        <w:spacing w:before="240"/>
        <w:rPr>
          <w:rFonts w:cs="Arial"/>
          <w:sz w:val="20"/>
        </w:rPr>
      </w:pPr>
      <w:r w:rsidRPr="00293420">
        <w:rPr>
          <w:rFonts w:cs="Arial"/>
          <w:sz w:val="20"/>
        </w:rPr>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253274" w:rsidTr="00F96411">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rsidR="00F96411" w:rsidRPr="009F200D" w:rsidRDefault="00BA7A7F" w:rsidP="00C85EBF">
            <w:pPr>
              <w:pStyle w:val="ExampleText0"/>
              <w:spacing w:before="60" w:after="60" w:line="240" w:lineRule="auto"/>
              <w:rPr>
                <w:color w:val="auto"/>
              </w:rPr>
            </w:pPr>
            <w:r w:rsidRPr="009F200D">
              <w:rPr>
                <w:rStyle w:val="ExampletextCharChar"/>
                <w:b/>
                <w:color w:val="auto"/>
              </w:rPr>
              <w:t xml:space="preserve">Department of Industry, </w:t>
            </w:r>
            <w:r w:rsidR="00C85EBF" w:rsidRPr="009F200D">
              <w:rPr>
                <w:rStyle w:val="ExampletextCharChar"/>
                <w:b/>
                <w:color w:val="auto"/>
              </w:rPr>
              <w:t>Science, Energy and Resources</w:t>
            </w:r>
          </w:p>
        </w:tc>
      </w:tr>
      <w:tr w:rsidR="00253274" w:rsidTr="00F96411">
        <w:trPr>
          <w:trHeight w:val="113"/>
        </w:trPr>
        <w:tc>
          <w:tcPr>
            <w:tcW w:w="7592" w:type="dxa"/>
            <w:tcBorders>
              <w:top w:val="dotted" w:sz="4" w:space="0" w:color="auto"/>
              <w:left w:val="single" w:sz="4" w:space="0" w:color="auto"/>
              <w:bottom w:val="single" w:sz="4" w:space="0" w:color="auto"/>
              <w:right w:val="single" w:sz="4" w:space="0" w:color="auto"/>
            </w:tcBorders>
            <w:hideMark/>
          </w:tcPr>
          <w:p w:rsidR="00C85EBF" w:rsidRPr="009F200D" w:rsidRDefault="00BA7A7F" w:rsidP="00C85EBF">
            <w:pPr>
              <w:spacing w:before="60" w:after="60" w:line="240" w:lineRule="auto"/>
              <w:rPr>
                <w:rStyle w:val="ExampletextCharChar"/>
                <w:b/>
                <w:i w:val="0"/>
                <w:color w:val="auto"/>
              </w:rPr>
            </w:pPr>
            <w:r w:rsidRPr="009F200D">
              <w:rPr>
                <w:rStyle w:val="ExampletextCharChar"/>
                <w:b/>
                <w:i w:val="0"/>
                <w:color w:val="auto"/>
              </w:rPr>
              <w:t>Programs</w:t>
            </w:r>
          </w:p>
          <w:p w:rsidR="00C85EBF" w:rsidRPr="009F200D" w:rsidRDefault="00BA7A7F" w:rsidP="008D081E">
            <w:pPr>
              <w:keepLines w:val="0"/>
              <w:numPr>
                <w:ilvl w:val="0"/>
                <w:numId w:val="131"/>
              </w:numPr>
              <w:spacing w:before="60" w:after="60" w:line="240" w:lineRule="auto"/>
              <w:ind w:left="714" w:hanging="357"/>
              <w:rPr>
                <w:rStyle w:val="ExampletextCharChar"/>
                <w:i w:val="0"/>
                <w:color w:val="auto"/>
              </w:rPr>
            </w:pPr>
            <w:r w:rsidRPr="009F200D">
              <w:rPr>
                <w:rStyle w:val="ExampletextCharChar"/>
                <w:i w:val="0"/>
                <w:color w:val="auto"/>
              </w:rPr>
              <w:t>Program 1.1 – Investing in science, technology and commercialisation</w:t>
            </w:r>
          </w:p>
          <w:p w:rsidR="00F96411" w:rsidRPr="009F200D" w:rsidRDefault="00BA7A7F" w:rsidP="00DF4610">
            <w:pPr>
              <w:keepLines w:val="0"/>
              <w:numPr>
                <w:ilvl w:val="0"/>
                <w:numId w:val="132"/>
              </w:numPr>
              <w:spacing w:before="60" w:after="60" w:line="240" w:lineRule="auto"/>
              <w:ind w:left="720" w:hanging="357"/>
              <w:rPr>
                <w:rStyle w:val="ExampletextCharChar"/>
                <w:color w:val="auto"/>
                <w:lang w:val="x-none"/>
              </w:rPr>
            </w:pPr>
            <w:r w:rsidRPr="009F200D">
              <w:rPr>
                <w:rStyle w:val="ExampletextCharChar"/>
                <w:i w:val="0"/>
                <w:color w:val="auto"/>
              </w:rPr>
              <w:t>Program 1.2 – Growing innovative and competitive businesses, industries and regions</w:t>
            </w:r>
          </w:p>
        </w:tc>
      </w:tr>
      <w:tr w:rsidR="00253274" w:rsidTr="00C85EBF">
        <w:trPr>
          <w:trHeight w:val="611"/>
        </w:trPr>
        <w:tc>
          <w:tcPr>
            <w:tcW w:w="7592" w:type="dxa"/>
            <w:tcBorders>
              <w:top w:val="single" w:sz="4" w:space="0" w:color="auto"/>
              <w:left w:val="single" w:sz="4" w:space="0" w:color="auto"/>
              <w:bottom w:val="single" w:sz="4" w:space="0" w:color="auto"/>
              <w:right w:val="single" w:sz="4" w:space="0" w:color="auto"/>
            </w:tcBorders>
            <w:hideMark/>
          </w:tcPr>
          <w:p w:rsidR="00F96411" w:rsidRPr="009F200D" w:rsidRDefault="00BA7A7F">
            <w:pPr>
              <w:spacing w:before="60" w:after="60" w:line="240" w:lineRule="auto"/>
              <w:rPr>
                <w:rStyle w:val="ExampletextCharChar"/>
                <w:b/>
                <w:i w:val="0"/>
                <w:color w:val="auto"/>
              </w:rPr>
            </w:pPr>
            <w:r w:rsidRPr="009F200D">
              <w:rPr>
                <w:rStyle w:val="ExampletextCharChar"/>
                <w:b/>
                <w:i w:val="0"/>
                <w:color w:val="auto"/>
              </w:rPr>
              <w:t>Contribution to Outcome 1 made by linked programs</w:t>
            </w:r>
          </w:p>
          <w:p w:rsidR="00F96411" w:rsidRPr="009F200D" w:rsidRDefault="00BA7A7F" w:rsidP="00EC49D2">
            <w:pPr>
              <w:spacing w:before="60" w:after="60" w:line="240" w:lineRule="auto"/>
              <w:rPr>
                <w:rStyle w:val="ExampletextCharChar"/>
                <w:i w:val="0"/>
                <w:color w:val="auto"/>
              </w:rPr>
            </w:pPr>
            <w:bookmarkStart w:id="1538" w:name="_Hlk49784759"/>
            <w:r w:rsidRPr="009F200D">
              <w:rPr>
                <w:rStyle w:val="ExampletextCharChar"/>
                <w:i w:val="0"/>
                <w:color w:val="auto"/>
              </w:rPr>
              <w:t>The Department of Industry, Science, Energy and Resources contributes to Outcome</w:t>
            </w:r>
            <w:r w:rsidR="00EC49D2" w:rsidRPr="009F200D">
              <w:rPr>
                <w:rStyle w:val="ExampletextCharChar"/>
                <w:i w:val="0"/>
                <w:color w:val="auto"/>
              </w:rPr>
              <w:t> </w:t>
            </w:r>
            <w:r w:rsidRPr="009F200D">
              <w:rPr>
                <w:rStyle w:val="ExampletextCharChar"/>
                <w:i w:val="0"/>
                <w:color w:val="auto"/>
              </w:rPr>
              <w:t>1 through its policies and programs supporting science and commercialisation and through the operation of the Office of the Chief Scientist and the Office of Innovation and Science Australia.</w:t>
            </w:r>
            <w:bookmarkEnd w:id="1538"/>
          </w:p>
        </w:tc>
      </w:tr>
    </w:tbl>
    <w:p w:rsidR="006D5060" w:rsidRDefault="006D5060" w:rsidP="00403024">
      <w:pPr>
        <w:keepLines w:val="0"/>
        <w:spacing w:after="200" w:line="276" w:lineRule="auto"/>
        <w:jc w:val="left"/>
        <w:rPr>
          <w:vanish/>
          <w:color w:val="FF0000"/>
        </w:rPr>
      </w:pPr>
    </w:p>
    <w:p w:rsidR="004F4A05" w:rsidRDefault="00BA7A7F" w:rsidP="004F4A05">
      <w:pPr>
        <w:pStyle w:val="Heading5"/>
        <w:pageBreakBefore/>
        <w:spacing w:before="0" w:after="120" w:line="240" w:lineRule="auto"/>
        <w:rPr>
          <w:rFonts w:ascii="Arial" w:hAnsi="Arial" w:cs="Arial"/>
          <w:b/>
          <w:color w:val="000000"/>
        </w:rPr>
      </w:pPr>
      <w:bookmarkStart w:id="1539" w:name="RG_MARKER_12338"/>
      <w:r>
        <w:rPr>
          <w:rFonts w:ascii="Arial" w:hAnsi="Arial" w:cs="Arial"/>
          <w:b/>
          <w:color w:val="000000"/>
        </w:rPr>
        <w:t>Budgeted expenses for Outcome 1</w:t>
      </w:r>
      <w:bookmarkEnd w:id="1539"/>
    </w:p>
    <w:p w:rsidR="00C23F05" w:rsidRPr="00C23F05" w:rsidRDefault="00BA7A7F" w:rsidP="00C23F05">
      <w:r w:rsidRPr="00C23F05">
        <w:t>This</w:t>
      </w:r>
      <w:r>
        <w:t xml:space="preserve"> table shows how much IP Australia</w:t>
      </w:r>
      <w:r w:rsidRPr="00C23F05">
        <w:t xml:space="preserve"> intends to spend (on an accrual basis) on achieving the outcome, broken down by program, </w:t>
      </w:r>
      <w:r>
        <w:t>as well as by d</w:t>
      </w:r>
      <w:r w:rsidRPr="00C23F05">
        <w:t>epartmental funding sources.</w:t>
      </w:r>
    </w:p>
    <w:p w:rsidR="00C23F05" w:rsidRPr="00C23F05" w:rsidRDefault="00BA7A7F" w:rsidP="00932486">
      <w:pPr>
        <w:spacing w:before="60" w:after="20" w:line="240" w:lineRule="auto"/>
        <w:rPr>
          <w:rFonts w:ascii="Arial" w:hAnsi="Arial" w:cs="Arial"/>
          <w:b/>
        </w:rPr>
      </w:pPr>
      <w:r w:rsidRPr="00C23F05">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253274">
        <w:trPr>
          <w:trHeight w:val="795"/>
        </w:trPr>
        <w:tc>
          <w:tcPr>
            <w:tcW w:w="7725"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r>
              <w:rPr>
                <w:rFonts w:ascii="Arial" w:eastAsia="Arial" w:hAnsi="Arial" w:cs="Arial"/>
                <w:color w:val="000000"/>
                <w:sz w:val="16"/>
                <w:szCs w:val="22"/>
                <w:lang w:val="en-US" w:eastAsia="en-US"/>
              </w:rPr>
              <w:t xml:space="preserve"> Increased innovation, investment and trade in Australia, and by Australians overseas, through the administration of the registrable intellectual property rights system, promoting public awareness and industry engagement, and advising government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 Estimated actual</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2022­23 </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rsidR="00253274" w:rsidRDefault="00253274">
            <w:pPr>
              <w:keepLines w:val="0"/>
              <w:spacing w:after="0" w:line="240" w:lineRule="auto"/>
              <w:jc w:val="right"/>
              <w:rPr>
                <w:rFonts w:ascii="Arial" w:eastAsia="Arial" w:hAnsi="Arial" w:cs="Arial"/>
                <w:color w:val="000000"/>
                <w:sz w:val="16"/>
                <w:szCs w:val="22"/>
                <w:lang w:val="en-US" w:eastAsia="en-US"/>
              </w:rPr>
            </w:pP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 IP Rights Administration and Professional Registration</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214,873</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218,413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225,141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230,017</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235,587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215,028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218,573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225,306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230,187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235,762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215,028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218,573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225,306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230,187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235,762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2: Education and Awareness</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2,327</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2,366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2,438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2,491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2,552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2,327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2,438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2,491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2,552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2,327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2,438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2,491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2,552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3: Advice to Government and International Engagement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356</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15,003</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15,252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15,732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16,079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16,475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15,359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15,612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16,093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16,442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16,840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15,359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15,612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16,093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16,442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16,840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appropriation type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356</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232,203</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236,031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243,311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248,587</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254,614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232,714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236,551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243,837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249,120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255,154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232,714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236,551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243,837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249,120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255,154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bottom"/>
          </w:tcPr>
          <w:p w:rsidR="00253274" w:rsidRDefault="00253274">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b/>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1,054</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1,054</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bl>
    <w:p w:rsidR="007E6680" w:rsidRPr="00E36B04" w:rsidRDefault="00BA7A7F" w:rsidP="00932486">
      <w:pPr>
        <w:numPr>
          <w:ilvl w:val="0"/>
          <w:numId w:val="133"/>
        </w:numPr>
        <w:spacing w:before="40" w:after="0" w:line="276" w:lineRule="auto"/>
        <w:ind w:left="357" w:hanging="357"/>
        <w:contextualSpacing/>
        <w:rPr>
          <w:rFonts w:ascii="Arial" w:hAnsi="Arial"/>
          <w:sz w:val="22"/>
          <w:szCs w:val="22"/>
          <w:lang w:eastAsia="en-US"/>
        </w:rPr>
      </w:pPr>
      <w:r w:rsidRPr="00C23F05">
        <w:rPr>
          <w:rFonts w:ascii="Arial" w:hAnsi="Arial" w:cs="Arial"/>
          <w:color w:val="000000"/>
          <w:sz w:val="16"/>
          <w:szCs w:val="16"/>
          <w:lang w:eastAsia="en-US"/>
        </w:rPr>
        <w:t xml:space="preserve">Expenses not </w:t>
      </w:r>
      <w:r>
        <w:rPr>
          <w:rFonts w:ascii="Arial" w:hAnsi="Arial" w:cs="Arial"/>
          <w:color w:val="000000"/>
          <w:sz w:val="16"/>
          <w:szCs w:val="16"/>
          <w:lang w:eastAsia="en-US"/>
        </w:rPr>
        <w:t>requiring appropriation in the B</w:t>
      </w:r>
      <w:r w:rsidRPr="00C23F05">
        <w:rPr>
          <w:rFonts w:ascii="Arial" w:hAnsi="Arial" w:cs="Arial"/>
          <w:color w:val="000000"/>
          <w:sz w:val="16"/>
          <w:szCs w:val="16"/>
          <w:lang w:eastAsia="en-US"/>
        </w:rPr>
        <w:t>udget year are made up of audit fees.</w:t>
      </w:r>
    </w:p>
    <w:p w:rsidR="00E36B04" w:rsidRPr="00E36B04" w:rsidRDefault="00BA7A7F" w:rsidP="00E36B04">
      <w:pPr>
        <w:spacing w:before="40" w:after="0" w:line="276" w:lineRule="auto"/>
        <w:contextualSpacing/>
        <w:rPr>
          <w:rFonts w:ascii="Arial" w:hAnsi="Arial"/>
          <w:sz w:val="16"/>
          <w:szCs w:val="16"/>
          <w:lang w:eastAsia="en-US"/>
        </w:rPr>
      </w:pPr>
      <w:r w:rsidRPr="00E36B04">
        <w:rPr>
          <w:rFonts w:ascii="Arial" w:hAnsi="Arial"/>
          <w:sz w:val="16"/>
          <w:szCs w:val="16"/>
          <w:lang w:eastAsia="en-US"/>
        </w:rPr>
        <w:t>Note: Departmental appropriation splits and totals are indicative estimates and may change in the course of the budget year as government priorities change.</w:t>
      </w:r>
    </w:p>
    <w:p w:rsidR="00D86095" w:rsidRPr="005457C4" w:rsidRDefault="00BA7A7F" w:rsidP="00083A1F">
      <w:pPr>
        <w:pStyle w:val="TableHeading"/>
        <w:keepLines/>
        <w:pageBreakBefore/>
      </w:pPr>
      <w:bookmarkStart w:id="1540" w:name="RG_MARKER_12243"/>
      <w:r w:rsidRPr="005457C4">
        <w:t>Table 2.1.2: Performance measures for Outcome 1</w:t>
      </w:r>
      <w:bookmarkEnd w:id="1540"/>
    </w:p>
    <w:p w:rsidR="007B1EFF" w:rsidRPr="005457C4" w:rsidRDefault="00BA7A7F" w:rsidP="007B1EFF">
      <w:pPr>
        <w:keepLines w:val="0"/>
      </w:pPr>
      <w:r w:rsidRPr="005457C4">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53274" w:rsidTr="00B9321D">
        <w:trPr>
          <w:trHeight w:val="569"/>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B9321D" w:rsidRPr="005457C4" w:rsidRDefault="00BA7A7F">
            <w:pPr>
              <w:pStyle w:val="TableColumnHeadingLeft"/>
              <w:keepLines/>
            </w:pPr>
            <w:r w:rsidRPr="005457C4">
              <w:rPr>
                <w:bdr w:val="none" w:sz="0" w:space="0" w:color="auto" w:frame="1"/>
                <w:lang w:val="en-US" w:eastAsia="en-US"/>
              </w:rPr>
              <w:t>Outcome 1: Increased innovation, investment and trade in Australia, and by Australians overseas, through the administration of the registrable intellectual property rights system, promoting public awareness and industry engagement, and advising government</w:t>
            </w:r>
          </w:p>
        </w:tc>
      </w:tr>
      <w:tr w:rsidR="00253274" w:rsidTr="00B9321D">
        <w:trPr>
          <w:trHeight w:val="522"/>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cPr>
          <w:p w:rsidR="00B9321D" w:rsidRPr="005457C4" w:rsidRDefault="00BA7A7F" w:rsidP="00B9321D">
            <w:pPr>
              <w:tabs>
                <w:tab w:val="left" w:pos="709"/>
              </w:tabs>
              <w:spacing w:before="60" w:after="60" w:line="240" w:lineRule="auto"/>
              <w:jc w:val="left"/>
              <w:rPr>
                <w:rFonts w:ascii="Arial" w:hAnsi="Arial" w:cs="Arial"/>
                <w:sz w:val="18"/>
                <w:szCs w:val="18"/>
                <w:bdr w:val="none" w:sz="0" w:space="0" w:color="auto" w:frame="1"/>
                <w:lang w:val="en-US" w:eastAsia="en-US"/>
              </w:rPr>
            </w:pPr>
            <w:r w:rsidRPr="005457C4">
              <w:rPr>
                <w:rFonts w:ascii="Arial" w:hAnsi="Arial" w:cs="Arial"/>
                <w:b/>
                <w:sz w:val="18"/>
                <w:szCs w:val="18"/>
                <w:bdr w:val="none" w:sz="0" w:space="0" w:color="auto" w:frame="1"/>
                <w:lang w:val="en-US" w:eastAsia="en-US"/>
              </w:rPr>
              <w:t>Program 1</w:t>
            </w:r>
            <w:r w:rsidRPr="005457C4">
              <w:rPr>
                <w:rFonts w:ascii="Arial" w:hAnsi="Arial" w:cs="Arial"/>
                <w:sz w:val="18"/>
                <w:szCs w:val="18"/>
                <w:bdr w:val="none" w:sz="0" w:space="0" w:color="auto" w:frame="1"/>
                <w:lang w:val="en-US" w:eastAsia="en-US"/>
              </w:rPr>
              <w:t xml:space="preserve"> – </w:t>
            </w:r>
            <w:r w:rsidRPr="005457C4">
              <w:rPr>
                <w:rFonts w:ascii="Arial" w:hAnsi="Arial" w:cs="Arial"/>
                <w:b/>
                <w:sz w:val="18"/>
                <w:szCs w:val="18"/>
                <w:bdr w:val="none" w:sz="0" w:space="0" w:color="auto" w:frame="1"/>
                <w:lang w:val="en-US" w:eastAsia="en-US"/>
              </w:rPr>
              <w:t>IP Rights Administration and Professional Registration</w:t>
            </w:r>
          </w:p>
          <w:p w:rsidR="00B9321D" w:rsidRPr="005457C4" w:rsidRDefault="00BA7A7F" w:rsidP="00B9321D">
            <w:pPr>
              <w:pStyle w:val="TableTextLeft"/>
              <w:rPr>
                <w:rFonts w:eastAsia="Calibri" w:cs="Times New Roman"/>
                <w:szCs w:val="20"/>
              </w:rPr>
            </w:pPr>
            <w:r w:rsidRPr="005457C4">
              <w:rPr>
                <w:rFonts w:eastAsia="Arial"/>
                <w:sz w:val="16"/>
                <w:szCs w:val="16"/>
              </w:rPr>
              <w:t>IP Australia will deliver robust intellectual property (IP) rights that satisfy IP Australia’s customers in terms of timeliness and quality, and administer the professional registration system for persons practicing as Patent and/or Trade Marks Attorneys.</w:t>
            </w:r>
          </w:p>
        </w:tc>
      </w:tr>
      <w:tr w:rsidR="00253274" w:rsidTr="00B9321D">
        <w:trPr>
          <w:trHeight w:val="694"/>
        </w:trPr>
        <w:tc>
          <w:tcPr>
            <w:tcW w:w="1560" w:type="dxa"/>
            <w:tcBorders>
              <w:top w:val="single" w:sz="4" w:space="0" w:color="auto"/>
              <w:left w:val="single" w:sz="4" w:space="0" w:color="auto"/>
              <w:bottom w:val="double" w:sz="4" w:space="0" w:color="auto"/>
              <w:right w:val="single" w:sz="4" w:space="0" w:color="auto"/>
            </w:tcBorders>
            <w:hideMark/>
          </w:tcPr>
          <w:p w:rsidR="00B9321D" w:rsidRPr="005457C4" w:rsidRDefault="00BA7A7F" w:rsidP="004A2870">
            <w:pPr>
              <w:tabs>
                <w:tab w:val="left" w:pos="709"/>
              </w:tabs>
              <w:spacing w:before="60"/>
              <w:rPr>
                <w:rFonts w:ascii="Arial" w:hAnsi="Arial" w:cs="Arial"/>
                <w:b/>
                <w:sz w:val="16"/>
                <w:szCs w:val="16"/>
              </w:rPr>
            </w:pPr>
            <w:r w:rsidRPr="005457C4">
              <w:rPr>
                <w:rFonts w:ascii="Arial" w:hAnsi="Arial" w:cs="Arial"/>
                <w:b/>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rsidR="00B9321D" w:rsidRPr="005457C4" w:rsidRDefault="00BA7A7F" w:rsidP="00B9321D">
            <w:pPr>
              <w:pStyle w:val="ListParagraph"/>
              <w:numPr>
                <w:ilvl w:val="0"/>
                <w:numId w:val="134"/>
              </w:numPr>
              <w:tabs>
                <w:tab w:val="left" w:pos="709"/>
              </w:tabs>
              <w:spacing w:before="60" w:after="60" w:line="240" w:lineRule="auto"/>
              <w:jc w:val="left"/>
              <w:rPr>
                <w:rFonts w:eastAsia="Times New Roman" w:cs="Times New Roman"/>
                <w:iCs/>
                <w:sz w:val="16"/>
                <w:szCs w:val="16"/>
                <w:lang w:val="en-AU" w:eastAsia="en-AU"/>
              </w:rPr>
            </w:pPr>
            <w:r w:rsidRPr="005457C4">
              <w:rPr>
                <w:rFonts w:ascii="Arial" w:eastAsia="Times New Roman" w:hAnsi="Arial" w:cs="Times New Roman"/>
                <w:iCs/>
                <w:sz w:val="16"/>
                <w:szCs w:val="16"/>
                <w:lang w:val="en-AU" w:eastAsia="en-AU"/>
              </w:rPr>
              <w:t>Administer patents, trade</w:t>
            </w:r>
            <w:r w:rsidR="000E2A68">
              <w:rPr>
                <w:rFonts w:ascii="Arial" w:eastAsia="Times New Roman" w:hAnsi="Arial" w:cs="Times New Roman"/>
                <w:iCs/>
                <w:sz w:val="16"/>
                <w:szCs w:val="16"/>
                <w:lang w:val="en-AU" w:eastAsia="en-AU"/>
              </w:rPr>
              <w:t xml:space="preserve"> </w:t>
            </w:r>
            <w:r w:rsidRPr="005457C4">
              <w:rPr>
                <w:rFonts w:ascii="Arial" w:eastAsia="Times New Roman" w:hAnsi="Arial" w:cs="Times New Roman"/>
                <w:iCs/>
                <w:sz w:val="16"/>
                <w:szCs w:val="16"/>
                <w:lang w:val="en-AU" w:eastAsia="en-AU"/>
              </w:rPr>
              <w:t xml:space="preserve">marks, designs and plant breeder's rights legislation. </w:t>
            </w:r>
          </w:p>
          <w:p w:rsidR="00B9321D" w:rsidRPr="005457C4" w:rsidRDefault="00BA7A7F" w:rsidP="00B9321D">
            <w:pPr>
              <w:pStyle w:val="ListParagraph"/>
              <w:numPr>
                <w:ilvl w:val="0"/>
                <w:numId w:val="134"/>
              </w:numPr>
              <w:tabs>
                <w:tab w:val="left" w:pos="709"/>
              </w:tabs>
              <w:spacing w:before="60" w:after="60" w:line="240" w:lineRule="auto"/>
              <w:jc w:val="left"/>
              <w:rPr>
                <w:rFonts w:eastAsia="Times New Roman" w:cs="Times New Roman"/>
                <w:iCs/>
                <w:sz w:val="16"/>
                <w:szCs w:val="16"/>
                <w:lang w:val="en-AU" w:eastAsia="en-AU"/>
              </w:rPr>
            </w:pPr>
            <w:r w:rsidRPr="005457C4">
              <w:rPr>
                <w:rFonts w:ascii="Arial" w:eastAsia="Times New Roman" w:hAnsi="Arial" w:cs="Times New Roman"/>
                <w:iCs/>
                <w:sz w:val="16"/>
                <w:szCs w:val="16"/>
                <w:lang w:val="en-AU" w:eastAsia="en-AU"/>
              </w:rPr>
              <w:t xml:space="preserve">Administer the Trans-Tasman IP attorney regime for Australian and New Zealand patents attorneys, and Australian trade marks attorneys. </w:t>
            </w:r>
          </w:p>
        </w:tc>
      </w:tr>
      <w:tr w:rsidR="00253274" w:rsidTr="00B9321D">
        <w:trPr>
          <w:trHeight w:val="258"/>
        </w:trPr>
        <w:tc>
          <w:tcPr>
            <w:tcW w:w="1560" w:type="dxa"/>
            <w:tcBorders>
              <w:top w:val="double" w:sz="4" w:space="0" w:color="auto"/>
              <w:left w:val="single" w:sz="4" w:space="0" w:color="auto"/>
              <w:bottom w:val="single" w:sz="4" w:space="0" w:color="auto"/>
              <w:right w:val="single" w:sz="4" w:space="0" w:color="auto"/>
            </w:tcBorders>
          </w:tcPr>
          <w:p w:rsidR="00B9321D" w:rsidRPr="005457C4" w:rsidRDefault="00BA7A7F">
            <w:pPr>
              <w:pStyle w:val="TableTextBase"/>
              <w:rPr>
                <w:rFonts w:eastAsia="Calibri"/>
                <w:b/>
                <w:szCs w:val="16"/>
              </w:rPr>
            </w:pPr>
            <w:r w:rsidRPr="005457C4">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B9321D" w:rsidRPr="005457C4" w:rsidRDefault="00BA7A7F">
            <w:pPr>
              <w:pStyle w:val="TableTextBase"/>
              <w:rPr>
                <w:rFonts w:eastAsia="Calibri"/>
                <w:b/>
                <w:szCs w:val="16"/>
              </w:rPr>
            </w:pPr>
            <w:r w:rsidRPr="005457C4">
              <w:rPr>
                <w:rFonts w:eastAsia="Calibri"/>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B9321D" w:rsidRPr="005457C4" w:rsidRDefault="00BA7A7F">
            <w:pPr>
              <w:pStyle w:val="TableTextBase"/>
              <w:rPr>
                <w:rFonts w:eastAsia="Calibri"/>
                <w:b/>
                <w:szCs w:val="16"/>
              </w:rPr>
            </w:pPr>
            <w:r w:rsidRPr="005457C4">
              <w:rPr>
                <w:rFonts w:eastAsia="Calibri"/>
                <w:b/>
                <w:sz w:val="16"/>
                <w:szCs w:val="16"/>
              </w:rPr>
              <w:t>Expected Performance Results</w:t>
            </w:r>
          </w:p>
        </w:tc>
      </w:tr>
      <w:tr w:rsidR="00253274" w:rsidTr="00910513">
        <w:trPr>
          <w:trHeight w:val="642"/>
        </w:trPr>
        <w:tc>
          <w:tcPr>
            <w:tcW w:w="1560" w:type="dxa"/>
            <w:vMerge w:val="restart"/>
            <w:tcBorders>
              <w:top w:val="single" w:sz="4" w:space="0" w:color="auto"/>
              <w:left w:val="single" w:sz="4" w:space="0" w:color="auto"/>
              <w:right w:val="single" w:sz="4" w:space="0" w:color="auto"/>
            </w:tcBorders>
          </w:tcPr>
          <w:p w:rsidR="00B9321D" w:rsidRPr="005457C4" w:rsidRDefault="00BA7A7F">
            <w:pPr>
              <w:pStyle w:val="TableTextBase"/>
              <w:rPr>
                <w:rFonts w:eastAsia="Calibri"/>
                <w:szCs w:val="16"/>
              </w:rPr>
            </w:pPr>
            <w:r w:rsidRPr="005457C4">
              <w:rPr>
                <w:rFonts w:eastAsia="Calibri"/>
                <w:sz w:val="16"/>
                <w:szCs w:val="16"/>
              </w:rPr>
              <w:t xml:space="preserve">Current year </w:t>
            </w:r>
          </w:p>
          <w:p w:rsidR="00B9321D" w:rsidRPr="005457C4" w:rsidRDefault="00BA7A7F">
            <w:pPr>
              <w:pStyle w:val="TableTextBase"/>
              <w:rPr>
                <w:rFonts w:eastAsia="Calibri"/>
                <w:szCs w:val="16"/>
              </w:rPr>
            </w:pPr>
            <w:r w:rsidRPr="005457C4">
              <w:rPr>
                <w:rFonts w:eastAsia="Calibri"/>
                <w:sz w:val="16"/>
                <w:szCs w:val="16"/>
              </w:rPr>
              <w:t>2021-22</w:t>
            </w:r>
          </w:p>
        </w:tc>
        <w:tc>
          <w:tcPr>
            <w:tcW w:w="3118" w:type="dxa"/>
            <w:tcBorders>
              <w:top w:val="single" w:sz="4" w:space="0" w:color="auto"/>
              <w:left w:val="single" w:sz="4" w:space="0" w:color="auto"/>
              <w:bottom w:val="dotted" w:sz="4" w:space="0" w:color="auto"/>
              <w:right w:val="single" w:sz="4" w:space="0" w:color="auto"/>
            </w:tcBorders>
          </w:tcPr>
          <w:p w:rsidR="00B9321D" w:rsidRPr="005457C4" w:rsidRDefault="00BA7A7F">
            <w:pPr>
              <w:pStyle w:val="TableTextBase"/>
              <w:rPr>
                <w:rFonts w:eastAsia="Calibri"/>
                <w:szCs w:val="16"/>
              </w:rPr>
            </w:pPr>
            <w:r w:rsidRPr="005457C4">
              <w:rPr>
                <w:rFonts w:eastAsia="Calibri"/>
                <w:iCs/>
                <w:sz w:val="16"/>
                <w:szCs w:val="16"/>
              </w:rPr>
              <w:t>Customer Service Charter and legislative commitments are met.</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BA7A7F">
            <w:pPr>
              <w:pStyle w:val="TableTextBase"/>
              <w:rPr>
                <w:rFonts w:eastAsia="Calibri"/>
                <w:i/>
                <w:szCs w:val="16"/>
              </w:rPr>
            </w:pPr>
            <w:r w:rsidRPr="005457C4">
              <w:rPr>
                <w:rFonts w:eastAsia="Calibri"/>
                <w:sz w:val="16"/>
                <w:szCs w:val="16"/>
              </w:rPr>
              <w:t xml:space="preserve">IP Australia expects to meet </w:t>
            </w:r>
            <w:r w:rsidRPr="005457C4">
              <w:rPr>
                <w:rFonts w:eastAsia="Calibri"/>
                <w:iCs/>
                <w:sz w:val="16"/>
                <w:szCs w:val="16"/>
              </w:rPr>
              <w:t>seven</w:t>
            </w:r>
            <w:r w:rsidRPr="005457C4">
              <w:rPr>
                <w:rFonts w:eastAsia="Calibri"/>
                <w:sz w:val="16"/>
                <w:szCs w:val="16"/>
              </w:rPr>
              <w:t xml:space="preserve"> of nine key targets under IP Australia’s Customer Service Charter.</w:t>
            </w:r>
          </w:p>
        </w:tc>
      </w:tr>
      <w:tr w:rsidR="00253274" w:rsidTr="00910513">
        <w:trPr>
          <w:trHeight w:val="642"/>
        </w:trPr>
        <w:tc>
          <w:tcPr>
            <w:tcW w:w="1560" w:type="dxa"/>
            <w:vMerge/>
            <w:tcBorders>
              <w:left w:val="single" w:sz="4" w:space="0" w:color="auto"/>
              <w:bottom w:val="dotted" w:sz="4" w:space="0" w:color="auto"/>
              <w:right w:val="single" w:sz="4" w:space="0" w:color="auto"/>
            </w:tcBorders>
          </w:tcPr>
          <w:p w:rsidR="00B9321D" w:rsidRPr="005457C4" w:rsidRDefault="00B9321D">
            <w:pPr>
              <w:pStyle w:val="TableTextBase"/>
              <w:rPr>
                <w:rFonts w:eastAsia="Calibri"/>
                <w:szCs w:val="16"/>
              </w:rPr>
            </w:pPr>
          </w:p>
        </w:tc>
        <w:tc>
          <w:tcPr>
            <w:tcW w:w="3118" w:type="dxa"/>
            <w:tcBorders>
              <w:top w:val="single" w:sz="4" w:space="0" w:color="auto"/>
              <w:left w:val="single" w:sz="4" w:space="0" w:color="auto"/>
              <w:bottom w:val="dotted" w:sz="4" w:space="0" w:color="auto"/>
              <w:right w:val="single" w:sz="4" w:space="0" w:color="auto"/>
            </w:tcBorders>
          </w:tcPr>
          <w:p w:rsidR="00B9321D" w:rsidRPr="005457C4" w:rsidRDefault="00BA7A7F">
            <w:pPr>
              <w:pStyle w:val="TableTextBase"/>
              <w:rPr>
                <w:rFonts w:eastAsia="Calibri"/>
                <w:i/>
                <w:szCs w:val="16"/>
              </w:rPr>
            </w:pPr>
            <w:r w:rsidRPr="005457C4">
              <w:rPr>
                <w:rFonts w:eastAsia="Calibri"/>
                <w:iCs/>
                <w:sz w:val="16"/>
                <w:szCs w:val="16"/>
              </w:rPr>
              <w:t>Process trans-Tasman attorney registration applications within 15 working days from the date that the application complies with registration requirements.</w:t>
            </w:r>
          </w:p>
        </w:tc>
        <w:tc>
          <w:tcPr>
            <w:tcW w:w="3118" w:type="dxa"/>
            <w:tcBorders>
              <w:top w:val="single" w:sz="4" w:space="0" w:color="auto"/>
              <w:left w:val="single" w:sz="4" w:space="0" w:color="auto"/>
              <w:bottom w:val="dotted" w:sz="4" w:space="0" w:color="auto"/>
              <w:right w:val="single" w:sz="4" w:space="0" w:color="auto"/>
            </w:tcBorders>
          </w:tcPr>
          <w:p w:rsidR="00B9321D" w:rsidRPr="005457C4" w:rsidRDefault="00BA7A7F" w:rsidP="005457C4">
            <w:pPr>
              <w:pStyle w:val="TableTextBase"/>
              <w:rPr>
                <w:rFonts w:eastAsia="Calibri"/>
                <w:i/>
                <w:szCs w:val="16"/>
              </w:rPr>
            </w:pPr>
            <w:r w:rsidRPr="005457C4">
              <w:rPr>
                <w:rFonts w:eastAsia="Calibri"/>
                <w:iCs/>
                <w:sz w:val="16"/>
                <w:szCs w:val="16"/>
              </w:rPr>
              <w:t>IP A</w:t>
            </w:r>
            <w:r w:rsidR="005457C4">
              <w:rPr>
                <w:rFonts w:eastAsia="Calibri"/>
                <w:iCs/>
                <w:sz w:val="16"/>
                <w:szCs w:val="16"/>
              </w:rPr>
              <w:t xml:space="preserve">ustralia expects to achieve 100% </w:t>
            </w:r>
            <w:r w:rsidRPr="005457C4">
              <w:rPr>
                <w:rFonts w:eastAsia="Calibri"/>
                <w:iCs/>
                <w:sz w:val="16"/>
                <w:szCs w:val="16"/>
              </w:rPr>
              <w:t>of applications processed within the required timeframe.</w:t>
            </w:r>
          </w:p>
        </w:tc>
      </w:tr>
      <w:tr w:rsidR="00253274" w:rsidTr="00B9321D">
        <w:trPr>
          <w:trHeight w:val="100"/>
        </w:trPr>
        <w:tc>
          <w:tcPr>
            <w:tcW w:w="1560" w:type="dxa"/>
            <w:tcBorders>
              <w:top w:val="single" w:sz="4" w:space="0" w:color="auto"/>
              <w:left w:val="single" w:sz="4" w:space="0" w:color="auto"/>
              <w:bottom w:val="dotted" w:sz="4" w:space="0" w:color="auto"/>
              <w:right w:val="single" w:sz="4" w:space="0" w:color="auto"/>
            </w:tcBorders>
          </w:tcPr>
          <w:p w:rsidR="00B9321D" w:rsidRPr="005457C4" w:rsidRDefault="00BA7A7F">
            <w:pPr>
              <w:pStyle w:val="TableTextBase"/>
              <w:rPr>
                <w:rFonts w:eastAsia="Calibri"/>
                <w:b/>
                <w:szCs w:val="16"/>
              </w:rPr>
            </w:pPr>
            <w:r w:rsidRPr="005457C4">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BA7A7F">
            <w:pPr>
              <w:pStyle w:val="TableTextBase"/>
              <w:rPr>
                <w:rFonts w:eastAsia="Calibri"/>
                <w:b/>
                <w:szCs w:val="16"/>
              </w:rPr>
            </w:pPr>
            <w:r w:rsidRPr="005457C4">
              <w:rPr>
                <w:rFonts w:eastAsia="Calibri"/>
                <w:b/>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BA7A7F">
            <w:pPr>
              <w:pStyle w:val="TableTextBase"/>
              <w:rPr>
                <w:rFonts w:eastAsia="Calibri" w:cs="Times New Roman"/>
                <w:b/>
                <w:szCs w:val="16"/>
              </w:rPr>
            </w:pPr>
            <w:r w:rsidRPr="005457C4">
              <w:rPr>
                <w:rFonts w:eastAsia="Calibri"/>
                <w:b/>
                <w:sz w:val="16"/>
                <w:szCs w:val="16"/>
              </w:rPr>
              <w:t>Planned Performance Results</w:t>
            </w:r>
          </w:p>
        </w:tc>
      </w:tr>
      <w:tr w:rsidR="00253274" w:rsidTr="005457C4">
        <w:trPr>
          <w:trHeight w:val="100"/>
        </w:trPr>
        <w:tc>
          <w:tcPr>
            <w:tcW w:w="1560" w:type="dxa"/>
            <w:tcBorders>
              <w:top w:val="single" w:sz="4" w:space="0" w:color="auto"/>
              <w:left w:val="single" w:sz="4" w:space="0" w:color="auto"/>
              <w:bottom w:val="single" w:sz="4" w:space="0" w:color="auto"/>
              <w:right w:val="single" w:sz="4" w:space="0" w:color="auto"/>
            </w:tcBorders>
            <w:hideMark/>
          </w:tcPr>
          <w:p w:rsidR="00B9321D" w:rsidRPr="005457C4" w:rsidRDefault="00BA7A7F">
            <w:pPr>
              <w:pStyle w:val="TableTextBase"/>
              <w:rPr>
                <w:rFonts w:eastAsia="Calibri"/>
                <w:szCs w:val="20"/>
              </w:rPr>
            </w:pPr>
            <w:r w:rsidRPr="005457C4">
              <w:rPr>
                <w:rFonts w:eastAsia="Calibri"/>
                <w:sz w:val="16"/>
              </w:rPr>
              <w:t>Budget Year     2022-23</w:t>
            </w:r>
          </w:p>
        </w:tc>
        <w:tc>
          <w:tcPr>
            <w:tcW w:w="3118" w:type="dxa"/>
            <w:tcBorders>
              <w:top w:val="single" w:sz="4" w:space="0" w:color="auto"/>
              <w:left w:val="single" w:sz="4" w:space="0" w:color="auto"/>
              <w:bottom w:val="single" w:sz="4" w:space="0" w:color="auto"/>
              <w:right w:val="single" w:sz="4" w:space="0" w:color="auto"/>
            </w:tcBorders>
            <w:hideMark/>
          </w:tcPr>
          <w:p w:rsidR="00B9321D" w:rsidRPr="005457C4" w:rsidRDefault="00BA7A7F">
            <w:pPr>
              <w:pStyle w:val="TableTextBase"/>
              <w:rPr>
                <w:rFonts w:eastAsia="Calibri"/>
                <w:i/>
              </w:rPr>
            </w:pPr>
            <w:r w:rsidRPr="005457C4">
              <w:rPr>
                <w:rFonts w:eastAsia="Calibri"/>
                <w:sz w:val="16"/>
                <w:szCs w:val="16"/>
              </w:rPr>
              <w:t>IP Australia’s timeliness, quality, satisfaction, and availability commitments are met.</w:t>
            </w:r>
          </w:p>
        </w:tc>
        <w:tc>
          <w:tcPr>
            <w:tcW w:w="3118" w:type="dxa"/>
            <w:tcBorders>
              <w:top w:val="single" w:sz="4" w:space="0" w:color="auto"/>
              <w:left w:val="single" w:sz="4" w:space="0" w:color="auto"/>
              <w:bottom w:val="single" w:sz="4" w:space="0" w:color="auto"/>
              <w:right w:val="single" w:sz="4" w:space="0" w:color="auto"/>
            </w:tcBorders>
            <w:hideMark/>
          </w:tcPr>
          <w:p w:rsidR="00B9321D" w:rsidRPr="005457C4" w:rsidRDefault="00BA7A7F" w:rsidP="00B9321D">
            <w:pPr>
              <w:pStyle w:val="TableTextBase"/>
              <w:rPr>
                <w:rFonts w:eastAsia="Calibri"/>
                <w:szCs w:val="16"/>
              </w:rPr>
            </w:pPr>
            <w:r w:rsidRPr="005457C4">
              <w:rPr>
                <w:rFonts w:eastAsia="Calibri"/>
                <w:sz w:val="16"/>
                <w:szCs w:val="16"/>
              </w:rPr>
              <w:t>Meet the key organisational performance metrics for timeliness, quality, satisfaction and availability published in IP Australia’s 2022–23 Corporate Plan</w:t>
            </w:r>
            <w:r w:rsidRPr="005457C4">
              <w:rPr>
                <w:rFonts w:eastAsia="Calibri"/>
                <w:iCs/>
                <w:sz w:val="16"/>
                <w:szCs w:val="16"/>
              </w:rPr>
              <w:t>.</w:t>
            </w:r>
            <w:r w:rsidRPr="005457C4">
              <w:rPr>
                <w:rFonts w:eastAsia="Calibri"/>
                <w:sz w:val="16"/>
                <w:szCs w:val="16"/>
              </w:rPr>
              <w:t xml:space="preserve"> </w:t>
            </w:r>
          </w:p>
          <w:p w:rsidR="00B9321D" w:rsidRPr="005457C4" w:rsidRDefault="00B9321D">
            <w:pPr>
              <w:pStyle w:val="TableTextBase"/>
              <w:rPr>
                <w:rFonts w:eastAsia="Calibri"/>
                <w:i/>
              </w:rPr>
            </w:pPr>
          </w:p>
        </w:tc>
      </w:tr>
      <w:tr w:rsidR="00253274" w:rsidTr="005457C4">
        <w:trPr>
          <w:trHeight w:val="491"/>
        </w:trPr>
        <w:tc>
          <w:tcPr>
            <w:tcW w:w="1560" w:type="dxa"/>
            <w:tcBorders>
              <w:top w:val="single" w:sz="4" w:space="0" w:color="auto"/>
              <w:left w:val="single" w:sz="4" w:space="0" w:color="auto"/>
              <w:bottom w:val="dotted" w:sz="4" w:space="0" w:color="auto"/>
              <w:right w:val="single" w:sz="4" w:space="0" w:color="auto"/>
            </w:tcBorders>
            <w:hideMark/>
          </w:tcPr>
          <w:p w:rsidR="00B9321D" w:rsidRPr="005457C4" w:rsidRDefault="00BA7A7F">
            <w:pPr>
              <w:pStyle w:val="TableTextBase"/>
              <w:rPr>
                <w:rFonts w:eastAsia="Calibri" w:cs="Times New Roman"/>
              </w:rPr>
            </w:pPr>
            <w:r w:rsidRPr="005457C4">
              <w:rPr>
                <w:rFonts w:eastAsia="Calibri"/>
                <w:sz w:val="16"/>
              </w:rPr>
              <w:t xml:space="preserve">Forward Estimates </w:t>
            </w:r>
          </w:p>
          <w:p w:rsidR="00B9321D" w:rsidRPr="005457C4" w:rsidRDefault="00BA7A7F">
            <w:pPr>
              <w:pStyle w:val="TableTextBase"/>
              <w:rPr>
                <w:rFonts w:eastAsia="Calibri"/>
                <w:b/>
              </w:rPr>
            </w:pPr>
            <w:r w:rsidRPr="005457C4">
              <w:rPr>
                <w:rFonts w:eastAsia="Calibri"/>
                <w:sz w:val="16"/>
              </w:rPr>
              <w:t>2023-26</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BA7A7F">
            <w:pPr>
              <w:pStyle w:val="TableTextBase"/>
              <w:rPr>
                <w:rFonts w:eastAsia="Calibri" w:cs="Times New Roman"/>
                <w:b/>
              </w:rPr>
            </w:pPr>
            <w:r w:rsidRPr="005457C4">
              <w:rPr>
                <w:rFonts w:eastAsia="Calibri"/>
                <w:iCs/>
                <w:sz w:val="16"/>
                <w:szCs w:val="16"/>
              </w:rPr>
              <w:t>As per 2022-23</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BA7A7F">
            <w:pPr>
              <w:pStyle w:val="TableTextBase"/>
              <w:rPr>
                <w:rFonts w:eastAsia="Calibri"/>
                <w:b/>
              </w:rPr>
            </w:pPr>
            <w:r w:rsidRPr="005457C4">
              <w:rPr>
                <w:rFonts w:eastAsia="Calibri"/>
                <w:iCs/>
                <w:sz w:val="16"/>
                <w:szCs w:val="16"/>
              </w:rPr>
              <w:t>As per 2022-23</w:t>
            </w:r>
          </w:p>
        </w:tc>
      </w:tr>
      <w:tr w:rsidR="00253274" w:rsidTr="00B9321D">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B9321D" w:rsidRPr="005457C4" w:rsidRDefault="00BA7A7F" w:rsidP="004A2870">
            <w:pPr>
              <w:pStyle w:val="TableTextBase"/>
              <w:rPr>
                <w:rFonts w:eastAsia="Cambria"/>
                <w:bCs/>
                <w:iCs/>
                <w:spacing w:val="-6"/>
                <w:szCs w:val="16"/>
                <w:lang w:val="x-none"/>
              </w:rPr>
            </w:pPr>
            <w:r w:rsidRPr="004A2870">
              <w:rPr>
                <w:rFonts w:eastAsia="Cambria"/>
                <w:bCs/>
                <w:iCs/>
                <w:spacing w:val="-6"/>
                <w:sz w:val="16"/>
                <w:szCs w:val="16"/>
                <w:lang w:val="en-AU"/>
              </w:rPr>
              <w:t xml:space="preserve">Material changes to Program </w:t>
            </w:r>
            <w:r>
              <w:rPr>
                <w:rFonts w:eastAsia="Cambria"/>
                <w:bCs/>
                <w:iCs/>
                <w:spacing w:val="-6"/>
                <w:sz w:val="16"/>
                <w:szCs w:val="16"/>
                <w:lang w:val="en-AU"/>
              </w:rPr>
              <w:t>1</w:t>
            </w:r>
            <w:r w:rsidRPr="004A2870">
              <w:rPr>
                <w:rFonts w:eastAsia="Cambria"/>
                <w:bCs/>
                <w:iCs/>
                <w:spacing w:val="-6"/>
                <w:sz w:val="16"/>
                <w:szCs w:val="16"/>
                <w:lang w:val="en-AU"/>
              </w:rPr>
              <w:t xml:space="preserve"> resulting from 2022-23 Budget Measures: Nil</w:t>
            </w:r>
          </w:p>
        </w:tc>
      </w:tr>
      <w:tr w:rsidR="00253274" w:rsidTr="00B9321D">
        <w:trPr>
          <w:trHeight w:val="291"/>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B9321D" w:rsidRPr="005457C4" w:rsidRDefault="00BA7A7F" w:rsidP="00B9321D">
            <w:pPr>
              <w:tabs>
                <w:tab w:val="left" w:pos="709"/>
              </w:tabs>
              <w:spacing w:before="60" w:after="60" w:line="240" w:lineRule="auto"/>
              <w:jc w:val="left"/>
              <w:rPr>
                <w:rFonts w:ascii="Arial" w:hAnsi="Arial" w:cs="Arial"/>
                <w:b/>
                <w:sz w:val="18"/>
                <w:szCs w:val="18"/>
                <w:bdr w:val="none" w:sz="0" w:space="0" w:color="auto" w:frame="1"/>
                <w:lang w:val="en-US" w:eastAsia="en-US"/>
              </w:rPr>
            </w:pPr>
            <w:r w:rsidRPr="005457C4">
              <w:rPr>
                <w:rFonts w:ascii="Arial" w:hAnsi="Arial" w:cs="Arial"/>
                <w:b/>
                <w:sz w:val="18"/>
                <w:szCs w:val="18"/>
                <w:bdr w:val="none" w:sz="0" w:space="0" w:color="auto" w:frame="1"/>
                <w:lang w:val="en-US" w:eastAsia="en-US"/>
              </w:rPr>
              <w:t>Program 2 – Education and Awareness</w:t>
            </w:r>
          </w:p>
          <w:p w:rsidR="00B9321D" w:rsidRPr="005457C4" w:rsidRDefault="00BA7A7F" w:rsidP="00B9321D">
            <w:pPr>
              <w:pStyle w:val="TableTextBase"/>
              <w:rPr>
                <w:rFonts w:eastAsia="Calibri"/>
                <w:szCs w:val="16"/>
              </w:rPr>
            </w:pPr>
            <w:r w:rsidRPr="005457C4">
              <w:rPr>
                <w:rFonts w:eastAsia="Arial"/>
                <w:sz w:val="16"/>
                <w:szCs w:val="16"/>
              </w:rPr>
              <w:t>IP Australia will facilitate understanding among its stakeholders of the value of IP, and access to the domestic and international intellectual property system in line with Australia’s interests.</w:t>
            </w:r>
          </w:p>
        </w:tc>
      </w:tr>
      <w:tr w:rsidR="00253274" w:rsidTr="00B9321D">
        <w:trPr>
          <w:trHeight w:val="694"/>
        </w:trPr>
        <w:tc>
          <w:tcPr>
            <w:tcW w:w="1560" w:type="dxa"/>
            <w:tcBorders>
              <w:top w:val="single" w:sz="4" w:space="0" w:color="auto"/>
              <w:left w:val="single" w:sz="4" w:space="0" w:color="auto"/>
              <w:bottom w:val="double" w:sz="4" w:space="0" w:color="auto"/>
              <w:right w:val="single" w:sz="4" w:space="0" w:color="auto"/>
            </w:tcBorders>
            <w:hideMark/>
          </w:tcPr>
          <w:p w:rsidR="00B9321D" w:rsidRPr="005457C4" w:rsidRDefault="00BA7A7F" w:rsidP="004A2870">
            <w:pPr>
              <w:tabs>
                <w:tab w:val="left" w:pos="709"/>
              </w:tabs>
              <w:spacing w:before="60"/>
              <w:rPr>
                <w:rFonts w:ascii="Arial" w:hAnsi="Arial" w:cs="Arial"/>
                <w:b/>
                <w:sz w:val="16"/>
                <w:szCs w:val="16"/>
              </w:rPr>
            </w:pPr>
            <w:r w:rsidRPr="005457C4">
              <w:rPr>
                <w:rFonts w:ascii="Arial" w:hAnsi="Arial" w:cs="Arial"/>
                <w:b/>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rsidR="00B9321D" w:rsidRPr="005457C4" w:rsidRDefault="00BA7A7F" w:rsidP="00B9321D">
            <w:pPr>
              <w:pStyle w:val="ListParagraph"/>
              <w:numPr>
                <w:ilvl w:val="0"/>
                <w:numId w:val="134"/>
              </w:numPr>
              <w:tabs>
                <w:tab w:val="left" w:pos="709"/>
              </w:tabs>
              <w:spacing w:before="60" w:after="60" w:line="240" w:lineRule="auto"/>
              <w:ind w:left="357" w:hanging="357"/>
              <w:jc w:val="left"/>
              <w:rPr>
                <w:rFonts w:eastAsia="Times New Roman" w:cs="Arial"/>
                <w:i/>
                <w:sz w:val="16"/>
                <w:szCs w:val="16"/>
                <w:lang w:val="en-AU"/>
              </w:rPr>
            </w:pPr>
            <w:r w:rsidRPr="005457C4">
              <w:rPr>
                <w:rFonts w:ascii="Arial" w:eastAsia="Times New Roman" w:hAnsi="Arial" w:cs="Arial"/>
                <w:sz w:val="16"/>
                <w:szCs w:val="16"/>
                <w:bdr w:val="none" w:sz="0" w:space="0" w:color="auto" w:frame="1"/>
                <w:lang w:val="en-AU"/>
              </w:rPr>
              <w:t xml:space="preserve">Deliver proactive outreach programs that inform and educate </w:t>
            </w:r>
            <w:r w:rsidRPr="005457C4">
              <w:rPr>
                <w:rFonts w:ascii="Arial" w:eastAsia="Times New Roman" w:hAnsi="Arial" w:cs="Arial"/>
                <w:sz w:val="16"/>
                <w:szCs w:val="16"/>
                <w:lang w:val="en-AU"/>
              </w:rPr>
              <w:t>Australian businesses, with emphasis on small and medium enterprises</w:t>
            </w:r>
            <w:r w:rsidRPr="005457C4">
              <w:rPr>
                <w:rFonts w:ascii="Arial" w:eastAsia="Times New Roman" w:hAnsi="Arial" w:cs="Arial"/>
                <w:sz w:val="16"/>
                <w:szCs w:val="16"/>
                <w:bdr w:val="none" w:sz="0" w:space="0" w:color="auto" w:frame="1"/>
                <w:lang w:val="en-AU"/>
              </w:rPr>
              <w:t>.</w:t>
            </w:r>
          </w:p>
          <w:p w:rsidR="00B9321D" w:rsidRPr="005457C4" w:rsidRDefault="00BA7A7F" w:rsidP="00B9321D">
            <w:pPr>
              <w:pStyle w:val="ListParagraph"/>
              <w:numPr>
                <w:ilvl w:val="0"/>
                <w:numId w:val="134"/>
              </w:numPr>
              <w:tabs>
                <w:tab w:val="left" w:pos="709"/>
              </w:tabs>
              <w:spacing w:before="60" w:after="60" w:line="240" w:lineRule="auto"/>
              <w:ind w:left="357" w:hanging="357"/>
              <w:jc w:val="left"/>
              <w:rPr>
                <w:rFonts w:eastAsia="Times New Roman" w:cs="Arial"/>
                <w:i/>
                <w:sz w:val="16"/>
                <w:szCs w:val="16"/>
                <w:lang w:val="en-AU"/>
              </w:rPr>
            </w:pPr>
            <w:r w:rsidRPr="005457C4">
              <w:rPr>
                <w:rFonts w:ascii="Arial" w:eastAsia="Times New Roman" w:hAnsi="Arial" w:cs="Arial"/>
                <w:sz w:val="16"/>
                <w:szCs w:val="16"/>
                <w:lang w:val="en-AU"/>
              </w:rPr>
              <w:t>Build and leverage partnerships with government, industry partners and universities to promote the IP system and maximise impact.</w:t>
            </w:r>
          </w:p>
        </w:tc>
      </w:tr>
    </w:tbl>
    <w:p w:rsidR="00745932" w:rsidRDefault="00BA7A7F">
      <w: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53274" w:rsidTr="00B9321D">
        <w:trPr>
          <w:trHeight w:val="258"/>
        </w:trPr>
        <w:tc>
          <w:tcPr>
            <w:tcW w:w="1560" w:type="dxa"/>
            <w:tcBorders>
              <w:top w:val="double" w:sz="4" w:space="0" w:color="auto"/>
              <w:left w:val="single" w:sz="4" w:space="0" w:color="auto"/>
              <w:bottom w:val="single" w:sz="4" w:space="0" w:color="auto"/>
              <w:right w:val="single" w:sz="4" w:space="0" w:color="auto"/>
            </w:tcBorders>
          </w:tcPr>
          <w:p w:rsidR="00B9321D" w:rsidRPr="005457C4" w:rsidRDefault="00BA7A7F" w:rsidP="00AC4C68">
            <w:pPr>
              <w:pStyle w:val="TableTextBase"/>
              <w:rPr>
                <w:rFonts w:eastAsia="Calibri"/>
                <w:b/>
                <w:szCs w:val="16"/>
              </w:rPr>
            </w:pPr>
            <w:r w:rsidRPr="005457C4">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B9321D" w:rsidRPr="005457C4" w:rsidRDefault="00BA7A7F" w:rsidP="00AC4C68">
            <w:pPr>
              <w:pStyle w:val="TableTextBase"/>
              <w:rPr>
                <w:rFonts w:eastAsia="Calibri"/>
                <w:b/>
                <w:szCs w:val="16"/>
              </w:rPr>
            </w:pPr>
            <w:r w:rsidRPr="005457C4">
              <w:rPr>
                <w:rFonts w:eastAsia="Calibri"/>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B9321D" w:rsidRPr="005457C4" w:rsidRDefault="00BA7A7F" w:rsidP="00AC4C68">
            <w:pPr>
              <w:pStyle w:val="TableTextBase"/>
              <w:rPr>
                <w:rFonts w:eastAsia="Calibri"/>
                <w:b/>
                <w:szCs w:val="16"/>
              </w:rPr>
            </w:pPr>
            <w:r w:rsidRPr="005457C4">
              <w:rPr>
                <w:rFonts w:eastAsia="Calibri"/>
                <w:b/>
                <w:sz w:val="16"/>
                <w:szCs w:val="16"/>
              </w:rPr>
              <w:t>Expected Performance Results</w:t>
            </w:r>
          </w:p>
        </w:tc>
      </w:tr>
      <w:tr w:rsidR="00253274" w:rsidTr="00B9321D">
        <w:trPr>
          <w:trHeight w:val="642"/>
        </w:trPr>
        <w:tc>
          <w:tcPr>
            <w:tcW w:w="1560" w:type="dxa"/>
            <w:tcBorders>
              <w:top w:val="single" w:sz="4" w:space="0" w:color="auto"/>
              <w:left w:val="single" w:sz="4" w:space="0" w:color="auto"/>
              <w:bottom w:val="dotted" w:sz="4" w:space="0" w:color="auto"/>
              <w:right w:val="single" w:sz="4" w:space="0" w:color="auto"/>
            </w:tcBorders>
          </w:tcPr>
          <w:p w:rsidR="00B9321D" w:rsidRPr="005457C4" w:rsidRDefault="00BA7A7F" w:rsidP="00AC4C68">
            <w:pPr>
              <w:pStyle w:val="TableTextBase"/>
              <w:rPr>
                <w:rFonts w:eastAsia="Calibri"/>
                <w:szCs w:val="16"/>
              </w:rPr>
            </w:pPr>
            <w:r w:rsidRPr="005457C4">
              <w:rPr>
                <w:rFonts w:eastAsia="Calibri"/>
                <w:sz w:val="16"/>
                <w:szCs w:val="16"/>
              </w:rPr>
              <w:t xml:space="preserve">Current year </w:t>
            </w:r>
          </w:p>
          <w:p w:rsidR="00B9321D" w:rsidRPr="005457C4" w:rsidRDefault="00BA7A7F" w:rsidP="00AC4C68">
            <w:pPr>
              <w:pStyle w:val="TableTextBase"/>
              <w:rPr>
                <w:rFonts w:eastAsia="Calibri"/>
                <w:szCs w:val="16"/>
              </w:rPr>
            </w:pPr>
            <w:r w:rsidRPr="005457C4">
              <w:rPr>
                <w:rFonts w:eastAsia="Calibri"/>
                <w:sz w:val="16"/>
                <w:szCs w:val="16"/>
              </w:rPr>
              <w:t>2021-22</w:t>
            </w:r>
          </w:p>
        </w:tc>
        <w:tc>
          <w:tcPr>
            <w:tcW w:w="3118" w:type="dxa"/>
            <w:tcBorders>
              <w:top w:val="single" w:sz="4" w:space="0" w:color="auto"/>
              <w:left w:val="single" w:sz="4" w:space="0" w:color="auto"/>
              <w:bottom w:val="dotted" w:sz="4" w:space="0" w:color="auto"/>
              <w:right w:val="single" w:sz="4" w:space="0" w:color="auto"/>
            </w:tcBorders>
          </w:tcPr>
          <w:p w:rsidR="005457C4" w:rsidRPr="005457C4" w:rsidRDefault="00BA7A7F" w:rsidP="005457C4">
            <w:pPr>
              <w:pStyle w:val="TableTextBase"/>
              <w:rPr>
                <w:rFonts w:eastAsia="Calibri"/>
                <w:szCs w:val="16"/>
              </w:rPr>
            </w:pPr>
            <w:r w:rsidRPr="005457C4">
              <w:rPr>
                <w:rFonts w:eastAsia="Calibri"/>
                <w:sz w:val="16"/>
                <w:szCs w:val="16"/>
              </w:rPr>
              <w:t>Improved awareness of the IP rights system measured by:</w:t>
            </w:r>
          </w:p>
          <w:p w:rsidR="005457C4" w:rsidRPr="005457C4" w:rsidRDefault="00BA7A7F" w:rsidP="005457C4">
            <w:pPr>
              <w:pStyle w:val="TableTextBase"/>
              <w:numPr>
                <w:ilvl w:val="0"/>
                <w:numId w:val="135"/>
              </w:numPr>
              <w:ind w:left="360"/>
              <w:rPr>
                <w:rFonts w:eastAsia="Calibri"/>
                <w:i/>
                <w:szCs w:val="16"/>
              </w:rPr>
            </w:pPr>
            <w:r w:rsidRPr="005457C4">
              <w:rPr>
                <w:rFonts w:eastAsia="Calibri"/>
                <w:sz w:val="16"/>
                <w:szCs w:val="16"/>
              </w:rPr>
              <w:t>Effective delivery of public education and awareness programs, which promote the importance of IP and provide Australians with the tools they require to make informed decisions; and</w:t>
            </w:r>
          </w:p>
          <w:p w:rsidR="00B9321D" w:rsidRPr="005457C4" w:rsidRDefault="00BA7A7F" w:rsidP="00C1765B">
            <w:pPr>
              <w:pStyle w:val="TableTextBase"/>
              <w:numPr>
                <w:ilvl w:val="0"/>
                <w:numId w:val="135"/>
              </w:numPr>
              <w:ind w:left="360"/>
              <w:rPr>
                <w:rFonts w:eastAsia="Calibri"/>
                <w:i/>
                <w:szCs w:val="16"/>
              </w:rPr>
            </w:pPr>
            <w:r w:rsidRPr="005457C4">
              <w:rPr>
                <w:rFonts w:eastAsia="Calibri"/>
                <w:sz w:val="16"/>
                <w:szCs w:val="16"/>
              </w:rPr>
              <w:t>Increase the level of customers</w:t>
            </w:r>
            <w:r w:rsidR="00C1765B">
              <w:rPr>
                <w:rFonts w:eastAsia="Calibri"/>
                <w:sz w:val="16"/>
                <w:szCs w:val="16"/>
              </w:rPr>
              <w:t>’</w:t>
            </w:r>
            <w:r w:rsidRPr="005457C4">
              <w:rPr>
                <w:rFonts w:eastAsia="Calibri"/>
                <w:sz w:val="16"/>
                <w:szCs w:val="16"/>
              </w:rPr>
              <w:t xml:space="preserve"> knowledge of Australia’s IP system on the 2020-21 baseline (56</w:t>
            </w:r>
            <w:r>
              <w:rPr>
                <w:rFonts w:eastAsia="Calibri"/>
                <w:sz w:val="16"/>
                <w:szCs w:val="16"/>
              </w:rPr>
              <w:t>%</w:t>
            </w:r>
            <w:r w:rsidRPr="005457C4">
              <w:rPr>
                <w:rFonts w:eastAsia="Calibri"/>
                <w:sz w:val="16"/>
                <w:szCs w:val="16"/>
              </w:rPr>
              <w:t>).</w:t>
            </w:r>
          </w:p>
        </w:tc>
        <w:tc>
          <w:tcPr>
            <w:tcW w:w="3118" w:type="dxa"/>
            <w:tcBorders>
              <w:top w:val="single" w:sz="4" w:space="0" w:color="auto"/>
              <w:left w:val="single" w:sz="4" w:space="0" w:color="auto"/>
              <w:bottom w:val="dotted" w:sz="4" w:space="0" w:color="auto"/>
              <w:right w:val="single" w:sz="4" w:space="0" w:color="auto"/>
            </w:tcBorders>
            <w:hideMark/>
          </w:tcPr>
          <w:p w:rsidR="005457C4" w:rsidRPr="005457C4" w:rsidRDefault="00BA7A7F" w:rsidP="005457C4">
            <w:pPr>
              <w:pStyle w:val="TableTextBase"/>
              <w:numPr>
                <w:ilvl w:val="0"/>
                <w:numId w:val="136"/>
              </w:numPr>
              <w:ind w:left="284" w:hanging="284"/>
              <w:rPr>
                <w:rFonts w:eastAsia="Calibri"/>
                <w:szCs w:val="16"/>
              </w:rPr>
            </w:pPr>
            <w:r w:rsidRPr="005457C4">
              <w:rPr>
                <w:rFonts w:eastAsia="Calibri"/>
                <w:sz w:val="16"/>
                <w:szCs w:val="16"/>
              </w:rPr>
              <w:t xml:space="preserve">IP Australia expects to achieve this measure as demonstrated by an upward trend of engagement across social media, an increase in newsletter subscribers, an increase in access to the IP Australia website education and resources page; and increased appetite for engagement and education sessions with identified partners across government, peak industry bodies and the university sector. </w:t>
            </w:r>
          </w:p>
          <w:p w:rsidR="00B9321D" w:rsidRPr="005457C4" w:rsidRDefault="00BA7A7F" w:rsidP="005457C4">
            <w:pPr>
              <w:pStyle w:val="TableTextBase"/>
              <w:numPr>
                <w:ilvl w:val="0"/>
                <w:numId w:val="136"/>
              </w:numPr>
              <w:ind w:left="284" w:hanging="284"/>
              <w:rPr>
                <w:rFonts w:eastAsia="Calibri"/>
                <w:i/>
                <w:szCs w:val="16"/>
              </w:rPr>
            </w:pPr>
            <w:r w:rsidRPr="005457C4">
              <w:rPr>
                <w:rFonts w:eastAsia="Calibri"/>
                <w:sz w:val="16"/>
                <w:szCs w:val="16"/>
              </w:rPr>
              <w:t>IP Australia expects to report a 4</w:t>
            </w:r>
            <w:r>
              <w:rPr>
                <w:rFonts w:eastAsia="Calibri"/>
                <w:sz w:val="16"/>
                <w:szCs w:val="16"/>
              </w:rPr>
              <w:t>%</w:t>
            </w:r>
            <w:r w:rsidRPr="005457C4">
              <w:rPr>
                <w:rFonts w:eastAsia="Calibri"/>
                <w:sz w:val="16"/>
                <w:szCs w:val="16"/>
              </w:rPr>
              <w:t xml:space="preserve"> increase to the percentage of customers who respond that their level of knowledge of the IP system is either adequate or extensive</w:t>
            </w:r>
            <w:r>
              <w:rPr>
                <w:rFonts w:eastAsia="Calibri"/>
                <w:sz w:val="16"/>
                <w:szCs w:val="16"/>
              </w:rPr>
              <w:t xml:space="preserve"> from the 2020-21 baseline of 5</w:t>
            </w:r>
            <w:r w:rsidR="000E2A68">
              <w:rPr>
                <w:rFonts w:eastAsia="Calibri"/>
                <w:sz w:val="16"/>
                <w:szCs w:val="16"/>
              </w:rPr>
              <w:t>6</w:t>
            </w:r>
            <w:r>
              <w:rPr>
                <w:rFonts w:eastAsia="Calibri"/>
                <w:sz w:val="16"/>
                <w:szCs w:val="16"/>
              </w:rPr>
              <w:t>%</w:t>
            </w:r>
            <w:r w:rsidRPr="005457C4">
              <w:rPr>
                <w:rFonts w:eastAsia="Calibri"/>
                <w:sz w:val="16"/>
                <w:szCs w:val="16"/>
              </w:rPr>
              <w:t xml:space="preserve">.    </w:t>
            </w:r>
          </w:p>
        </w:tc>
      </w:tr>
      <w:tr w:rsidR="00253274" w:rsidTr="00B9321D">
        <w:trPr>
          <w:trHeight w:val="100"/>
        </w:trPr>
        <w:tc>
          <w:tcPr>
            <w:tcW w:w="1560" w:type="dxa"/>
            <w:tcBorders>
              <w:top w:val="single" w:sz="4" w:space="0" w:color="auto"/>
              <w:left w:val="single" w:sz="4" w:space="0" w:color="auto"/>
              <w:bottom w:val="dotted" w:sz="4" w:space="0" w:color="auto"/>
              <w:right w:val="single" w:sz="4" w:space="0" w:color="auto"/>
            </w:tcBorders>
          </w:tcPr>
          <w:p w:rsidR="00B9321D" w:rsidRPr="005457C4" w:rsidRDefault="00BA7A7F" w:rsidP="00AC4C68">
            <w:pPr>
              <w:pStyle w:val="TableTextBase"/>
              <w:rPr>
                <w:rFonts w:eastAsia="Calibri"/>
                <w:b/>
                <w:szCs w:val="16"/>
              </w:rPr>
            </w:pPr>
            <w:r w:rsidRPr="005457C4">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BA7A7F" w:rsidP="00AC4C68">
            <w:pPr>
              <w:pStyle w:val="TableTextBase"/>
              <w:rPr>
                <w:rFonts w:eastAsia="Calibri"/>
                <w:b/>
                <w:szCs w:val="16"/>
              </w:rPr>
            </w:pPr>
            <w:r w:rsidRPr="005457C4">
              <w:rPr>
                <w:rFonts w:eastAsia="Calibri"/>
                <w:b/>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BA7A7F" w:rsidP="00AC4C68">
            <w:pPr>
              <w:pStyle w:val="TableTextBase"/>
              <w:rPr>
                <w:rFonts w:eastAsia="Calibri" w:cs="Times New Roman"/>
                <w:b/>
                <w:szCs w:val="16"/>
              </w:rPr>
            </w:pPr>
            <w:r w:rsidRPr="005457C4">
              <w:rPr>
                <w:rFonts w:eastAsia="Calibri"/>
                <w:b/>
                <w:sz w:val="16"/>
                <w:szCs w:val="16"/>
              </w:rPr>
              <w:t>Planned Performance Results</w:t>
            </w:r>
          </w:p>
        </w:tc>
      </w:tr>
      <w:tr w:rsidR="00253274" w:rsidTr="005457C4">
        <w:trPr>
          <w:trHeight w:val="100"/>
        </w:trPr>
        <w:tc>
          <w:tcPr>
            <w:tcW w:w="1560" w:type="dxa"/>
            <w:tcBorders>
              <w:top w:val="single" w:sz="4" w:space="0" w:color="auto"/>
              <w:left w:val="single" w:sz="4" w:space="0" w:color="auto"/>
              <w:bottom w:val="single" w:sz="4" w:space="0" w:color="auto"/>
              <w:right w:val="single" w:sz="4" w:space="0" w:color="auto"/>
            </w:tcBorders>
            <w:hideMark/>
          </w:tcPr>
          <w:p w:rsidR="00B9321D" w:rsidRPr="005457C4" w:rsidRDefault="00BA7A7F" w:rsidP="00AC4C68">
            <w:pPr>
              <w:pStyle w:val="TableTextBase"/>
              <w:rPr>
                <w:rFonts w:eastAsia="Calibri"/>
                <w:szCs w:val="20"/>
              </w:rPr>
            </w:pPr>
            <w:r w:rsidRPr="005457C4">
              <w:rPr>
                <w:rFonts w:eastAsia="Calibri"/>
                <w:sz w:val="16"/>
              </w:rPr>
              <w:t>Budget Year     2022-23</w:t>
            </w:r>
          </w:p>
        </w:tc>
        <w:tc>
          <w:tcPr>
            <w:tcW w:w="3118" w:type="dxa"/>
            <w:tcBorders>
              <w:top w:val="single" w:sz="4" w:space="0" w:color="auto"/>
              <w:left w:val="single" w:sz="4" w:space="0" w:color="auto"/>
              <w:bottom w:val="single" w:sz="4" w:space="0" w:color="auto"/>
              <w:right w:val="single" w:sz="4" w:space="0" w:color="auto"/>
            </w:tcBorders>
            <w:hideMark/>
          </w:tcPr>
          <w:p w:rsidR="005457C4" w:rsidRPr="005457C4" w:rsidRDefault="00BA7A7F" w:rsidP="005457C4">
            <w:pPr>
              <w:pStyle w:val="TableTextBase"/>
              <w:rPr>
                <w:rFonts w:eastAsia="Calibri"/>
                <w:szCs w:val="16"/>
              </w:rPr>
            </w:pPr>
            <w:r w:rsidRPr="005457C4">
              <w:rPr>
                <w:rFonts w:eastAsia="Calibri"/>
                <w:sz w:val="16"/>
                <w:szCs w:val="16"/>
              </w:rPr>
              <w:t>Improved awareness of the IP rights system demonstrated by:</w:t>
            </w:r>
          </w:p>
          <w:p w:rsidR="005457C4" w:rsidRPr="005457C4" w:rsidRDefault="00BA7A7F" w:rsidP="005457C4">
            <w:pPr>
              <w:pStyle w:val="TableTextBase"/>
              <w:numPr>
                <w:ilvl w:val="0"/>
                <w:numId w:val="137"/>
              </w:numPr>
              <w:ind w:left="360"/>
              <w:rPr>
                <w:rFonts w:eastAsia="Calibri" w:cs="Times New Roman"/>
                <w:szCs w:val="16"/>
              </w:rPr>
            </w:pPr>
            <w:r w:rsidRPr="005457C4">
              <w:rPr>
                <w:rFonts w:eastAsia="Calibri"/>
                <w:sz w:val="16"/>
                <w:szCs w:val="16"/>
              </w:rPr>
              <w:t>Effective delivery of public education and awareness programs, which promote the importance of IP and provide Australians with the tools they require to make informed decisions; and</w:t>
            </w:r>
          </w:p>
          <w:p w:rsidR="005457C4" w:rsidRPr="005457C4" w:rsidRDefault="005457C4" w:rsidP="005457C4">
            <w:pPr>
              <w:pStyle w:val="TableTextBase"/>
              <w:ind w:left="360"/>
              <w:rPr>
                <w:rFonts w:eastAsia="Calibri"/>
                <w:szCs w:val="16"/>
              </w:rPr>
            </w:pPr>
          </w:p>
          <w:p w:rsidR="00B9321D" w:rsidRPr="005457C4" w:rsidRDefault="00BA7A7F" w:rsidP="004F1282">
            <w:pPr>
              <w:pStyle w:val="TableTextBase"/>
              <w:numPr>
                <w:ilvl w:val="0"/>
                <w:numId w:val="137"/>
              </w:numPr>
              <w:ind w:left="360"/>
              <w:rPr>
                <w:rFonts w:eastAsia="Calibri" w:cs="Times New Roman"/>
                <w:szCs w:val="16"/>
              </w:rPr>
            </w:pPr>
            <w:r w:rsidRPr="005457C4">
              <w:rPr>
                <w:rFonts w:eastAsia="Calibri"/>
                <w:sz w:val="16"/>
                <w:szCs w:val="16"/>
              </w:rPr>
              <w:t>Maintaining or increasing the level of customers</w:t>
            </w:r>
            <w:r>
              <w:rPr>
                <w:rFonts w:eastAsia="Calibri"/>
                <w:sz w:val="16"/>
                <w:szCs w:val="16"/>
              </w:rPr>
              <w:t>’</w:t>
            </w:r>
            <w:r w:rsidRPr="005457C4">
              <w:rPr>
                <w:rFonts w:eastAsia="Calibri"/>
                <w:sz w:val="16"/>
                <w:szCs w:val="16"/>
              </w:rPr>
              <w:t xml:space="preserve"> knowledge of</w:t>
            </w:r>
            <w:r w:rsidR="000E2A68">
              <w:rPr>
                <w:rFonts w:eastAsia="Calibri"/>
                <w:sz w:val="16"/>
                <w:szCs w:val="16"/>
              </w:rPr>
              <w:t xml:space="preserve"> Australia’s IP </w:t>
            </w:r>
            <w:r w:rsidR="000E2A68" w:rsidRPr="00845A8A">
              <w:rPr>
                <w:rFonts w:eastAsia="Calibri"/>
                <w:sz w:val="16"/>
                <w:szCs w:val="16"/>
              </w:rPr>
              <w:t>system from the 2021-22 result.</w:t>
            </w:r>
          </w:p>
        </w:tc>
        <w:tc>
          <w:tcPr>
            <w:tcW w:w="3118" w:type="dxa"/>
            <w:tcBorders>
              <w:top w:val="single" w:sz="4" w:space="0" w:color="auto"/>
              <w:left w:val="single" w:sz="4" w:space="0" w:color="auto"/>
              <w:bottom w:val="single" w:sz="4" w:space="0" w:color="auto"/>
              <w:right w:val="single" w:sz="4" w:space="0" w:color="auto"/>
            </w:tcBorders>
            <w:hideMark/>
          </w:tcPr>
          <w:p w:rsidR="000E2A68" w:rsidRPr="00845A8A" w:rsidRDefault="00BA7A7F" w:rsidP="00AC4C68">
            <w:pPr>
              <w:pStyle w:val="TableTextBase"/>
              <w:numPr>
                <w:ilvl w:val="0"/>
                <w:numId w:val="138"/>
              </w:numPr>
              <w:ind w:left="284" w:hanging="284"/>
              <w:rPr>
                <w:rFonts w:eastAsia="Calibri"/>
                <w:szCs w:val="16"/>
              </w:rPr>
            </w:pPr>
            <w:r w:rsidRPr="00845A8A">
              <w:rPr>
                <w:rFonts w:eastAsia="Calibri"/>
                <w:sz w:val="16"/>
                <w:szCs w:val="16"/>
              </w:rPr>
              <w:t xml:space="preserve">Meet the key performance metrics for public education and awareness programs published in IP Australia’s </w:t>
            </w:r>
            <w:r w:rsidR="00AE59E1" w:rsidRPr="00845A8A">
              <w:rPr>
                <w:rFonts w:eastAsia="Calibri"/>
                <w:sz w:val="16"/>
                <w:szCs w:val="16"/>
              </w:rPr>
              <w:t>2022-23 Corporate Plan.</w:t>
            </w:r>
          </w:p>
          <w:p w:rsidR="00B9321D" w:rsidRPr="005457C4" w:rsidRDefault="00BA7A7F" w:rsidP="00AC4C68">
            <w:pPr>
              <w:pStyle w:val="TableTextBase"/>
              <w:numPr>
                <w:ilvl w:val="0"/>
                <w:numId w:val="138"/>
              </w:numPr>
              <w:ind w:left="284" w:hanging="284"/>
              <w:rPr>
                <w:rFonts w:eastAsia="Calibri"/>
                <w:szCs w:val="16"/>
              </w:rPr>
            </w:pPr>
            <w:r w:rsidRPr="00845A8A">
              <w:rPr>
                <w:rFonts w:eastAsia="Calibri"/>
                <w:sz w:val="16"/>
                <w:szCs w:val="16"/>
              </w:rPr>
              <w:t>An increase to the percentage of customers who respond that their level of knowledge of the IP system is either adequate or extensive from the 2021-22 result.</w:t>
            </w:r>
          </w:p>
        </w:tc>
      </w:tr>
      <w:tr w:rsidR="00253274" w:rsidTr="005457C4">
        <w:trPr>
          <w:trHeight w:val="491"/>
        </w:trPr>
        <w:tc>
          <w:tcPr>
            <w:tcW w:w="1560" w:type="dxa"/>
            <w:tcBorders>
              <w:top w:val="single" w:sz="4" w:space="0" w:color="auto"/>
              <w:left w:val="single" w:sz="4" w:space="0" w:color="auto"/>
              <w:bottom w:val="dotted" w:sz="4" w:space="0" w:color="auto"/>
              <w:right w:val="single" w:sz="4" w:space="0" w:color="auto"/>
            </w:tcBorders>
            <w:hideMark/>
          </w:tcPr>
          <w:p w:rsidR="00B9321D" w:rsidRPr="005457C4" w:rsidRDefault="00BA7A7F" w:rsidP="00AC4C68">
            <w:pPr>
              <w:pStyle w:val="TableTextBase"/>
              <w:rPr>
                <w:rFonts w:eastAsia="Calibri" w:cs="Times New Roman"/>
              </w:rPr>
            </w:pPr>
            <w:r w:rsidRPr="005457C4">
              <w:rPr>
                <w:rFonts w:eastAsia="Calibri"/>
                <w:sz w:val="16"/>
              </w:rPr>
              <w:t xml:space="preserve">Forward Estimates </w:t>
            </w:r>
          </w:p>
          <w:p w:rsidR="00B9321D" w:rsidRPr="005457C4" w:rsidRDefault="00BA7A7F" w:rsidP="00AC4C68">
            <w:pPr>
              <w:pStyle w:val="TableTextBase"/>
              <w:rPr>
                <w:rFonts w:eastAsia="Calibri"/>
                <w:b/>
              </w:rPr>
            </w:pPr>
            <w:r w:rsidRPr="005457C4">
              <w:rPr>
                <w:rFonts w:eastAsia="Calibri"/>
                <w:sz w:val="16"/>
              </w:rPr>
              <w:t>2023-26</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BA7A7F" w:rsidP="00AC4C68">
            <w:pPr>
              <w:pStyle w:val="TableTextBase"/>
              <w:rPr>
                <w:rFonts w:eastAsia="Calibri" w:cs="Times New Roman"/>
                <w:b/>
              </w:rPr>
            </w:pPr>
            <w:r w:rsidRPr="005457C4">
              <w:rPr>
                <w:rFonts w:eastAsia="Calibri"/>
                <w:sz w:val="16"/>
                <w:szCs w:val="16"/>
              </w:rPr>
              <w:t>As per 2022-23</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BA7A7F" w:rsidP="00AC4C68">
            <w:pPr>
              <w:pStyle w:val="TableTextBase"/>
              <w:rPr>
                <w:rFonts w:eastAsia="Calibri"/>
                <w:b/>
              </w:rPr>
            </w:pPr>
            <w:r w:rsidRPr="005457C4">
              <w:rPr>
                <w:rFonts w:eastAsia="Calibri"/>
                <w:sz w:val="16"/>
                <w:szCs w:val="16"/>
              </w:rPr>
              <w:t>As per 2022-23</w:t>
            </w:r>
          </w:p>
        </w:tc>
      </w:tr>
      <w:tr w:rsidR="00253274" w:rsidTr="00B9321D">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B9321D" w:rsidRPr="005457C4" w:rsidRDefault="00BA7A7F" w:rsidP="004A2870">
            <w:pPr>
              <w:pStyle w:val="TableTextBase"/>
              <w:rPr>
                <w:rFonts w:eastAsia="Cambria"/>
                <w:bCs/>
                <w:iCs/>
                <w:spacing w:val="-6"/>
                <w:szCs w:val="16"/>
                <w:lang w:val="x-none"/>
              </w:rPr>
            </w:pPr>
            <w:r w:rsidRPr="005457C4">
              <w:rPr>
                <w:rFonts w:eastAsia="Calibri"/>
                <w:sz w:val="16"/>
                <w:szCs w:val="16"/>
              </w:rPr>
              <w:t>Material changes to Program 2 resulting from 2022-23 Budget Measure</w:t>
            </w:r>
            <w:r>
              <w:rPr>
                <w:rFonts w:eastAsia="Calibri"/>
                <w:sz w:val="16"/>
                <w:szCs w:val="16"/>
              </w:rPr>
              <w:t>s: Nil</w:t>
            </w:r>
          </w:p>
        </w:tc>
      </w:tr>
      <w:tr w:rsidR="00253274" w:rsidTr="00B9321D">
        <w:trPr>
          <w:trHeight w:val="291"/>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5457C4" w:rsidRPr="005457C4" w:rsidRDefault="00BA7A7F" w:rsidP="005457C4">
            <w:pPr>
              <w:tabs>
                <w:tab w:val="left" w:pos="709"/>
              </w:tabs>
              <w:spacing w:before="60" w:after="60" w:line="240" w:lineRule="auto"/>
              <w:jc w:val="left"/>
              <w:rPr>
                <w:rFonts w:ascii="Arial" w:hAnsi="Arial" w:cs="Arial"/>
                <w:b/>
                <w:sz w:val="18"/>
                <w:szCs w:val="18"/>
                <w:bdr w:val="none" w:sz="0" w:space="0" w:color="auto" w:frame="1"/>
                <w:lang w:val="en-US" w:eastAsia="en-US"/>
              </w:rPr>
            </w:pPr>
            <w:r w:rsidRPr="005457C4">
              <w:rPr>
                <w:rFonts w:ascii="Arial" w:hAnsi="Arial" w:cs="Arial"/>
                <w:b/>
                <w:sz w:val="18"/>
                <w:szCs w:val="18"/>
                <w:bdr w:val="none" w:sz="0" w:space="0" w:color="auto" w:frame="1"/>
                <w:lang w:val="en-US" w:eastAsia="en-US"/>
              </w:rPr>
              <w:t>Program 3 – Advice to Government and International Engagement</w:t>
            </w:r>
          </w:p>
          <w:p w:rsidR="00B9321D" w:rsidRPr="005457C4" w:rsidRDefault="00BA7A7F" w:rsidP="005457C4">
            <w:pPr>
              <w:pStyle w:val="TableTextBase"/>
              <w:rPr>
                <w:rFonts w:eastAsia="Calibri"/>
                <w:szCs w:val="16"/>
              </w:rPr>
            </w:pPr>
            <w:r w:rsidRPr="005457C4">
              <w:rPr>
                <w:rFonts w:eastAsia="Calibri"/>
                <w:sz w:val="16"/>
                <w:szCs w:val="16"/>
                <w:bdr w:val="none" w:sz="0" w:space="0" w:color="auto" w:frame="1"/>
              </w:rPr>
              <w:t>Supporting policy and legislative change to foster Australian innovation by shaping the development of the IP system both domestically and abroad. IP Australia engages internationally to influence the development of effective intellectual property systems in line with Australia’s interests.</w:t>
            </w:r>
          </w:p>
        </w:tc>
      </w:tr>
      <w:tr w:rsidR="00253274" w:rsidTr="00AC4C68">
        <w:trPr>
          <w:trHeight w:val="694"/>
        </w:trPr>
        <w:tc>
          <w:tcPr>
            <w:tcW w:w="1560" w:type="dxa"/>
            <w:tcBorders>
              <w:top w:val="single" w:sz="4" w:space="0" w:color="auto"/>
              <w:left w:val="single" w:sz="4" w:space="0" w:color="auto"/>
              <w:bottom w:val="double" w:sz="4" w:space="0" w:color="auto"/>
              <w:right w:val="single" w:sz="4" w:space="0" w:color="auto"/>
            </w:tcBorders>
            <w:hideMark/>
          </w:tcPr>
          <w:p w:rsidR="00B9321D" w:rsidRPr="005457C4" w:rsidRDefault="00BA7A7F" w:rsidP="004A2870">
            <w:pPr>
              <w:tabs>
                <w:tab w:val="left" w:pos="709"/>
              </w:tabs>
              <w:spacing w:before="60"/>
              <w:rPr>
                <w:rFonts w:ascii="Arial" w:hAnsi="Arial" w:cs="Arial"/>
                <w:b/>
                <w:sz w:val="16"/>
                <w:szCs w:val="16"/>
              </w:rPr>
            </w:pPr>
            <w:r w:rsidRPr="005457C4">
              <w:rPr>
                <w:rFonts w:ascii="Arial" w:hAnsi="Arial" w:cs="Arial"/>
                <w:b/>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rsidR="005457C4" w:rsidRPr="005457C4" w:rsidRDefault="00BA7A7F" w:rsidP="005457C4">
            <w:pPr>
              <w:pStyle w:val="ListParagraph"/>
              <w:numPr>
                <w:ilvl w:val="0"/>
                <w:numId w:val="134"/>
              </w:numPr>
              <w:tabs>
                <w:tab w:val="left" w:pos="709"/>
              </w:tabs>
              <w:spacing w:before="60" w:after="60" w:line="240" w:lineRule="auto"/>
              <w:ind w:left="357" w:hanging="357"/>
              <w:jc w:val="left"/>
              <w:rPr>
                <w:rFonts w:eastAsia="Times New Roman" w:cs="Arial"/>
                <w:sz w:val="16"/>
                <w:szCs w:val="16"/>
                <w:bdr w:val="none" w:sz="0" w:space="0" w:color="auto" w:frame="1"/>
                <w:lang w:val="en-AU"/>
              </w:rPr>
            </w:pPr>
            <w:r w:rsidRPr="005457C4">
              <w:rPr>
                <w:rFonts w:ascii="Arial" w:eastAsia="Times New Roman" w:hAnsi="Arial" w:cs="Arial"/>
                <w:sz w:val="16"/>
                <w:szCs w:val="16"/>
                <w:bdr w:val="none" w:sz="0" w:space="0" w:color="auto" w:frame="1"/>
                <w:lang w:val="en-AU"/>
              </w:rPr>
              <w:t>Provide high quality advice to the Government on the development of IP policy and legislation.</w:t>
            </w:r>
          </w:p>
          <w:p w:rsidR="00B9321D" w:rsidRPr="005457C4" w:rsidRDefault="00BA7A7F" w:rsidP="005457C4">
            <w:pPr>
              <w:pStyle w:val="ListParagraph"/>
              <w:numPr>
                <w:ilvl w:val="0"/>
                <w:numId w:val="134"/>
              </w:numPr>
              <w:tabs>
                <w:tab w:val="left" w:pos="709"/>
              </w:tabs>
              <w:spacing w:before="60" w:after="60" w:line="240" w:lineRule="auto"/>
              <w:ind w:left="357" w:hanging="357"/>
              <w:jc w:val="left"/>
              <w:rPr>
                <w:rFonts w:eastAsia="Times New Roman" w:cs="Arial"/>
                <w:i/>
                <w:sz w:val="16"/>
                <w:szCs w:val="16"/>
                <w:lang w:val="en-AU"/>
              </w:rPr>
            </w:pPr>
            <w:r w:rsidRPr="005457C4">
              <w:rPr>
                <w:rFonts w:ascii="Arial" w:eastAsia="Times New Roman" w:hAnsi="Arial" w:cs="Arial"/>
                <w:sz w:val="16"/>
                <w:szCs w:val="16"/>
                <w:bdr w:val="none" w:sz="0" w:space="0" w:color="auto" w:frame="1"/>
                <w:lang w:val="en-AU"/>
              </w:rPr>
              <w:t>Engage internationally, working with bodies such as the World Intellectual Property Organization and other IP offices to influence IP policy and practice.</w:t>
            </w:r>
          </w:p>
        </w:tc>
      </w:tr>
      <w:tr w:rsidR="00253274" w:rsidTr="00AC4C68">
        <w:trPr>
          <w:trHeight w:val="258"/>
        </w:trPr>
        <w:tc>
          <w:tcPr>
            <w:tcW w:w="1560" w:type="dxa"/>
            <w:tcBorders>
              <w:top w:val="double" w:sz="4" w:space="0" w:color="auto"/>
              <w:left w:val="single" w:sz="4" w:space="0" w:color="auto"/>
              <w:bottom w:val="single" w:sz="4" w:space="0" w:color="auto"/>
              <w:right w:val="single" w:sz="4" w:space="0" w:color="auto"/>
            </w:tcBorders>
          </w:tcPr>
          <w:p w:rsidR="00B9321D" w:rsidRPr="005457C4" w:rsidRDefault="00BA7A7F" w:rsidP="00AC4C68">
            <w:pPr>
              <w:pStyle w:val="TableTextBase"/>
              <w:rPr>
                <w:rFonts w:eastAsia="Calibri"/>
                <w:b/>
                <w:szCs w:val="16"/>
              </w:rPr>
            </w:pPr>
            <w:r w:rsidRPr="005457C4">
              <w:rPr>
                <w:rFonts w:eastAsia="Calibri"/>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B9321D" w:rsidRPr="005457C4" w:rsidRDefault="00BA7A7F" w:rsidP="00AC4C68">
            <w:pPr>
              <w:pStyle w:val="TableTextBase"/>
              <w:rPr>
                <w:rFonts w:eastAsia="Calibri"/>
                <w:b/>
                <w:szCs w:val="16"/>
              </w:rPr>
            </w:pPr>
            <w:r w:rsidRPr="005457C4">
              <w:rPr>
                <w:rFonts w:eastAsia="Calibri"/>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B9321D" w:rsidRPr="005457C4" w:rsidRDefault="00BA7A7F" w:rsidP="00AC4C68">
            <w:pPr>
              <w:pStyle w:val="TableTextBase"/>
              <w:rPr>
                <w:rFonts w:eastAsia="Calibri"/>
                <w:b/>
                <w:szCs w:val="16"/>
              </w:rPr>
            </w:pPr>
            <w:r w:rsidRPr="005457C4">
              <w:rPr>
                <w:rFonts w:eastAsia="Calibri"/>
                <w:b/>
                <w:sz w:val="16"/>
                <w:szCs w:val="16"/>
              </w:rPr>
              <w:t>Expected Performance Results</w:t>
            </w:r>
          </w:p>
        </w:tc>
      </w:tr>
      <w:tr w:rsidR="00253274" w:rsidTr="00AC4C68">
        <w:trPr>
          <w:trHeight w:val="642"/>
        </w:trPr>
        <w:tc>
          <w:tcPr>
            <w:tcW w:w="1560" w:type="dxa"/>
            <w:tcBorders>
              <w:top w:val="single" w:sz="4" w:space="0" w:color="auto"/>
              <w:left w:val="single" w:sz="4" w:space="0" w:color="auto"/>
              <w:bottom w:val="dotted" w:sz="4" w:space="0" w:color="auto"/>
              <w:right w:val="single" w:sz="4" w:space="0" w:color="auto"/>
            </w:tcBorders>
          </w:tcPr>
          <w:p w:rsidR="00B9321D" w:rsidRPr="005457C4" w:rsidRDefault="00BA7A7F" w:rsidP="00AC4C68">
            <w:pPr>
              <w:pStyle w:val="TableTextBase"/>
              <w:rPr>
                <w:rFonts w:eastAsia="Calibri"/>
                <w:szCs w:val="16"/>
              </w:rPr>
            </w:pPr>
            <w:r w:rsidRPr="005457C4">
              <w:rPr>
                <w:rFonts w:eastAsia="Calibri"/>
                <w:sz w:val="16"/>
                <w:szCs w:val="16"/>
              </w:rPr>
              <w:t xml:space="preserve">Current year </w:t>
            </w:r>
          </w:p>
          <w:p w:rsidR="00B9321D" w:rsidRPr="005457C4" w:rsidRDefault="00BA7A7F" w:rsidP="00AC4C68">
            <w:pPr>
              <w:pStyle w:val="TableTextBase"/>
              <w:rPr>
                <w:rFonts w:eastAsia="Calibri"/>
                <w:szCs w:val="16"/>
              </w:rPr>
            </w:pPr>
            <w:r w:rsidRPr="005457C4">
              <w:rPr>
                <w:rFonts w:eastAsia="Calibri"/>
                <w:sz w:val="16"/>
                <w:szCs w:val="16"/>
              </w:rPr>
              <w:t>2021-22</w:t>
            </w:r>
          </w:p>
        </w:tc>
        <w:tc>
          <w:tcPr>
            <w:tcW w:w="3118" w:type="dxa"/>
            <w:tcBorders>
              <w:top w:val="single" w:sz="4" w:space="0" w:color="auto"/>
              <w:left w:val="single" w:sz="4" w:space="0" w:color="auto"/>
              <w:bottom w:val="dotted" w:sz="4" w:space="0" w:color="auto"/>
              <w:right w:val="single" w:sz="4" w:space="0" w:color="auto"/>
            </w:tcBorders>
          </w:tcPr>
          <w:p w:rsidR="00B9321D" w:rsidRPr="005457C4" w:rsidRDefault="00BA7A7F" w:rsidP="00AC4C68">
            <w:pPr>
              <w:pStyle w:val="TableTextBase"/>
              <w:rPr>
                <w:rFonts w:eastAsia="Calibri"/>
                <w:iCs/>
                <w:szCs w:val="16"/>
              </w:rPr>
            </w:pPr>
            <w:r w:rsidRPr="005457C4">
              <w:rPr>
                <w:rFonts w:eastAsia="Calibri"/>
                <w:iCs/>
                <w:sz w:val="16"/>
                <w:szCs w:val="16"/>
              </w:rPr>
              <w:t>Provision of high-quality advice to the Australian Government on policy, legislation, ministerial correspondence and briefs.</w:t>
            </w:r>
          </w:p>
        </w:tc>
        <w:tc>
          <w:tcPr>
            <w:tcW w:w="3118" w:type="dxa"/>
            <w:tcBorders>
              <w:top w:val="single" w:sz="4" w:space="0" w:color="auto"/>
              <w:left w:val="single" w:sz="4" w:space="0" w:color="auto"/>
              <w:bottom w:val="dotted" w:sz="4" w:space="0" w:color="auto"/>
              <w:right w:val="single" w:sz="4" w:space="0" w:color="auto"/>
            </w:tcBorders>
            <w:hideMark/>
          </w:tcPr>
          <w:p w:rsidR="00745932" w:rsidRDefault="00BA7A7F" w:rsidP="005457C4">
            <w:pPr>
              <w:pStyle w:val="TableTextBase"/>
              <w:rPr>
                <w:rFonts w:eastAsia="Calibri"/>
                <w:iCs/>
                <w:szCs w:val="16"/>
              </w:rPr>
            </w:pPr>
            <w:r w:rsidRPr="005457C4">
              <w:rPr>
                <w:rFonts w:eastAsia="Calibri"/>
                <w:iCs/>
                <w:sz w:val="16"/>
                <w:szCs w:val="16"/>
              </w:rPr>
              <w:t xml:space="preserve">Ministerial briefs and correspondence delivered to the Minister’s Office are of a high quality. </w:t>
            </w:r>
          </w:p>
          <w:p w:rsidR="00745932" w:rsidRDefault="00745932" w:rsidP="005457C4">
            <w:pPr>
              <w:pStyle w:val="TableTextBase"/>
              <w:rPr>
                <w:rFonts w:eastAsia="Calibri"/>
                <w:iCs/>
                <w:szCs w:val="16"/>
              </w:rPr>
            </w:pPr>
          </w:p>
          <w:p w:rsidR="005457C4" w:rsidRPr="005457C4" w:rsidRDefault="00BA7A7F" w:rsidP="005457C4">
            <w:pPr>
              <w:pStyle w:val="TableTextBase"/>
              <w:rPr>
                <w:rFonts w:eastAsia="Calibri"/>
                <w:iCs/>
                <w:szCs w:val="16"/>
              </w:rPr>
            </w:pPr>
            <w:r w:rsidRPr="005457C4">
              <w:rPr>
                <w:rFonts w:eastAsia="Calibri"/>
                <w:iCs/>
                <w:sz w:val="16"/>
                <w:szCs w:val="16"/>
              </w:rPr>
              <w:t>IP Australia expects to meet t</w:t>
            </w:r>
            <w:r>
              <w:rPr>
                <w:rFonts w:eastAsia="Calibri"/>
                <w:iCs/>
                <w:sz w:val="16"/>
                <w:szCs w:val="16"/>
              </w:rPr>
              <w:t>he target of less than 10%</w:t>
            </w:r>
            <w:r w:rsidRPr="005457C4">
              <w:rPr>
                <w:rFonts w:eastAsia="Calibri"/>
                <w:iCs/>
                <w:sz w:val="16"/>
                <w:szCs w:val="16"/>
              </w:rPr>
              <w:t xml:space="preserve"> requested to be redrafted.</w:t>
            </w:r>
          </w:p>
          <w:p w:rsidR="005457C4" w:rsidRPr="00C1765B" w:rsidRDefault="005457C4" w:rsidP="005457C4">
            <w:pPr>
              <w:pStyle w:val="TableTextBase"/>
              <w:rPr>
                <w:rFonts w:eastAsia="Calibri"/>
                <w:iCs/>
                <w:sz w:val="20"/>
                <w:szCs w:val="20"/>
              </w:rPr>
            </w:pPr>
          </w:p>
          <w:p w:rsidR="00B9321D" w:rsidRPr="005457C4" w:rsidRDefault="00BA7A7F" w:rsidP="005457C4">
            <w:pPr>
              <w:pStyle w:val="TableTextBase"/>
              <w:rPr>
                <w:rFonts w:eastAsia="Calibri"/>
                <w:i/>
                <w:szCs w:val="16"/>
              </w:rPr>
            </w:pPr>
            <w:r w:rsidRPr="005457C4">
              <w:rPr>
                <w:rFonts w:eastAsia="Calibri"/>
                <w:iCs/>
                <w:sz w:val="16"/>
                <w:szCs w:val="16"/>
              </w:rPr>
              <w:t xml:space="preserve">IP Australia expects to meet the target of </w:t>
            </w:r>
            <w:r>
              <w:rPr>
                <w:rFonts w:eastAsia="Calibri"/>
                <w:iCs/>
                <w:sz w:val="16"/>
                <w:szCs w:val="16"/>
              </w:rPr>
              <w:t>100%</w:t>
            </w:r>
            <w:r w:rsidRPr="005457C4">
              <w:rPr>
                <w:rFonts w:eastAsia="Calibri"/>
                <w:iCs/>
                <w:sz w:val="16"/>
                <w:szCs w:val="16"/>
              </w:rPr>
              <w:t xml:space="preserve"> of ministerial briefs and correspondence requested by the Minister’s Office are delivered within the agreed timeframes.</w:t>
            </w:r>
          </w:p>
        </w:tc>
      </w:tr>
      <w:tr w:rsidR="00253274" w:rsidTr="00AC4C68">
        <w:trPr>
          <w:trHeight w:val="100"/>
        </w:trPr>
        <w:tc>
          <w:tcPr>
            <w:tcW w:w="1560" w:type="dxa"/>
            <w:tcBorders>
              <w:top w:val="single" w:sz="4" w:space="0" w:color="auto"/>
              <w:left w:val="single" w:sz="4" w:space="0" w:color="auto"/>
              <w:bottom w:val="dotted" w:sz="4" w:space="0" w:color="auto"/>
              <w:right w:val="single" w:sz="4" w:space="0" w:color="auto"/>
            </w:tcBorders>
          </w:tcPr>
          <w:p w:rsidR="00B9321D" w:rsidRPr="005457C4" w:rsidRDefault="00BA7A7F" w:rsidP="00AC4C68">
            <w:pPr>
              <w:pStyle w:val="TableTextBase"/>
              <w:rPr>
                <w:rFonts w:eastAsia="Calibri"/>
                <w:b/>
                <w:szCs w:val="16"/>
              </w:rPr>
            </w:pPr>
            <w:r w:rsidRPr="005457C4">
              <w:rPr>
                <w:rFonts w:eastAsia="Calibri"/>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BA7A7F" w:rsidP="00AC4C68">
            <w:pPr>
              <w:pStyle w:val="TableTextBase"/>
              <w:rPr>
                <w:rFonts w:eastAsia="Calibri"/>
                <w:b/>
                <w:szCs w:val="16"/>
              </w:rPr>
            </w:pPr>
            <w:r w:rsidRPr="005457C4">
              <w:rPr>
                <w:rFonts w:eastAsia="Calibri"/>
                <w:b/>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BA7A7F" w:rsidP="00AC4C68">
            <w:pPr>
              <w:pStyle w:val="TableTextBase"/>
              <w:rPr>
                <w:rFonts w:eastAsia="Calibri" w:cs="Times New Roman"/>
                <w:b/>
                <w:szCs w:val="16"/>
              </w:rPr>
            </w:pPr>
            <w:r w:rsidRPr="005457C4">
              <w:rPr>
                <w:rFonts w:eastAsia="Calibri"/>
                <w:b/>
                <w:sz w:val="16"/>
                <w:szCs w:val="16"/>
              </w:rPr>
              <w:t>Planned Performance Results</w:t>
            </w:r>
          </w:p>
        </w:tc>
      </w:tr>
      <w:tr w:rsidR="00253274" w:rsidTr="005457C4">
        <w:trPr>
          <w:trHeight w:val="100"/>
        </w:trPr>
        <w:tc>
          <w:tcPr>
            <w:tcW w:w="1560" w:type="dxa"/>
            <w:tcBorders>
              <w:top w:val="single" w:sz="4" w:space="0" w:color="auto"/>
              <w:left w:val="single" w:sz="4" w:space="0" w:color="auto"/>
              <w:bottom w:val="single" w:sz="4" w:space="0" w:color="auto"/>
              <w:right w:val="single" w:sz="4" w:space="0" w:color="auto"/>
            </w:tcBorders>
            <w:hideMark/>
          </w:tcPr>
          <w:p w:rsidR="00B9321D" w:rsidRPr="005457C4" w:rsidRDefault="00BA7A7F" w:rsidP="00AC4C68">
            <w:pPr>
              <w:pStyle w:val="TableTextBase"/>
              <w:rPr>
                <w:rFonts w:eastAsia="Calibri"/>
                <w:szCs w:val="20"/>
              </w:rPr>
            </w:pPr>
            <w:r w:rsidRPr="005457C4">
              <w:rPr>
                <w:rFonts w:eastAsia="Calibri"/>
                <w:sz w:val="16"/>
              </w:rPr>
              <w:t>Budget Year     2022-23</w:t>
            </w:r>
          </w:p>
        </w:tc>
        <w:tc>
          <w:tcPr>
            <w:tcW w:w="3118" w:type="dxa"/>
            <w:tcBorders>
              <w:top w:val="single" w:sz="4" w:space="0" w:color="auto"/>
              <w:left w:val="single" w:sz="4" w:space="0" w:color="auto"/>
              <w:bottom w:val="single" w:sz="4" w:space="0" w:color="auto"/>
              <w:right w:val="single" w:sz="4" w:space="0" w:color="auto"/>
            </w:tcBorders>
            <w:hideMark/>
          </w:tcPr>
          <w:p w:rsidR="00B9321D" w:rsidRPr="005457C4" w:rsidRDefault="00BA7A7F" w:rsidP="00AC4C68">
            <w:pPr>
              <w:pStyle w:val="TableTextBase"/>
              <w:rPr>
                <w:rFonts w:eastAsia="Calibri"/>
                <w:iCs/>
                <w:szCs w:val="16"/>
              </w:rPr>
            </w:pPr>
            <w:r w:rsidRPr="005457C4">
              <w:rPr>
                <w:rFonts w:eastAsia="Calibri"/>
                <w:iCs/>
                <w:sz w:val="16"/>
                <w:szCs w:val="16"/>
              </w:rPr>
              <w:t>Provision of high-quality advice to the Australian Government on policy, legislation, ministerial correspondence and briefs.</w:t>
            </w:r>
          </w:p>
        </w:tc>
        <w:tc>
          <w:tcPr>
            <w:tcW w:w="3118" w:type="dxa"/>
            <w:tcBorders>
              <w:top w:val="single" w:sz="4" w:space="0" w:color="auto"/>
              <w:left w:val="single" w:sz="4" w:space="0" w:color="auto"/>
              <w:bottom w:val="single" w:sz="4" w:space="0" w:color="auto"/>
              <w:right w:val="single" w:sz="4" w:space="0" w:color="auto"/>
            </w:tcBorders>
            <w:hideMark/>
          </w:tcPr>
          <w:p w:rsidR="005457C4" w:rsidRPr="005457C4" w:rsidRDefault="00BA7A7F" w:rsidP="005457C4">
            <w:pPr>
              <w:pStyle w:val="TableTextBase"/>
              <w:rPr>
                <w:rFonts w:eastAsia="Calibri"/>
                <w:iCs/>
                <w:szCs w:val="16"/>
              </w:rPr>
            </w:pPr>
            <w:r>
              <w:rPr>
                <w:rFonts w:eastAsia="Calibri"/>
                <w:iCs/>
                <w:sz w:val="16"/>
                <w:szCs w:val="16"/>
              </w:rPr>
              <w:t xml:space="preserve">Less than 10% </w:t>
            </w:r>
            <w:r w:rsidRPr="005457C4">
              <w:rPr>
                <w:rFonts w:eastAsia="Calibri"/>
                <w:iCs/>
                <w:sz w:val="16"/>
                <w:szCs w:val="16"/>
              </w:rPr>
              <w:t xml:space="preserve">of ministerial briefs and correspondence requested to be redrafted. </w:t>
            </w:r>
          </w:p>
          <w:p w:rsidR="00B9321D" w:rsidRPr="005457C4" w:rsidRDefault="00BA7A7F" w:rsidP="005457C4">
            <w:pPr>
              <w:pStyle w:val="TableTextBase"/>
              <w:rPr>
                <w:rFonts w:eastAsia="Calibri"/>
                <w:i/>
              </w:rPr>
            </w:pPr>
            <w:r>
              <w:rPr>
                <w:rFonts w:eastAsia="Calibri"/>
                <w:iCs/>
                <w:sz w:val="16"/>
                <w:szCs w:val="16"/>
              </w:rPr>
              <w:t xml:space="preserve">100% </w:t>
            </w:r>
            <w:r w:rsidRPr="005457C4">
              <w:rPr>
                <w:rFonts w:eastAsia="Calibri"/>
                <w:iCs/>
                <w:sz w:val="16"/>
                <w:szCs w:val="16"/>
              </w:rPr>
              <w:t>of ministerial briefs and correspondence requested by the Minister’s Office are delivered within the agreed timeframes.</w:t>
            </w:r>
          </w:p>
        </w:tc>
      </w:tr>
      <w:tr w:rsidR="00253274" w:rsidTr="005457C4">
        <w:trPr>
          <w:trHeight w:val="491"/>
        </w:trPr>
        <w:tc>
          <w:tcPr>
            <w:tcW w:w="1560" w:type="dxa"/>
            <w:tcBorders>
              <w:top w:val="single" w:sz="4" w:space="0" w:color="auto"/>
              <w:left w:val="single" w:sz="4" w:space="0" w:color="auto"/>
              <w:bottom w:val="dotted" w:sz="4" w:space="0" w:color="auto"/>
              <w:right w:val="single" w:sz="4" w:space="0" w:color="auto"/>
            </w:tcBorders>
            <w:hideMark/>
          </w:tcPr>
          <w:p w:rsidR="00B9321D" w:rsidRPr="005457C4" w:rsidRDefault="00BA7A7F" w:rsidP="00AC4C68">
            <w:pPr>
              <w:pStyle w:val="TableTextBase"/>
              <w:rPr>
                <w:rFonts w:eastAsia="Calibri" w:cs="Times New Roman"/>
              </w:rPr>
            </w:pPr>
            <w:r w:rsidRPr="005457C4">
              <w:rPr>
                <w:rFonts w:eastAsia="Calibri"/>
                <w:sz w:val="16"/>
              </w:rPr>
              <w:t xml:space="preserve">Forward Estimates </w:t>
            </w:r>
          </w:p>
          <w:p w:rsidR="00B9321D" w:rsidRPr="005457C4" w:rsidRDefault="00BA7A7F" w:rsidP="00AC4C68">
            <w:pPr>
              <w:pStyle w:val="TableTextBase"/>
              <w:rPr>
                <w:rFonts w:eastAsia="Calibri"/>
                <w:b/>
              </w:rPr>
            </w:pPr>
            <w:r w:rsidRPr="005457C4">
              <w:rPr>
                <w:rFonts w:eastAsia="Calibri"/>
                <w:sz w:val="16"/>
              </w:rPr>
              <w:t>2023-26</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BA7A7F" w:rsidP="00AC4C68">
            <w:pPr>
              <w:pStyle w:val="TableTextBase"/>
              <w:rPr>
                <w:rFonts w:eastAsia="Calibri" w:cs="Times New Roman"/>
                <w:b/>
              </w:rPr>
            </w:pPr>
            <w:r w:rsidRPr="005457C4">
              <w:rPr>
                <w:rFonts w:eastAsia="Calibri"/>
                <w:iCs/>
                <w:sz w:val="16"/>
                <w:szCs w:val="16"/>
              </w:rPr>
              <w:t>As per 2022-23</w:t>
            </w:r>
          </w:p>
        </w:tc>
        <w:tc>
          <w:tcPr>
            <w:tcW w:w="3118" w:type="dxa"/>
            <w:tcBorders>
              <w:top w:val="single" w:sz="4" w:space="0" w:color="auto"/>
              <w:left w:val="single" w:sz="4" w:space="0" w:color="auto"/>
              <w:bottom w:val="dotted" w:sz="4" w:space="0" w:color="auto"/>
              <w:right w:val="single" w:sz="4" w:space="0" w:color="auto"/>
            </w:tcBorders>
            <w:hideMark/>
          </w:tcPr>
          <w:p w:rsidR="00B9321D" w:rsidRPr="005457C4" w:rsidRDefault="00BA7A7F" w:rsidP="00AC4C68">
            <w:pPr>
              <w:pStyle w:val="TableTextBase"/>
              <w:rPr>
                <w:rFonts w:eastAsia="Calibri"/>
                <w:b/>
              </w:rPr>
            </w:pPr>
            <w:r w:rsidRPr="005457C4">
              <w:rPr>
                <w:rFonts w:eastAsia="Calibri"/>
                <w:iCs/>
                <w:sz w:val="16"/>
                <w:szCs w:val="16"/>
              </w:rPr>
              <w:t>As per 2022-23</w:t>
            </w:r>
          </w:p>
        </w:tc>
      </w:tr>
      <w:tr w:rsidR="00253274" w:rsidTr="00AC4C68">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B9321D" w:rsidRPr="005457C4" w:rsidRDefault="00BA7A7F" w:rsidP="004A2870">
            <w:pPr>
              <w:pStyle w:val="TableTextBase"/>
              <w:rPr>
                <w:rFonts w:eastAsia="Cambria"/>
                <w:bCs/>
                <w:iCs/>
                <w:spacing w:val="-6"/>
                <w:szCs w:val="16"/>
                <w:lang w:val="x-none"/>
              </w:rPr>
            </w:pPr>
            <w:r w:rsidRPr="005457C4">
              <w:rPr>
                <w:rFonts w:eastAsia="Calibri"/>
                <w:sz w:val="16"/>
                <w:szCs w:val="16"/>
              </w:rPr>
              <w:t>Material changes to Program</w:t>
            </w:r>
            <w:r>
              <w:rPr>
                <w:rFonts w:eastAsia="Calibri"/>
                <w:sz w:val="16"/>
                <w:szCs w:val="16"/>
              </w:rPr>
              <w:t xml:space="preserve"> 3</w:t>
            </w:r>
            <w:r w:rsidRPr="005457C4">
              <w:rPr>
                <w:rFonts w:eastAsia="Calibri"/>
                <w:sz w:val="16"/>
                <w:szCs w:val="16"/>
              </w:rPr>
              <w:t xml:space="preserve"> resulting from 2022-23 Budget Measure</w:t>
            </w:r>
            <w:r>
              <w:rPr>
                <w:rFonts w:eastAsia="Calibri"/>
                <w:sz w:val="16"/>
                <w:szCs w:val="16"/>
              </w:rPr>
              <w:t>s: Nil</w:t>
            </w:r>
          </w:p>
        </w:tc>
      </w:tr>
    </w:tbl>
    <w:p w:rsidR="005B2053" w:rsidRPr="0018384A" w:rsidRDefault="00BA7A7F" w:rsidP="005B2053">
      <w:pPr>
        <w:pStyle w:val="Heading2"/>
        <w:pageBreakBefore/>
        <w:rPr>
          <w:b/>
          <w:sz w:val="26"/>
          <w:szCs w:val="26"/>
        </w:rPr>
      </w:pPr>
      <w:bookmarkStart w:id="1541" w:name="RG_MARKER_11913"/>
      <w:bookmarkStart w:id="1542" w:name="RG_MARKER_12019"/>
      <w:bookmarkStart w:id="1543" w:name="RG_MARKER_12142"/>
      <w:r w:rsidRPr="0018384A">
        <w:rPr>
          <w:b/>
          <w:sz w:val="26"/>
          <w:szCs w:val="26"/>
        </w:rPr>
        <w:t>Section 3</w:t>
      </w:r>
      <w:bookmarkStart w:id="1544" w:name="_Toc449255782_8"/>
      <w:bookmarkStart w:id="1545" w:name="_Toc446237038_8"/>
      <w:bookmarkStart w:id="1546" w:name="_Toc436625460_8"/>
      <w:bookmarkStart w:id="1547" w:name="_Toc436624159_8"/>
      <w:bookmarkEnd w:id="1541"/>
      <w:bookmarkEnd w:id="1542"/>
      <w:bookmarkEnd w:id="1543"/>
      <w:r w:rsidRPr="0018384A">
        <w:rPr>
          <w:b/>
          <w:sz w:val="26"/>
          <w:szCs w:val="26"/>
        </w:rPr>
        <w:t>: Budgeted financial statements</w:t>
      </w:r>
      <w:bookmarkEnd w:id="1544"/>
      <w:bookmarkEnd w:id="1545"/>
      <w:bookmarkEnd w:id="1546"/>
      <w:bookmarkEnd w:id="1547"/>
    </w:p>
    <w:p w:rsidR="00445F72" w:rsidRDefault="00BA7A7F" w:rsidP="00344182">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rsidR="005B2053" w:rsidRPr="0018384A" w:rsidRDefault="00BA7A7F" w:rsidP="00344182">
      <w:pPr>
        <w:pStyle w:val="Heading3"/>
        <w:jc w:val="both"/>
        <w:rPr>
          <w:smallCaps w:val="0"/>
          <w:sz w:val="22"/>
          <w:szCs w:val="22"/>
        </w:rPr>
      </w:pPr>
      <w:bookmarkStart w:id="1548" w:name="_Toc210703218_8"/>
      <w:bookmarkStart w:id="1549" w:name="_Toc190682533_8"/>
      <w:bookmarkStart w:id="1550" w:name="_Toc190682316_8"/>
      <w:r w:rsidRPr="0018384A">
        <w:rPr>
          <w:smallCaps w:val="0"/>
          <w:sz w:val="22"/>
          <w:szCs w:val="22"/>
        </w:rPr>
        <w:t>3.1</w:t>
      </w:r>
      <w:r w:rsidRPr="0018384A">
        <w:rPr>
          <w:smallCaps w:val="0"/>
          <w:sz w:val="22"/>
          <w:szCs w:val="22"/>
        </w:rPr>
        <w:tab/>
        <w:t>Budgeted financial statements</w:t>
      </w:r>
      <w:bookmarkEnd w:id="1548"/>
      <w:bookmarkEnd w:id="1549"/>
      <w:bookmarkEnd w:id="1550"/>
    </w:p>
    <w:p w:rsidR="0000614C" w:rsidRDefault="00BA7A7F" w:rsidP="00344182">
      <w:pPr>
        <w:pStyle w:val="Heading4"/>
        <w:jc w:val="both"/>
        <w:rPr>
          <w:sz w:val="20"/>
        </w:rPr>
      </w:pPr>
      <w:r w:rsidRPr="0018384A">
        <w:rPr>
          <w:sz w:val="20"/>
        </w:rPr>
        <w:t>3</w:t>
      </w:r>
      <w:r>
        <w:rPr>
          <w:sz w:val="20"/>
        </w:rPr>
        <w:t>.1.1</w:t>
      </w:r>
      <w:r w:rsidRPr="0018384A">
        <w:rPr>
          <w:sz w:val="20"/>
        </w:rPr>
        <w:tab/>
        <w:t>Explanatory notes and analysis of budgeted financial statements</w:t>
      </w:r>
    </w:p>
    <w:p w:rsidR="001F56C9" w:rsidRDefault="00BA7A7F" w:rsidP="00344182">
      <w:r>
        <w:t>IP Australia is budgeting for an operating surplus of $11.0</w:t>
      </w:r>
      <w:r w:rsidR="007B4FA9">
        <w:t> </w:t>
      </w:r>
      <w:r>
        <w:t>million for 2022-23.</w:t>
      </w:r>
    </w:p>
    <w:p w:rsidR="001F56C9" w:rsidRDefault="00BA7A7F" w:rsidP="00344182">
      <w:r>
        <w:rPr>
          <w:b/>
          <w:bCs/>
        </w:rPr>
        <w:t>Budgeted Departmental Income Statement</w:t>
      </w:r>
      <w:r>
        <w:t xml:space="preserve"> </w:t>
      </w:r>
    </w:p>
    <w:p w:rsidR="001F56C9" w:rsidRDefault="00BA7A7F" w:rsidP="00344182">
      <w:r>
        <w:t>Departmental revenue from contracts with customers in 2022-23 is estimated to be $243.3 million. The increase from the 202</w:t>
      </w:r>
      <w:r w:rsidR="007B4FA9">
        <w:t>1-22 estimated actual of $242.5 </w:t>
      </w:r>
      <w:r>
        <w:t xml:space="preserve">million reflects forecasted growth in demand for IP Rights.  </w:t>
      </w:r>
    </w:p>
    <w:p w:rsidR="001F56C9" w:rsidRDefault="00BA7A7F" w:rsidP="00344182">
      <w:r>
        <w:t>Rental income of $3.7</w:t>
      </w:r>
      <w:r w:rsidR="007B4FA9">
        <w:t> </w:t>
      </w:r>
      <w:r>
        <w:t>million is budgeted for 2022-23 and reflects income received from sub-leasing arrangements at Discovery House.</w:t>
      </w:r>
    </w:p>
    <w:p w:rsidR="001F56C9" w:rsidRDefault="00BA7A7F" w:rsidP="00344182">
      <w:r>
        <w:t xml:space="preserve">Revenue from Government </w:t>
      </w:r>
      <w:r w:rsidR="007B4FA9">
        <w:t>for 2022-23 is budgeted at $0.4 </w:t>
      </w:r>
      <w:r>
        <w:t xml:space="preserve">million and reflects an appropriation for non-regulatory charging activities undertaken by IP Australia. </w:t>
      </w:r>
    </w:p>
    <w:p w:rsidR="001F56C9" w:rsidRDefault="00BA7A7F" w:rsidP="00344182">
      <w:r>
        <w:t>Total departmental expenses</w:t>
      </w:r>
      <w:r w:rsidR="007B4FA9">
        <w:t xml:space="preserve"> budgeted in 2022-23 are $236.6 </w:t>
      </w:r>
      <w:r>
        <w:t>million, comprising $139.2</w:t>
      </w:r>
      <w:r w:rsidR="007B4FA9">
        <w:t> </w:t>
      </w:r>
      <w:r>
        <w:t>million for employee benefits, $61</w:t>
      </w:r>
      <w:r w:rsidR="007B4FA9">
        <w:t>.7 million for suppliers, $34.1 </w:t>
      </w:r>
      <w:r>
        <w:t>million for depreci</w:t>
      </w:r>
      <w:r w:rsidR="007B4FA9">
        <w:t>ation and amortisation and $1.6 </w:t>
      </w:r>
      <w:r>
        <w:t xml:space="preserve">million in finance costs. </w:t>
      </w:r>
    </w:p>
    <w:p w:rsidR="001F56C9" w:rsidRDefault="00BA7A7F" w:rsidP="00344182">
      <w:pPr>
        <w:rPr>
          <w:b/>
          <w:bCs/>
        </w:rPr>
      </w:pPr>
      <w:r>
        <w:rPr>
          <w:b/>
          <w:bCs/>
        </w:rPr>
        <w:t xml:space="preserve">Budgeted Departmental Balance Sheet </w:t>
      </w:r>
    </w:p>
    <w:p w:rsidR="001F56C9" w:rsidRDefault="00BA7A7F" w:rsidP="00344182">
      <w:r>
        <w:t>The statement shows the estimated end of year position for departmental assets and liabilities.</w:t>
      </w:r>
    </w:p>
    <w:p w:rsidR="001F56C9" w:rsidRDefault="00BA7A7F" w:rsidP="00344182">
      <w:pPr>
        <w:rPr>
          <w:b/>
          <w:bCs/>
        </w:rPr>
      </w:pPr>
      <w:r>
        <w:rPr>
          <w:b/>
          <w:bCs/>
        </w:rPr>
        <w:t>Assets</w:t>
      </w:r>
    </w:p>
    <w:p w:rsidR="001F56C9" w:rsidRDefault="00BA7A7F" w:rsidP="00344182">
      <w:r>
        <w:t>Total departmental assets bud</w:t>
      </w:r>
      <w:r w:rsidR="007B4FA9">
        <w:t>geted for in 2022-23 are $356.5 </w:t>
      </w:r>
      <w:r>
        <w:t>million, comprising $81.5</w:t>
      </w:r>
      <w:r w:rsidR="007B4FA9">
        <w:t> </w:t>
      </w:r>
      <w:r>
        <w:t>million in financial assets and $274.9 million in non</w:t>
      </w:r>
      <w:r>
        <w:noBreakHyphen/>
        <w:t>financial assets.</w:t>
      </w:r>
    </w:p>
    <w:p w:rsidR="001F56C9" w:rsidRDefault="00BA7A7F" w:rsidP="00344182">
      <w:r>
        <w:t>Fin</w:t>
      </w:r>
      <w:r w:rsidR="007B4FA9">
        <w:t>ancial assets consist of $78.1 </w:t>
      </w:r>
      <w:r>
        <w:t>million for cash and $3.5</w:t>
      </w:r>
      <w:r w:rsidR="007B4FA9">
        <w:t> </w:t>
      </w:r>
      <w:r>
        <w:t>million for receivables. Non</w:t>
      </w:r>
      <w:r>
        <w:noBreakHyphen/>
        <w:t>financial assets include $138.</w:t>
      </w:r>
      <w:r w:rsidRPr="007B4FA9">
        <w:t>3</w:t>
      </w:r>
      <w:r w:rsidR="007B4FA9">
        <w:t> </w:t>
      </w:r>
      <w:r w:rsidRPr="007B4FA9">
        <w:t>million</w:t>
      </w:r>
      <w:r>
        <w:t xml:space="preserve"> for land and buildings, $122.</w:t>
      </w:r>
      <w:r w:rsidRPr="007B4FA9">
        <w:t>3</w:t>
      </w:r>
      <w:r w:rsidR="007B4FA9">
        <w:t> </w:t>
      </w:r>
      <w:r w:rsidRPr="007B4FA9">
        <w:t>million</w:t>
      </w:r>
      <w:r>
        <w:t xml:space="preserve"> for intangibles, $3.4</w:t>
      </w:r>
      <w:r w:rsidR="007B4FA9">
        <w:t> </w:t>
      </w:r>
      <w:r>
        <w:t>million for property, plant and equipment and $10.9</w:t>
      </w:r>
      <w:r w:rsidR="007B4FA9">
        <w:t> </w:t>
      </w:r>
      <w:r>
        <w:t>million in other assets.</w:t>
      </w:r>
    </w:p>
    <w:p w:rsidR="00344182" w:rsidRDefault="00344182" w:rsidP="00344182"/>
    <w:p w:rsidR="001F56C9" w:rsidRDefault="00BA7A7F" w:rsidP="00344182">
      <w:pPr>
        <w:rPr>
          <w:b/>
          <w:bCs/>
        </w:rPr>
      </w:pPr>
      <w:r>
        <w:rPr>
          <w:b/>
          <w:bCs/>
        </w:rPr>
        <w:t xml:space="preserve">Liabilities </w:t>
      </w:r>
    </w:p>
    <w:p w:rsidR="001F56C9" w:rsidRDefault="00BA7A7F" w:rsidP="00344182">
      <w:r>
        <w:t>Total departmental liabilities bud</w:t>
      </w:r>
      <w:r w:rsidR="007B4FA9">
        <w:t>geted for in 2022-23 are $232.0 </w:t>
      </w:r>
      <w:r>
        <w:t>million, comprising $56.3</w:t>
      </w:r>
      <w:r w:rsidR="007B4FA9">
        <w:t> </w:t>
      </w:r>
      <w:r>
        <w:t>million in payables, $120.6</w:t>
      </w:r>
      <w:r w:rsidR="007B4FA9">
        <w:t> </w:t>
      </w:r>
      <w:r>
        <w:t>million in interest bearing liabilities (leases) and $55.0 million in provisions.</w:t>
      </w:r>
    </w:p>
    <w:p w:rsidR="001F56C9" w:rsidRDefault="00BA7A7F" w:rsidP="00344182">
      <w:r>
        <w:t>The other payables estimate represents the unearned income attributable to unexamined IP Rights.</w:t>
      </w:r>
    </w:p>
    <w:p w:rsidR="001F56C9" w:rsidRDefault="00BA7A7F" w:rsidP="00344182">
      <w:pPr>
        <w:rPr>
          <w:b/>
          <w:bCs/>
        </w:rPr>
      </w:pPr>
      <w:r>
        <w:rPr>
          <w:b/>
          <w:bCs/>
        </w:rPr>
        <w:t xml:space="preserve">Budgeted Departmental Statement of Cash Flows </w:t>
      </w:r>
    </w:p>
    <w:p w:rsidR="001F56C9" w:rsidRDefault="00BA7A7F" w:rsidP="00344182">
      <w:r>
        <w:t>The movements in the cash flows are consistent with movements in the income statement and the balance sheet.</w:t>
      </w:r>
    </w:p>
    <w:p w:rsidR="001F56C9" w:rsidRDefault="001F56C9" w:rsidP="00344182"/>
    <w:p w:rsidR="001F56C9" w:rsidRPr="001F56C9" w:rsidRDefault="001F56C9" w:rsidP="00344182">
      <w:pPr>
        <w:rPr>
          <w:vanish/>
        </w:rPr>
      </w:pPr>
    </w:p>
    <w:p w:rsidR="006B6EF0" w:rsidRPr="00FD23A6" w:rsidRDefault="00BA7A7F" w:rsidP="00FD22D0">
      <w:pPr>
        <w:pStyle w:val="Heading3"/>
        <w:pageBreakBefore/>
        <w:spacing w:before="0"/>
        <w:rPr>
          <w:rFonts w:ascii="Arial Bold" w:hAnsi="Arial Bold"/>
          <w:smallCaps w:val="0"/>
          <w:sz w:val="22"/>
          <w:szCs w:val="22"/>
        </w:rPr>
      </w:pPr>
      <w:bookmarkStart w:id="1551" w:name="RG_MARKER_12017"/>
      <w:bookmarkStart w:id="1552" w:name="RG_MARKER_12258"/>
      <w:r w:rsidRPr="00FD23A6">
        <w:rPr>
          <w:rFonts w:ascii="Arial Bold" w:hAnsi="Arial Bold"/>
          <w:smallCaps w:val="0"/>
          <w:sz w:val="22"/>
          <w:szCs w:val="22"/>
        </w:rPr>
        <w:t>3.2</w:t>
      </w:r>
      <w:bookmarkEnd w:id="1551"/>
      <w:bookmarkEnd w:id="1552"/>
      <w:r w:rsidRPr="00FD23A6">
        <w:rPr>
          <w:rFonts w:ascii="Arial Bold" w:hAnsi="Arial Bold"/>
          <w:smallCaps w:val="0"/>
          <w:sz w:val="22"/>
          <w:szCs w:val="22"/>
        </w:rPr>
        <w:tab/>
        <w:t>Budgeted financial statements tables</w:t>
      </w:r>
    </w:p>
    <w:p w:rsidR="005E7F55" w:rsidRDefault="00BA7A7F" w:rsidP="003A1FBF">
      <w:pPr>
        <w:pStyle w:val="TableHeading"/>
        <w:keepLines/>
        <w:spacing w:before="60"/>
      </w:pPr>
      <w:r>
        <w:t>Table 3.1: Comprehensive income statement (showing net cost of services) for the period ended 30 June</w:t>
      </w:r>
    </w:p>
    <w:tbl>
      <w:tblPr>
        <w:tblStyle w:val="CDMRange1"/>
        <w:tblW w:w="7725" w:type="dxa"/>
        <w:tblLayout w:type="fixed"/>
        <w:tblLook w:val="0600" w:firstRow="0" w:lastRow="0" w:firstColumn="0" w:lastColumn="0" w:noHBand="1" w:noVBand="1"/>
      </w:tblPr>
      <w:tblGrid>
        <w:gridCol w:w="3600"/>
        <w:gridCol w:w="825"/>
        <w:gridCol w:w="825"/>
        <w:gridCol w:w="825"/>
        <w:gridCol w:w="825"/>
        <w:gridCol w:w="825"/>
      </w:tblGrid>
      <w:tr w:rsidR="00253274">
        <w:trPr>
          <w:trHeight w:val="900"/>
        </w:trPr>
        <w:tc>
          <w:tcPr>
            <w:tcW w:w="3600"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137,900</w:t>
            </w:r>
          </w:p>
        </w:tc>
        <w:tc>
          <w:tcPr>
            <w:tcW w:w="825" w:type="dxa"/>
            <w:tcBorders>
              <w:top w:val="nil"/>
              <w:left w:val="nil"/>
              <w:bottom w:val="nil"/>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139,209</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143,168</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147,299</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151,630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58,145</w:t>
            </w:r>
          </w:p>
        </w:tc>
        <w:tc>
          <w:tcPr>
            <w:tcW w:w="825" w:type="dxa"/>
            <w:tcBorders>
              <w:top w:val="nil"/>
              <w:left w:val="nil"/>
              <w:bottom w:val="nil"/>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61,665</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63,727</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63,829</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64,926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34,948</w:t>
            </w:r>
          </w:p>
        </w:tc>
        <w:tc>
          <w:tcPr>
            <w:tcW w:w="825" w:type="dxa"/>
            <w:tcBorders>
              <w:top w:val="nil"/>
              <w:left w:val="nil"/>
              <w:bottom w:val="nil"/>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34,087</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35,472</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36,665</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37,420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1,721</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1,590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1,470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1,327</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1,178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232,714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236,551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243,837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249,120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255,154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 from contracts with customers</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242,464</w:t>
            </w:r>
          </w:p>
        </w:tc>
        <w:tc>
          <w:tcPr>
            <w:tcW w:w="825" w:type="dxa"/>
            <w:tcBorders>
              <w:top w:val="nil"/>
              <w:left w:val="nil"/>
              <w:bottom w:val="nil"/>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243,337</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248,617</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253,893</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256,920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739</w:t>
            </w:r>
          </w:p>
        </w:tc>
        <w:tc>
          <w:tcPr>
            <w:tcW w:w="825" w:type="dxa"/>
            <w:tcBorders>
              <w:top w:val="nil"/>
              <w:left w:val="nil"/>
              <w:bottom w:val="nil"/>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3,694</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3,694</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3,694</w:t>
            </w:r>
          </w:p>
        </w:tc>
        <w:tc>
          <w:tcPr>
            <w:tcW w:w="825" w:type="dxa"/>
            <w:tcBorders>
              <w:top w:val="nil"/>
              <w:left w:val="nil"/>
              <w:bottom w:val="nil"/>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3,694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243,358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247,191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252,476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257,757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260,789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243,358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247,191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252,476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257,757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260,789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10,644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10,640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8,639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8,637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5,635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11,000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11,000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11,000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11,000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00" w:type="dxa"/>
            <w:tcBorders>
              <w:top w:val="nil"/>
              <w:left w:val="nil"/>
              <w:bottom w:val="single" w:sz="4" w:space="0" w:color="000000"/>
              <w:right w:val="nil"/>
              <w:tl2br w:val="nil"/>
              <w:tr2bl w:val="nil"/>
            </w:tcBorders>
            <w:shd w:val="clear" w:color="auto" w:fill="auto"/>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11,000</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11,000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9,000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9,000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6,000</w:t>
            </w:r>
          </w:p>
        </w:tc>
      </w:tr>
    </w:tbl>
    <w:p w:rsidR="00915587" w:rsidRDefault="00BA7A7F" w:rsidP="00ED7A32">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BA7A7F" w:rsidP="003A1FBF">
      <w:pPr>
        <w:pStyle w:val="TableHeading"/>
        <w:keepLines/>
        <w:pageBreakBefore/>
        <w:spacing w:before="60"/>
        <w:rPr>
          <w:rStyle w:val="BookTitle"/>
          <w:i w:val="0"/>
          <w:iCs/>
          <w:spacing w:val="0"/>
          <w:bdr w:val="none" w:sz="0" w:space="0" w:color="auto" w:frame="1"/>
        </w:rPr>
      </w:pPr>
      <w:r>
        <w:rPr>
          <w:bdr w:val="none" w:sz="0" w:space="0" w:color="auto" w:frame="1"/>
        </w:rPr>
        <w:t xml:space="preserve">Table 3.2: Budgeted departmental balance sheet (as at </w:t>
      </w:r>
      <w:r>
        <w:t>30 June)</w:t>
      </w:r>
    </w:p>
    <w:tbl>
      <w:tblPr>
        <w:tblStyle w:val="CDMRange2"/>
        <w:tblW w:w="7410" w:type="dxa"/>
        <w:tblLayout w:type="fixed"/>
        <w:tblLook w:val="0600" w:firstRow="0" w:lastRow="0" w:firstColumn="0" w:lastColumn="0" w:noHBand="1" w:noVBand="1"/>
      </w:tblPr>
      <w:tblGrid>
        <w:gridCol w:w="3135"/>
        <w:gridCol w:w="855"/>
        <w:gridCol w:w="855"/>
        <w:gridCol w:w="855"/>
        <w:gridCol w:w="855"/>
        <w:gridCol w:w="855"/>
      </w:tblGrid>
      <w:tr w:rsidR="00253274">
        <w:trPr>
          <w:trHeight w:val="900"/>
        </w:trPr>
        <w:tc>
          <w:tcPr>
            <w:tcW w:w="3135"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65,316</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78,063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84,565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93,233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99,376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2,959</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3,456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3,833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4,066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4,197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68,275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81,519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88,398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97,299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103,573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153,948</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138,331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122,484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106,441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90,274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3,291</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3,449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3,414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3,212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2,904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115,911</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122,283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132,693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142,273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151,328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10,255</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10,876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11,240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11,258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11,451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283,405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274,939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269,831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263,184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255,957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351,680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356,458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358,229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360,483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359,530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6,572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6,970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7,203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7,215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7,339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48,970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49,362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49,791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50,220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50,648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55,542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56,332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56,994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57,435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57,987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131,170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120,595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109,497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98,327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86,601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131,170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120,595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109,497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98,327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86,601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51,480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55,043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58,250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62,233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66,454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51,480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55,043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58,250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62,233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66,454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238,192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231,970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224,741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217,995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211,042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113,488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124,488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133,488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142,488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148,488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5,908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2,949</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2,949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2,949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2,949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2,949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104,631</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115,631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124,631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133,631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139,631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113,488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124,488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133,488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142,488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148,488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113,488</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124,488</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133,488</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142,488</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148,488</w:t>
            </w:r>
          </w:p>
        </w:tc>
      </w:tr>
    </w:tbl>
    <w:p w:rsidR="005E7F55" w:rsidRDefault="00BA7A7F"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Pr="003A1FBF" w:rsidRDefault="00BA7A7F" w:rsidP="003A1FBF">
      <w:pPr>
        <w:spacing w:after="0" w:line="240" w:lineRule="auto"/>
        <w:rPr>
          <w:rFonts w:eastAsia="Calibri" w:cs="Arial"/>
          <w:sz w:val="16"/>
          <w:szCs w:val="16"/>
          <w:bdr w:val="none" w:sz="0" w:space="0" w:color="auto" w:frame="1"/>
        </w:rPr>
      </w:pPr>
      <w:r>
        <w:rPr>
          <w:rFonts w:ascii="Arial" w:eastAsia="Calibri" w:hAnsi="Arial" w:cs="Arial"/>
          <w:sz w:val="16"/>
          <w:szCs w:val="16"/>
          <w:bdr w:val="none" w:sz="0" w:space="0" w:color="auto" w:frame="1"/>
        </w:rPr>
        <w:t>*</w:t>
      </w:r>
      <w:r w:rsidRPr="008E7F77">
        <w:rPr>
          <w:rFonts w:ascii="Arial" w:eastAsia="Calibri" w:hAnsi="Arial" w:cs="Arial"/>
          <w:sz w:val="16"/>
          <w:szCs w:val="16"/>
          <w:bdr w:val="none" w:sz="0" w:space="0" w:color="auto" w:frame="1"/>
        </w:rPr>
        <w:t>Equity is the residual interest in assets after deduction of liabilities.</w:t>
      </w:r>
      <w:r>
        <w:rPr>
          <w:rFonts w:ascii="Arial" w:eastAsia="Calibri" w:hAnsi="Arial" w:cs="Arial"/>
          <w:sz w:val="16"/>
          <w:szCs w:val="16"/>
          <w:bdr w:val="none" w:sz="0" w:space="0" w:color="auto" w:frame="1"/>
        </w:rPr>
        <w:br w:type="page"/>
      </w:r>
    </w:p>
    <w:p w:rsidR="005E7F55" w:rsidRDefault="00BA7A7F" w:rsidP="003A1FBF">
      <w:pPr>
        <w:pStyle w:val="TableHeading"/>
        <w:keepLines/>
        <w:spacing w:before="60"/>
        <w:rPr>
          <w:rStyle w:val="BookTitle"/>
          <w:i w:val="0"/>
          <w:iCs/>
        </w:rPr>
      </w:pPr>
      <w:r>
        <w:t>Table 3.3: Departmental statement of changes in equity – summary of movement (Budget year 2022­23)</w:t>
      </w:r>
    </w:p>
    <w:tbl>
      <w:tblPr>
        <w:tblStyle w:val="CDMRange1"/>
        <w:tblW w:w="7695" w:type="dxa"/>
        <w:tblLayout w:type="fixed"/>
        <w:tblLook w:val="0600" w:firstRow="0" w:lastRow="0" w:firstColumn="0" w:lastColumn="0" w:noHBand="1" w:noVBand="1"/>
      </w:tblPr>
      <w:tblGrid>
        <w:gridCol w:w="4200"/>
        <w:gridCol w:w="810"/>
        <w:gridCol w:w="915"/>
        <w:gridCol w:w="960"/>
        <w:gridCol w:w="810"/>
      </w:tblGrid>
      <w:tr w:rsidR="00253274">
        <w:trPr>
          <w:trHeight w:val="900"/>
        </w:trPr>
        <w:tc>
          <w:tcPr>
            <w:tcW w:w="42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Asset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equity/</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2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2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104,631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2,949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113,488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2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104,631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2,949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5,908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113,488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2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200"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 Government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20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2023</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115,631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2,949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5,908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124,488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20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115,631</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2,949</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5,908</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124,488</w:t>
            </w:r>
          </w:p>
        </w:tc>
      </w:tr>
    </w:tbl>
    <w:p w:rsidR="005E7F55" w:rsidRDefault="00BA7A7F"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Pr>
          <w:rFonts w:ascii="Arial" w:eastAsia="Calibri" w:hAnsi="Arial" w:cs="Arial"/>
          <w:sz w:val="16"/>
          <w:szCs w:val="16"/>
          <w:bdr w:val="none" w:sz="0" w:space="0" w:color="auto" w:frame="1"/>
        </w:rPr>
        <w:br w:type="page"/>
      </w:r>
    </w:p>
    <w:p w:rsidR="005E7F55" w:rsidRDefault="00BA7A7F" w:rsidP="003A1FBF">
      <w:pPr>
        <w:pStyle w:val="TableHeading"/>
        <w:keepLines/>
        <w:spacing w:before="60"/>
        <w:rPr>
          <w:rStyle w:val="BookTitle"/>
          <w:i w:val="0"/>
          <w:iCs/>
        </w:rPr>
      </w:pPr>
      <w:r>
        <w:t>Table 3.4: Budgeted departmental statement of cash flows (for the period ended 30 June)</w:t>
      </w:r>
    </w:p>
    <w:tbl>
      <w:tblPr>
        <w:tblStyle w:val="CDMRange2"/>
        <w:tblW w:w="7500" w:type="dxa"/>
        <w:tblLayout w:type="fixed"/>
        <w:tblLook w:val="0600" w:firstRow="0" w:lastRow="0" w:firstColumn="0" w:lastColumn="0" w:noHBand="1" w:noVBand="1"/>
      </w:tblPr>
      <w:tblGrid>
        <w:gridCol w:w="3075"/>
        <w:gridCol w:w="885"/>
        <w:gridCol w:w="885"/>
        <w:gridCol w:w="885"/>
        <w:gridCol w:w="885"/>
        <w:gridCol w:w="885"/>
      </w:tblGrid>
      <w:tr w:rsidR="00253274">
        <w:trPr>
          <w:trHeight w:val="900"/>
        </w:trPr>
        <w:tc>
          <w:tcPr>
            <w:tcW w:w="3075"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356</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244,650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246,989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252,400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257,785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260,930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(280)</w:t>
            </w:r>
          </w:p>
        </w:tc>
        <w:tc>
          <w:tcPr>
            <w:tcW w:w="88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244,726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247,286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252,724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258,146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261,276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136,227</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135,646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139,961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143,316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147,409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58,976</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61,728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63,693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63,665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64,820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1,721</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1,590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1,470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1,327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1,178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196,924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198,964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205,124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208,308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213,407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47,802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48,322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47,600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49,838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47,869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25,000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7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10,423</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10,575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11,098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11,170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11,726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10,423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10,575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11,098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11,170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11,726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(10,423)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(10,575)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(11,098)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(11,170)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(11,726)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12,379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12,747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6,502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8,668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6,143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52,937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65,316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78,063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84,565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93,233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65,316</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78,063</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84,565</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93,233</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99,376</w:t>
            </w:r>
          </w:p>
        </w:tc>
      </w:tr>
    </w:tbl>
    <w:p w:rsidR="00E02CEF" w:rsidRPr="00F97597" w:rsidRDefault="00BA7A7F"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rsidR="00E02CEF" w:rsidRDefault="00BA7A7F" w:rsidP="003A1FBF">
      <w:pPr>
        <w:pStyle w:val="TableHeading"/>
        <w:keepLines/>
        <w:spacing w:before="60"/>
        <w:rPr>
          <w:rStyle w:val="BookTitle"/>
          <w:i w:val="0"/>
          <w:iCs/>
        </w:rPr>
      </w:pPr>
      <w:r>
        <w:t>Table 3.5: Departmental capital budget statement (for the period ended 30 June)</w:t>
      </w:r>
    </w:p>
    <w:tbl>
      <w:tblPr>
        <w:tblStyle w:val="CDMRange1"/>
        <w:tblW w:w="7725" w:type="dxa"/>
        <w:tblLayout w:type="fixed"/>
        <w:tblLook w:val="0600" w:firstRow="0" w:lastRow="0" w:firstColumn="0" w:lastColumn="0" w:noHBand="1" w:noVBand="1"/>
      </w:tblPr>
      <w:tblGrid>
        <w:gridCol w:w="3450"/>
        <w:gridCol w:w="855"/>
        <w:gridCol w:w="855"/>
        <w:gridCol w:w="855"/>
        <w:gridCol w:w="855"/>
        <w:gridCol w:w="855"/>
      </w:tblGrid>
      <w:tr w:rsidR="00253274">
        <w:trPr>
          <w:trHeight w:val="900"/>
        </w:trPr>
        <w:tc>
          <w:tcPr>
            <w:tcW w:w="3450"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(a)</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4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30,000</w:t>
            </w:r>
          </w:p>
        </w:tc>
      </w:tr>
    </w:tbl>
    <w:p w:rsidR="00E02CEF" w:rsidRDefault="00BA7A7F"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2E5831" w:rsidRPr="00F97597" w:rsidRDefault="00BA7A7F" w:rsidP="00ED7A32">
      <w:pPr>
        <w:pStyle w:val="ChartandTableFootnoteAlpha"/>
        <w:keepNext w:val="0"/>
        <w:keepLines w:val="0"/>
        <w:numPr>
          <w:ilvl w:val="0"/>
          <w:numId w:val="139"/>
        </w:numPr>
        <w:spacing w:line="240" w:lineRule="auto"/>
        <w:ind w:left="357" w:hanging="357"/>
        <w:rPr>
          <w:rFonts w:cs="Arial"/>
          <w:szCs w:val="16"/>
        </w:rPr>
      </w:pPr>
      <w:r w:rsidRPr="002E5831">
        <w:rPr>
          <w:rFonts w:cs="Arial"/>
          <w:szCs w:val="16"/>
          <w:bdr w:val="none" w:sz="0" w:space="0" w:color="auto" w:frame="1"/>
        </w:rPr>
        <w:t>Includes the source of funding</w:t>
      </w:r>
      <w:r>
        <w:rPr>
          <w:rFonts w:cs="Arial"/>
          <w:szCs w:val="16"/>
          <w:bdr w:val="none" w:sz="0" w:space="0" w:color="auto" w:frame="1"/>
        </w:rPr>
        <w:t xml:space="preserve"> for own-source revenue receipts.</w:t>
      </w:r>
      <w:r>
        <w:br w:type="page"/>
      </w:r>
    </w:p>
    <w:p w:rsidR="00E02CEF" w:rsidRDefault="00BA7A7F" w:rsidP="003A1FBF">
      <w:pPr>
        <w:pStyle w:val="TableHeading"/>
        <w:keepLines/>
        <w:spacing w:before="60"/>
        <w:rPr>
          <w:rStyle w:val="BookTitle"/>
          <w:i w:val="0"/>
          <w:iCs/>
        </w:rPr>
      </w:pPr>
      <w:r>
        <w:t>Table 3.6: Statement of departmental asset movements (Budget year 2022­23)</w:t>
      </w:r>
    </w:p>
    <w:tbl>
      <w:tblPr>
        <w:tblStyle w:val="CDMRange2"/>
        <w:tblW w:w="7155" w:type="dxa"/>
        <w:tblLayout w:type="fixed"/>
        <w:tblLook w:val="0600" w:firstRow="0" w:lastRow="0" w:firstColumn="0" w:lastColumn="0" w:noHBand="1" w:noVBand="1"/>
      </w:tblPr>
      <w:tblGrid>
        <w:gridCol w:w="3375"/>
        <w:gridCol w:w="945"/>
        <w:gridCol w:w="945"/>
        <w:gridCol w:w="945"/>
        <w:gridCol w:w="945"/>
      </w:tblGrid>
      <w:tr w:rsidR="00253274">
        <w:trPr>
          <w:trHeight w:val="1170"/>
        </w:trPr>
        <w:tc>
          <w:tcPr>
            <w:tcW w:w="337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34,750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11,738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250,669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297,157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159,898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1,081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160,979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(3,675)</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(8,430)</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(134,758)</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(146,863)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37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(37,025)</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(1,098)</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(38,123)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153,948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3,291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115,911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273,150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300</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3,200</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21,500</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3,200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21,500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(3,587)</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(3,042)</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(15,128)</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(21,757)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(12,330)</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(12,330)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(15,917)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(3,042)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(15,128)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(34,087)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35,050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14,938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272,169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322,157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159,898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1,081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160,979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(7,262)</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(11,472)</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(149,886)</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(168,620)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37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(49,355)</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(1,098)</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(50,453)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138,331</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3,449</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122,283</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264,063</w:t>
            </w:r>
          </w:p>
        </w:tc>
      </w:tr>
    </w:tbl>
    <w:p w:rsidR="00915587" w:rsidRPr="003A1FBF" w:rsidRDefault="00BA7A7F"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sidRPr="002D55D2">
        <w:rPr>
          <w:rFonts w:eastAsia="Calibri" w:cs="Arial"/>
          <w:sz w:val="16"/>
          <w:szCs w:val="16"/>
          <w:bdr w:val="none" w:sz="0" w:space="0" w:color="auto" w:frame="1"/>
        </w:rPr>
        <w:br w:type="page"/>
      </w:r>
    </w:p>
    <w:p w:rsidR="00915587" w:rsidRDefault="00BA7A7F" w:rsidP="003A1FBF">
      <w:pPr>
        <w:pStyle w:val="TableHeading"/>
        <w:keepLines/>
        <w:spacing w:before="60"/>
        <w:rPr>
          <w:rFonts w:cs="Arial"/>
        </w:rPr>
      </w:pPr>
      <w:r>
        <w:rPr>
          <w:rFonts w:cs="Arial"/>
        </w:rPr>
        <w:t>Table 3.7: Schedule of budgeted income and expenses administered on behalf of Government</w:t>
      </w:r>
      <w:r w:rsidR="00C22961">
        <w:rPr>
          <w:rFonts w:cs="Arial"/>
        </w:rPr>
        <w:t xml:space="preserve"> </w:t>
      </w:r>
      <w:r w:rsidR="00C22961">
        <w:t>(for the period ended 30 June)</w:t>
      </w:r>
    </w:p>
    <w:p w:rsidR="00510A5A" w:rsidRPr="002D55D2" w:rsidRDefault="00BA7A7F" w:rsidP="00A76B46">
      <w:pPr>
        <w:jc w:val="left"/>
        <w:rPr>
          <w:i/>
        </w:rPr>
      </w:pPr>
      <w:r>
        <w:t>IP Australia has no budgeted income and expenses administered on behalf of government; therefore Table 3.7 is not presented.</w:t>
      </w:r>
    </w:p>
    <w:p w:rsidR="00915587" w:rsidRDefault="00BA7A7F" w:rsidP="003A1FBF">
      <w:pPr>
        <w:pStyle w:val="TableHeading"/>
        <w:keepLines/>
        <w:spacing w:before="60"/>
      </w:pPr>
      <w:r>
        <w:rPr>
          <w:rFonts w:cs="Arial"/>
        </w:rPr>
        <w:t xml:space="preserve">Table 3.8: </w:t>
      </w:r>
      <w:r>
        <w:t xml:space="preserve">Schedule of budgeted assets and liabilities administered on behalf of Government </w:t>
      </w:r>
      <w:r>
        <w:rPr>
          <w:bdr w:val="none" w:sz="0" w:space="0" w:color="auto" w:frame="1"/>
        </w:rPr>
        <w:t xml:space="preserve">(as at </w:t>
      </w:r>
      <w:r>
        <w:t>30 June)</w:t>
      </w:r>
    </w:p>
    <w:p w:rsidR="002E5831" w:rsidRDefault="00BA7A7F" w:rsidP="00A76B46">
      <w:pPr>
        <w:jc w:val="left"/>
      </w:pPr>
      <w:r>
        <w:t>IP Australia has no budgeted assets and liabilities administered on behalf of government; therefore Table 3.8 is not presented.</w:t>
      </w:r>
    </w:p>
    <w:p w:rsidR="00915587" w:rsidRDefault="00BA7A7F" w:rsidP="003A1FBF">
      <w:pPr>
        <w:pStyle w:val="TableHeading"/>
        <w:keepLines/>
        <w:spacing w:before="60"/>
        <w:rPr>
          <w:rStyle w:val="BookTitle"/>
          <w:i w:val="0"/>
          <w:iCs/>
        </w:rPr>
      </w:pPr>
      <w:r>
        <w:t>Table 3.9: Schedule of budgeted administered cash flows (for the period ended 30 June)</w:t>
      </w:r>
    </w:p>
    <w:p w:rsidR="00915587" w:rsidRPr="002D55D2" w:rsidRDefault="00BA7A7F" w:rsidP="00A76B46">
      <w:pPr>
        <w:jc w:val="left"/>
        <w:rPr>
          <w:i/>
        </w:rPr>
      </w:pPr>
      <w:r>
        <w:t>IP Australia has no budgeted administered cash flows; therefore Table 3.9 is not presented.</w:t>
      </w:r>
    </w:p>
    <w:p w:rsidR="002E5831" w:rsidRDefault="00BA7A7F" w:rsidP="003A1FBF">
      <w:pPr>
        <w:pStyle w:val="TableHeading"/>
        <w:keepLines/>
        <w:spacing w:before="60"/>
        <w:rPr>
          <w:rFonts w:cs="Arial"/>
        </w:rPr>
      </w:pPr>
      <w:r>
        <w:rPr>
          <w:rFonts w:cs="Arial"/>
        </w:rPr>
        <w:t xml:space="preserve">Table 3.10: Administered capital budget statement (for the period ended </w:t>
      </w:r>
      <w:r>
        <w:t>30 June)</w:t>
      </w:r>
    </w:p>
    <w:p w:rsidR="002E5831" w:rsidRDefault="00BA7A7F" w:rsidP="00A76B46">
      <w:pPr>
        <w:jc w:val="left"/>
      </w:pPr>
      <w:r>
        <w:t>IP Australia has no administered capital budget; therefore Table 3.10 is not presented.</w:t>
      </w:r>
    </w:p>
    <w:p w:rsidR="002E5831" w:rsidRDefault="00BA7A7F" w:rsidP="003A1FBF">
      <w:pPr>
        <w:pStyle w:val="TableHeading"/>
        <w:keepLines/>
        <w:spacing w:before="60"/>
      </w:pPr>
      <w:r>
        <w:rPr>
          <w:rFonts w:cs="Arial"/>
        </w:rPr>
        <w:t>Table 3.11: Statement of administered asset movements (Budget year 2022­23)</w:t>
      </w:r>
      <w:r>
        <w:rPr>
          <w:noProof/>
        </w:rPr>
        <w:t xml:space="preserve"> </w:t>
      </w:r>
    </w:p>
    <w:p w:rsidR="002E5831" w:rsidRPr="00915587" w:rsidRDefault="00BA7A7F" w:rsidP="00A76B46">
      <w:pPr>
        <w:pStyle w:val="ChartandTableFootnoteAlpha"/>
        <w:tabs>
          <w:tab w:val="left" w:pos="720"/>
        </w:tabs>
        <w:ind w:left="0" w:firstLine="0"/>
        <w:jc w:val="left"/>
        <w:sectPr w:rsidR="002E5831" w:rsidRPr="00915587" w:rsidSect="00F07738">
          <w:headerReference w:type="even" r:id="rId338"/>
          <w:headerReference w:type="default" r:id="rId339"/>
          <w:footerReference w:type="even" r:id="rId340"/>
          <w:footerReference w:type="default" r:id="rId341"/>
          <w:headerReference w:type="first" r:id="rId342"/>
          <w:footerReference w:type="first" r:id="rId343"/>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Book Antiqua" w:hAnsi="Book Antiqua"/>
          <w:sz w:val="20"/>
        </w:rPr>
        <w:t>IP Australia has no administered asset movements; therefore Table 3.11 is not presented.</w:t>
      </w:r>
    </w:p>
    <w:p w:rsidR="00D86095" w:rsidRDefault="00D86095">
      <w:pPr>
        <w:pageBreakBefore/>
      </w:pPr>
      <w:bookmarkStart w:id="1553" w:name="RG_MARKER_11996"/>
      <w:bookmarkStart w:id="1554" w:name="RG_MARKER_11998"/>
      <w:bookmarkStart w:id="1555" w:name="RG_MARKER_11904"/>
      <w:bookmarkStart w:id="1556" w:name="RG_MARKER_11914"/>
      <w:bookmarkEnd w:id="1553"/>
      <w:bookmarkEnd w:id="1554"/>
      <w:bookmarkEnd w:id="1555"/>
      <w:bookmarkEnd w:id="1556"/>
    </w:p>
    <w:p w:rsidR="00FA15D4" w:rsidRDefault="00BA7A7F" w:rsidP="00FE00F7">
      <w:pPr>
        <w:pStyle w:val="Department"/>
        <w:pageBreakBefore/>
        <w:jc w:val="left"/>
        <w:rPr>
          <w:smallCaps/>
          <w:color w:val="FFFFFF"/>
          <w:sz w:val="24"/>
          <w:szCs w:val="24"/>
        </w:rPr>
      </w:pPr>
      <w:bookmarkStart w:id="1557" w:name="RG_MARKER_12140"/>
      <w:r w:rsidRPr="00FE00F7">
        <w:rPr>
          <w:smallCaps/>
          <w:color w:val="FFFFFF"/>
          <w:sz w:val="24"/>
          <w:szCs w:val="24"/>
        </w:rPr>
        <w:t>Department o</w:t>
      </w:r>
      <w:bookmarkEnd w:id="1557"/>
    </w:p>
    <w:p w:rsidR="00FA15D4" w:rsidRDefault="00FA15D4" w:rsidP="002E6B3D">
      <w:pPr>
        <w:pStyle w:val="Department"/>
        <w:spacing w:before="1320"/>
        <w:rPr>
          <w:smallCaps/>
        </w:rPr>
      </w:pPr>
    </w:p>
    <w:p w:rsidR="00FA15D4" w:rsidRDefault="00FA15D4" w:rsidP="00FA15D4">
      <w:pPr>
        <w:pStyle w:val="PartHeading"/>
        <w:keepLines/>
        <w:spacing w:before="240" w:after="240"/>
        <w:rPr>
          <w:kern w:val="0"/>
          <w:szCs w:val="20"/>
        </w:rPr>
      </w:pPr>
    </w:p>
    <w:p w:rsidR="00FA15D4" w:rsidRPr="007259CA" w:rsidRDefault="00BA7A7F" w:rsidP="00FA15D4">
      <w:pPr>
        <w:pStyle w:val="PartHeading"/>
        <w:keepLines/>
        <w:spacing w:before="240" w:after="240"/>
        <w:rPr>
          <w:bCs w:val="0"/>
          <w:kern w:val="0"/>
          <w:szCs w:val="20"/>
        </w:rPr>
      </w:pPr>
      <w:r w:rsidRPr="007259CA">
        <w:rPr>
          <w:rFonts w:ascii="Arial" w:hAnsi="Arial"/>
          <w:bCs w:val="0"/>
          <w:kern w:val="0"/>
          <w:szCs w:val="20"/>
        </w:rPr>
        <w:t>National Offshore Petroleum Safety and Environmental Management Authority</w:t>
      </w:r>
    </w:p>
    <w:p w:rsidR="00FA15D4" w:rsidRPr="007259CA" w:rsidRDefault="00FA15D4" w:rsidP="00FA15D4">
      <w:pPr>
        <w:pStyle w:val="PartHeading"/>
        <w:keepLines/>
        <w:spacing w:before="240" w:after="240"/>
        <w:rPr>
          <w:bCs w:val="0"/>
          <w:kern w:val="0"/>
          <w:sz w:val="48"/>
          <w:szCs w:val="48"/>
        </w:rPr>
      </w:pPr>
    </w:p>
    <w:p w:rsidR="00FA15D4" w:rsidRPr="007259CA" w:rsidRDefault="00FA15D4" w:rsidP="00FA15D4">
      <w:pPr>
        <w:pStyle w:val="PartHeading"/>
        <w:keepLines/>
        <w:spacing w:before="240" w:after="240"/>
        <w:rPr>
          <w:kern w:val="0"/>
          <w:sz w:val="48"/>
          <w:szCs w:val="48"/>
        </w:rPr>
      </w:pPr>
    </w:p>
    <w:p w:rsidR="00FA15D4" w:rsidRPr="007259CA" w:rsidRDefault="00BA7A7F" w:rsidP="00FA15D4">
      <w:pPr>
        <w:pStyle w:val="PartHeading-TOC"/>
        <w:rPr>
          <w:smallCaps w:val="0"/>
        </w:rPr>
      </w:pPr>
      <w:bookmarkStart w:id="1558" w:name="_Toc508032982_9"/>
      <w:r w:rsidRPr="007259CA">
        <w:rPr>
          <w:bCs w:val="0"/>
          <w:smallCaps w:val="0"/>
        </w:rPr>
        <w:t>Entity resources and planned performance</w:t>
      </w:r>
      <w:bookmarkEnd w:id="1558"/>
    </w:p>
    <w:p w:rsidR="00253274" w:rsidRDefault="00253274">
      <w:pPr>
        <w:keepLines w:val="0"/>
        <w:spacing w:after="160" w:line="259" w:lineRule="auto"/>
        <w:jc w:val="left"/>
        <w:rPr>
          <w:rFonts w:ascii="Calibri" w:eastAsia="Calibri" w:hAnsi="Calibri"/>
          <w:sz w:val="22"/>
          <w:szCs w:val="22"/>
          <w:lang w:val="en-US" w:eastAsia="en-US"/>
        </w:rPr>
      </w:pPr>
    </w:p>
    <w:p w:rsidR="007E6680" w:rsidRDefault="007E6680">
      <w:pPr>
        <w:keepLines w:val="0"/>
        <w:spacing w:after="160" w:line="259" w:lineRule="auto"/>
        <w:jc w:val="left"/>
        <w:rPr>
          <w:rFonts w:ascii="Calibri" w:eastAsia="Calibri" w:hAnsi="Calibri"/>
          <w:sz w:val="22"/>
          <w:szCs w:val="22"/>
          <w:lang w:val="en-US" w:eastAsia="en-US"/>
        </w:rPr>
      </w:pPr>
      <w:bookmarkStart w:id="1559" w:name="RG_MARKER_12363"/>
      <w:bookmarkEnd w:id="1559"/>
    </w:p>
    <w:p w:rsidR="00D86095" w:rsidRDefault="00BA7A7F">
      <w:pPr>
        <w:pageBreakBefore/>
      </w:pPr>
      <w:bookmarkStart w:id="1560" w:name="RG_MARKER_12065"/>
      <w:r>
        <w:t xml:space="preserve">      </w:t>
      </w:r>
      <w:bookmarkEnd w:id="1560"/>
    </w:p>
    <w:p w:rsidR="004D0F5B" w:rsidRPr="00183196" w:rsidRDefault="00BA7A7F" w:rsidP="009420CE">
      <w:pPr>
        <w:pStyle w:val="ContentsHeading"/>
        <w:pageBreakBefore/>
        <w:spacing w:after="600"/>
        <w:rPr>
          <w:smallCaps w:val="0"/>
        </w:rPr>
      </w:pPr>
      <w:bookmarkStart w:id="1561" w:name="RG_MARKER_11906"/>
      <w:bookmarkStart w:id="1562" w:name="RG_MARKER_12156"/>
      <w:r w:rsidRPr="00183196">
        <w:rPr>
          <w:smallCaps w:val="0"/>
        </w:rPr>
        <w:t>National Offshore Petroleum Safety and Environmental Management Authority</w:t>
      </w:r>
      <w:bookmarkEnd w:id="1561"/>
      <w:bookmarkEnd w:id="1562"/>
    </w:p>
    <w:p w:rsidR="004D0F5B" w:rsidRPr="00846FBC" w:rsidRDefault="00BA7A7F" w:rsidP="00846FBC">
      <w:pPr>
        <w:pStyle w:val="TOC1"/>
      </w:pPr>
      <w:r w:rsidRPr="00846FBC">
        <w:t>Section 1: Entity overview and resources</w:t>
      </w:r>
      <w:r w:rsidRPr="00846FBC">
        <w:tab/>
        <w:t>319</w:t>
      </w:r>
    </w:p>
    <w:p w:rsidR="004D0F5B" w:rsidRDefault="00BA7A7F" w:rsidP="004D0F5B">
      <w:pPr>
        <w:pStyle w:val="TOC2"/>
      </w:pPr>
      <w:r>
        <w:t>1.1 Strategic direction statement</w:t>
      </w:r>
      <w:r>
        <w:tab/>
      </w:r>
      <w:r w:rsidRPr="00B75654">
        <w:t>319</w:t>
      </w:r>
    </w:p>
    <w:p w:rsidR="004D0F5B" w:rsidRDefault="00BA7A7F" w:rsidP="004D0F5B">
      <w:pPr>
        <w:pStyle w:val="TOC2"/>
      </w:pPr>
      <w:r>
        <w:t>1.2 Entity resource statement</w:t>
      </w:r>
      <w:r>
        <w:tab/>
      </w:r>
      <w:r w:rsidRPr="00B75654">
        <w:t>321</w:t>
      </w:r>
    </w:p>
    <w:p w:rsidR="00371743" w:rsidRDefault="00BA7A7F" w:rsidP="00371743">
      <w:pPr>
        <w:pStyle w:val="TOC2"/>
      </w:pPr>
      <w:r>
        <w:t>1.3 Budget measures</w:t>
      </w:r>
      <w:r>
        <w:tab/>
      </w:r>
      <w:r w:rsidRPr="006A481A">
        <w:t>322</w:t>
      </w:r>
    </w:p>
    <w:p w:rsidR="004D0F5B" w:rsidRDefault="00BA7A7F" w:rsidP="00846FBC">
      <w:pPr>
        <w:pStyle w:val="TOC1"/>
      </w:pPr>
      <w:r>
        <w:t>S</w:t>
      </w:r>
      <w:r w:rsidRPr="002645FE">
        <w:t xml:space="preserve">ection 2: </w:t>
      </w:r>
      <w:r>
        <w:t>O</w:t>
      </w:r>
      <w:r w:rsidRPr="002645FE">
        <w:t xml:space="preserve">utcomes and </w:t>
      </w:r>
      <w:r>
        <w:t>p</w:t>
      </w:r>
      <w:r w:rsidRPr="002645FE">
        <w:t xml:space="preserve">lanned </w:t>
      </w:r>
      <w:r>
        <w:t>p</w:t>
      </w:r>
      <w:r w:rsidRPr="002645FE">
        <w:t>erformance</w:t>
      </w:r>
      <w:r>
        <w:tab/>
        <w:t>323</w:t>
      </w:r>
    </w:p>
    <w:p w:rsidR="004D0F5B" w:rsidRDefault="00BA7A7F" w:rsidP="004D0F5B">
      <w:pPr>
        <w:pStyle w:val="TOC2"/>
      </w:pPr>
      <w:r>
        <w:t>2.1 Budgeted expenses and performance for Outcome 1</w:t>
      </w:r>
      <w:r>
        <w:tab/>
        <w:t>324</w:t>
      </w:r>
    </w:p>
    <w:p w:rsidR="004D0F5B" w:rsidRDefault="00BA7A7F" w:rsidP="00846FBC">
      <w:pPr>
        <w:pStyle w:val="TOC1"/>
      </w:pPr>
      <w:r>
        <w:t>S</w:t>
      </w:r>
      <w:r w:rsidRPr="002645FE">
        <w:t xml:space="preserve">ection 3: </w:t>
      </w:r>
      <w:r>
        <w:t>B</w:t>
      </w:r>
      <w:r w:rsidRPr="002645FE">
        <w:t xml:space="preserve">udgeted </w:t>
      </w:r>
      <w:r>
        <w:t>f</w:t>
      </w:r>
      <w:r w:rsidRPr="002645FE">
        <w:t xml:space="preserve">inancial </w:t>
      </w:r>
      <w:r>
        <w:t>s</w:t>
      </w:r>
      <w:r w:rsidRPr="002645FE">
        <w:t>tatements</w:t>
      </w:r>
      <w:r>
        <w:tab/>
      </w:r>
      <w:r w:rsidRPr="004F6A3E">
        <w:t>327</w:t>
      </w:r>
    </w:p>
    <w:p w:rsidR="00D86095" w:rsidRDefault="00BA7A7F" w:rsidP="005F2963">
      <w:pPr>
        <w:pStyle w:val="TOC2"/>
      </w:pPr>
      <w:r>
        <w:t>3.1 Budgeted financial statements</w:t>
      </w:r>
      <w:r>
        <w:tab/>
      </w:r>
      <w:r w:rsidRPr="004F6A3E">
        <w:t>327</w:t>
      </w:r>
    </w:p>
    <w:p w:rsidR="00D86095" w:rsidRDefault="00BA7A7F">
      <w:pPr>
        <w:pageBreakBefore/>
        <w:sectPr w:rsidR="00D86095" w:rsidSect="00D86095">
          <w:headerReference w:type="even" r:id="rId344"/>
          <w:headerReference w:type="default" r:id="rId345"/>
          <w:footerReference w:type="even" r:id="rId346"/>
          <w:footerReference w:type="default" r:id="rId347"/>
          <w:headerReference w:type="first" r:id="rId348"/>
          <w:footerReference w:type="first" r:id="rId349"/>
          <w:type w:val="continuous"/>
          <w:pgSz w:w="11906" w:h="16838"/>
          <w:pgMar w:top="2466" w:right="2098" w:bottom="2466" w:left="2098" w:header="1899" w:footer="1899" w:gutter="0"/>
          <w:pgBorders>
            <w:top w:val="nil"/>
            <w:left w:val="nil"/>
            <w:bottom w:val="nil"/>
            <w:right w:val="nil"/>
          </w:pgBorders>
          <w:cols w:space="720"/>
          <w:docGrid w:linePitch="360"/>
        </w:sectPr>
      </w:pPr>
      <w:bookmarkStart w:id="1563" w:name="RG_MARKER_11907"/>
      <w:bookmarkStart w:id="1564" w:name="RG_MARKER_12038"/>
      <w:r>
        <w:t xml:space="preserve">     </w:t>
      </w:r>
      <w:bookmarkEnd w:id="1563"/>
      <w:bookmarkEnd w:id="1564"/>
    </w:p>
    <w:p w:rsidR="00A85152" w:rsidRPr="00EA17A6" w:rsidRDefault="00BA7A7F" w:rsidP="00A85152">
      <w:pPr>
        <w:pStyle w:val="Heading1"/>
        <w:pageBreakBefore/>
        <w:rPr>
          <w:smallCaps w:val="0"/>
        </w:rPr>
      </w:pPr>
      <w:bookmarkStart w:id="1565" w:name="RG_MARKER_11912"/>
      <w:bookmarkStart w:id="1566" w:name="RG_MARKER_12057"/>
      <w:bookmarkStart w:id="1567" w:name="RG_MARKER_12103"/>
      <w:r w:rsidRPr="00EA17A6">
        <w:rPr>
          <w:smallCaps w:val="0"/>
        </w:rPr>
        <w:t>National Offshore Petroleum Safety and Environmental Management Authority</w:t>
      </w:r>
      <w:bookmarkEnd w:id="1565"/>
      <w:bookmarkEnd w:id="1566"/>
      <w:bookmarkEnd w:id="1567"/>
    </w:p>
    <w:p w:rsidR="00A85152" w:rsidRPr="00EA17A6" w:rsidRDefault="00BA7A7F" w:rsidP="00A85152">
      <w:pPr>
        <w:pStyle w:val="Heading2"/>
        <w:rPr>
          <w:b/>
          <w:sz w:val="26"/>
          <w:szCs w:val="26"/>
        </w:rPr>
      </w:pPr>
      <w:r w:rsidRPr="00EA17A6">
        <w:rPr>
          <w:b/>
          <w:sz w:val="26"/>
          <w:szCs w:val="26"/>
        </w:rPr>
        <w:t>Section 1</w:t>
      </w:r>
      <w:bookmarkStart w:id="1568" w:name="_Toc449255758_9"/>
      <w:bookmarkStart w:id="1569" w:name="_Toc446237031_9"/>
      <w:r w:rsidRPr="00EA17A6">
        <w:rPr>
          <w:b/>
          <w:sz w:val="26"/>
          <w:szCs w:val="26"/>
        </w:rPr>
        <w:t>: Entity overview and resources</w:t>
      </w:r>
      <w:bookmarkEnd w:id="1568"/>
      <w:bookmarkEnd w:id="1569"/>
    </w:p>
    <w:p w:rsidR="00A85152" w:rsidRPr="00EA17A6" w:rsidRDefault="00BA7A7F" w:rsidP="002278E8">
      <w:pPr>
        <w:pStyle w:val="Heading3"/>
        <w:spacing w:before="0" w:line="260" w:lineRule="exact"/>
        <w:rPr>
          <w:smallCaps w:val="0"/>
          <w:sz w:val="22"/>
          <w:szCs w:val="22"/>
        </w:rPr>
      </w:pPr>
      <w:bookmarkStart w:id="1570" w:name="_Toc210698428_8"/>
      <w:bookmarkStart w:id="1571" w:name="_Toc210646449_8"/>
      <w:bookmarkStart w:id="1572" w:name="_Toc210703209_8"/>
      <w:r w:rsidRPr="00EA17A6">
        <w:rPr>
          <w:smallCaps w:val="0"/>
          <w:sz w:val="22"/>
          <w:szCs w:val="22"/>
        </w:rPr>
        <w:t>1.1</w:t>
      </w:r>
      <w:r w:rsidRPr="00EA17A6">
        <w:rPr>
          <w:smallCaps w:val="0"/>
          <w:sz w:val="22"/>
          <w:szCs w:val="22"/>
        </w:rPr>
        <w:tab/>
        <w:t>Strategic direction</w:t>
      </w:r>
      <w:bookmarkEnd w:id="1570"/>
      <w:bookmarkEnd w:id="1571"/>
      <w:bookmarkEnd w:id="1572"/>
      <w:r w:rsidRPr="00EA17A6">
        <w:rPr>
          <w:smallCaps w:val="0"/>
          <w:sz w:val="22"/>
          <w:szCs w:val="22"/>
        </w:rPr>
        <w:t xml:space="preserve"> statement</w:t>
      </w:r>
    </w:p>
    <w:p w:rsidR="00152B0F" w:rsidRPr="00152B0F" w:rsidRDefault="00BA7A7F" w:rsidP="00152B0F">
      <w:pPr>
        <w:pStyle w:val="Exampletext"/>
        <w:rPr>
          <w:i w:val="0"/>
          <w:color w:val="000000"/>
        </w:rPr>
      </w:pPr>
      <w:r w:rsidRPr="00152B0F">
        <w:rPr>
          <w:i w:val="0"/>
          <w:color w:val="000000"/>
        </w:rPr>
        <w:t xml:space="preserve">The National Offshore Petroleum Safety and Environmental Management Authority (NOPSEMA) was established under the </w:t>
      </w:r>
      <w:r w:rsidRPr="00152B0F">
        <w:rPr>
          <w:color w:val="000000"/>
        </w:rPr>
        <w:t>Offshore Petroleum and</w:t>
      </w:r>
      <w:r w:rsidRPr="00152B0F">
        <w:rPr>
          <w:i w:val="0"/>
          <w:color w:val="000000"/>
        </w:rPr>
        <w:t xml:space="preserve"> </w:t>
      </w:r>
      <w:r w:rsidRPr="00152B0F">
        <w:rPr>
          <w:color w:val="000000"/>
        </w:rPr>
        <w:t>Greenhouse Gas Storage Act 2006</w:t>
      </w:r>
      <w:r w:rsidRPr="00152B0F">
        <w:rPr>
          <w:i w:val="0"/>
          <w:color w:val="000000"/>
        </w:rPr>
        <w:t xml:space="preserve"> (OPGGS Act) and as a corporate Commonwealth entity under the </w:t>
      </w:r>
      <w:r w:rsidRPr="00152B0F">
        <w:rPr>
          <w:color w:val="000000"/>
        </w:rPr>
        <w:t>Public Governance, Performance and Accountability Act 2013</w:t>
      </w:r>
      <w:r w:rsidRPr="00152B0F">
        <w:rPr>
          <w:i w:val="0"/>
          <w:color w:val="000000"/>
        </w:rPr>
        <w:t xml:space="preserve"> (PGPA Act). It operates on a cost recovery basis through levies and fees. NOPSEMA is an expertise-based regulator of occupational health and safety (OHS), well integrity and environmental management for all offshore petroleum operations in Commonwealth waters.  Commonwealth waters comprise those areas beyond three nautical miles from the territorial sea baseline</w:t>
      </w:r>
      <w:r>
        <w:rPr>
          <w:i w:val="0"/>
          <w:color w:val="000000"/>
          <w:vertAlign w:val="superscript"/>
        </w:rPr>
        <w:footnoteReference w:id="2"/>
      </w:r>
      <w:r w:rsidRPr="00152B0F">
        <w:rPr>
          <w:i w:val="0"/>
          <w:color w:val="000000"/>
        </w:rPr>
        <w:t>. NOPSEMA regulates petroleum operations in coastal waters only where a state or territory has conferred regulatory powers and functions on NOPSEMA</w:t>
      </w:r>
      <w:r>
        <w:rPr>
          <w:rStyle w:val="FootnoteReference"/>
          <w:i w:val="0"/>
          <w:color w:val="000000"/>
        </w:rPr>
        <w:footnoteReference w:id="3"/>
      </w:r>
      <w:r w:rsidRPr="00152B0F">
        <w:rPr>
          <w:i w:val="0"/>
          <w:color w:val="000000"/>
        </w:rPr>
        <w:t>.  NOPSEMA fulfils its regulatory role through delivery of its core functions: assessment, inspection, investigation, and enforcement.</w:t>
      </w:r>
    </w:p>
    <w:p w:rsidR="00152B0F" w:rsidRPr="00152B0F" w:rsidRDefault="00BA7A7F" w:rsidP="00152B0F">
      <w:pPr>
        <w:rPr>
          <w:color w:val="000000"/>
          <w:lang w:eastAsia="x-none"/>
        </w:rPr>
      </w:pPr>
      <w:r w:rsidRPr="00152B0F">
        <w:rPr>
          <w:color w:val="000000"/>
          <w:lang w:eastAsia="x-none"/>
        </w:rPr>
        <w:t>NOPSEMA’s core functions are detailed in section 646 of the OPGGS Act. NOPSEMA will continue to focus on its core functions to promote improvement in industry performance and to secure duty holder compliance. In 2022-23, NOPSEMA’s key priorities will include:</w:t>
      </w:r>
    </w:p>
    <w:p w:rsidR="00152B0F" w:rsidRPr="00152B0F" w:rsidRDefault="00BA7A7F" w:rsidP="00275275">
      <w:pPr>
        <w:pStyle w:val="Exampletextbullet"/>
        <w:numPr>
          <w:ilvl w:val="0"/>
          <w:numId w:val="140"/>
        </w:numPr>
        <w:spacing w:after="0"/>
        <w:rPr>
          <w:i w:val="0"/>
          <w:color w:val="000000"/>
          <w:lang w:val="en-AU"/>
        </w:rPr>
      </w:pPr>
      <w:r>
        <w:rPr>
          <w:i w:val="0"/>
          <w:color w:val="000000"/>
          <w:lang w:val="en-AU"/>
        </w:rPr>
        <w:t>P</w:t>
      </w:r>
      <w:r w:rsidR="003D2F7B" w:rsidRPr="00152B0F">
        <w:rPr>
          <w:i w:val="0"/>
          <w:color w:val="000000"/>
          <w:lang w:val="en-AU"/>
        </w:rPr>
        <w:t>roviding expert, consistent, and independent regulatory decisions in accordance with legislation</w:t>
      </w:r>
      <w:r>
        <w:rPr>
          <w:i w:val="0"/>
          <w:color w:val="000000"/>
          <w:lang w:val="en-AU"/>
        </w:rPr>
        <w:t>.</w:t>
      </w:r>
    </w:p>
    <w:p w:rsidR="00152B0F" w:rsidRPr="00152B0F" w:rsidRDefault="00BA7A7F" w:rsidP="00275275">
      <w:pPr>
        <w:pStyle w:val="Exampletextbullet"/>
        <w:numPr>
          <w:ilvl w:val="0"/>
          <w:numId w:val="140"/>
        </w:numPr>
        <w:spacing w:after="0"/>
        <w:rPr>
          <w:i w:val="0"/>
          <w:color w:val="auto"/>
        </w:rPr>
      </w:pPr>
      <w:r>
        <w:rPr>
          <w:i w:val="0"/>
          <w:color w:val="000000"/>
          <w:lang w:val="en-AU"/>
        </w:rPr>
        <w:t>C</w:t>
      </w:r>
      <w:r w:rsidR="003D2F7B" w:rsidRPr="00152B0F">
        <w:rPr>
          <w:i w:val="0"/>
          <w:color w:val="000000"/>
          <w:lang w:val="en-AU"/>
        </w:rPr>
        <w:t xml:space="preserve">ommunicating information and regulatory perspectives to stakeholders to drive </w:t>
      </w:r>
      <w:r w:rsidR="003D2F7B" w:rsidRPr="00152B0F">
        <w:rPr>
          <w:i w:val="0"/>
          <w:color w:val="auto"/>
        </w:rPr>
        <w:t>improvements in industry performance while maintaining safety and environmental safeguards</w:t>
      </w:r>
      <w:r>
        <w:rPr>
          <w:i w:val="0"/>
          <w:color w:val="auto"/>
          <w:lang w:val="en-AU"/>
        </w:rPr>
        <w:t>.</w:t>
      </w:r>
    </w:p>
    <w:p w:rsidR="00152B0F" w:rsidRDefault="00BA7A7F" w:rsidP="00275275">
      <w:pPr>
        <w:pStyle w:val="Exampletextbullet"/>
        <w:numPr>
          <w:ilvl w:val="0"/>
          <w:numId w:val="140"/>
        </w:numPr>
        <w:spacing w:after="0"/>
        <w:rPr>
          <w:i w:val="0"/>
          <w:color w:val="000000"/>
          <w:lang w:val="en-AU"/>
        </w:rPr>
      </w:pPr>
      <w:r>
        <w:rPr>
          <w:i w:val="0"/>
          <w:color w:val="000000"/>
          <w:lang w:val="en-AU"/>
        </w:rPr>
        <w:t>P</w:t>
      </w:r>
      <w:r w:rsidR="003D2F7B" w:rsidRPr="001C29F2">
        <w:rPr>
          <w:i w:val="0"/>
          <w:color w:val="000000"/>
          <w:lang w:val="en-AU"/>
        </w:rPr>
        <w:t>roviding operational and regulatory advice to government on legislative development and reform initiatives</w:t>
      </w:r>
      <w:r>
        <w:rPr>
          <w:i w:val="0"/>
          <w:color w:val="000000"/>
          <w:lang w:val="en-AU"/>
        </w:rPr>
        <w:t>.</w:t>
      </w:r>
    </w:p>
    <w:p w:rsidR="00275275" w:rsidRPr="008E7EC6" w:rsidRDefault="00BA7A7F" w:rsidP="00275275">
      <w:pPr>
        <w:pStyle w:val="Exampletextbullet"/>
        <w:numPr>
          <w:ilvl w:val="0"/>
          <w:numId w:val="140"/>
        </w:numPr>
        <w:spacing w:after="0"/>
        <w:rPr>
          <w:i w:val="0"/>
          <w:color w:val="auto"/>
        </w:rPr>
      </w:pPr>
      <w:r>
        <w:rPr>
          <w:i w:val="0"/>
          <w:color w:val="auto"/>
          <w:lang w:val="en-AU"/>
        </w:rPr>
        <w:t>F</w:t>
      </w:r>
      <w:r>
        <w:rPr>
          <w:i w:val="0"/>
          <w:color w:val="auto"/>
        </w:rPr>
        <w:t>urther developing effective working relationships with stakeholders to aid understanding of relevant regulatory requirements</w:t>
      </w:r>
      <w:r>
        <w:rPr>
          <w:i w:val="0"/>
          <w:color w:val="auto"/>
          <w:lang w:val="en-AU"/>
        </w:rPr>
        <w:t>.</w:t>
      </w:r>
    </w:p>
    <w:p w:rsidR="008E7EC6" w:rsidRDefault="008E7EC6" w:rsidP="0015139B">
      <w:pPr>
        <w:pStyle w:val="Exampletextbullet"/>
        <w:spacing w:after="0"/>
        <w:ind w:left="284"/>
        <w:rPr>
          <w:i w:val="0"/>
          <w:vanish/>
          <w:color w:val="auto"/>
        </w:rPr>
        <w:sectPr w:rsidR="008E7EC6" w:rsidSect="00E007A4">
          <w:headerReference w:type="even" r:id="rId350"/>
          <w:headerReference w:type="default" r:id="rId351"/>
          <w:footerReference w:type="even" r:id="rId352"/>
          <w:footerReference w:type="default" r:id="rId353"/>
          <w:headerReference w:type="first" r:id="rId354"/>
          <w:footerReference w:type="first" r:id="rId355"/>
          <w:type w:val="continuous"/>
          <w:pgSz w:w="11906" w:h="16838"/>
          <w:pgMar w:top="2466" w:right="2098" w:bottom="2466" w:left="2098" w:header="1899" w:footer="1899" w:gutter="0"/>
          <w:pgBorders>
            <w:top w:val="nil"/>
            <w:left w:val="nil"/>
            <w:bottom w:val="nil"/>
            <w:right w:val="nil"/>
          </w:pgBorders>
          <w:cols w:space="720"/>
          <w:docGrid w:linePitch="360"/>
        </w:sectPr>
      </w:pPr>
    </w:p>
    <w:p w:rsidR="003346BE" w:rsidRPr="003346BE" w:rsidRDefault="00BA7A7F" w:rsidP="003346BE">
      <w:pPr>
        <w:pStyle w:val="Exampletextbullet"/>
        <w:pageBreakBefore/>
        <w:numPr>
          <w:ilvl w:val="0"/>
          <w:numId w:val="141"/>
        </w:numPr>
        <w:spacing w:after="0"/>
        <w:rPr>
          <w:i w:val="0"/>
          <w:color w:val="auto"/>
        </w:rPr>
      </w:pPr>
      <w:bookmarkStart w:id="1573" w:name="RG_MARKER_12073"/>
      <w:r>
        <w:rPr>
          <w:i w:val="0"/>
          <w:color w:val="auto"/>
          <w:lang w:val="en-AU"/>
        </w:rPr>
        <w:t>Progressing transparency and stakeholder engagement initiatives with a view to enhancing the community’s level of trust in NOPSEMA as a robust, fair, and transparent regulator.</w:t>
      </w:r>
      <w:bookmarkEnd w:id="1573"/>
    </w:p>
    <w:p w:rsidR="003346BE" w:rsidRPr="003346BE" w:rsidRDefault="00BA7A7F" w:rsidP="003346BE">
      <w:pPr>
        <w:pStyle w:val="Exampletextbullet"/>
        <w:numPr>
          <w:ilvl w:val="0"/>
          <w:numId w:val="141"/>
        </w:numPr>
        <w:spacing w:after="0"/>
        <w:rPr>
          <w:i w:val="0"/>
          <w:color w:val="auto"/>
        </w:rPr>
      </w:pPr>
      <w:r>
        <w:rPr>
          <w:i w:val="0"/>
          <w:color w:val="auto"/>
          <w:lang w:val="en-AU"/>
        </w:rPr>
        <w:t>P</w:t>
      </w:r>
      <w:r w:rsidRPr="00591850">
        <w:rPr>
          <w:i w:val="0"/>
          <w:color w:val="auto"/>
        </w:rPr>
        <w:t>roviding a basis for conferral of powers and functions for coastal waters from states/territories</w:t>
      </w:r>
      <w:r w:rsidRPr="00591850">
        <w:rPr>
          <w:i w:val="0"/>
          <w:color w:val="auto"/>
          <w:lang w:val="en-AU"/>
        </w:rPr>
        <w:t xml:space="preserve"> and further regulatory streamlining opportunities within Commonwealth waters</w:t>
      </w:r>
      <w:r>
        <w:rPr>
          <w:i w:val="0"/>
          <w:color w:val="auto"/>
          <w:lang w:val="en-AU"/>
        </w:rPr>
        <w:t>.</w:t>
      </w:r>
    </w:p>
    <w:p w:rsidR="00591850" w:rsidRPr="00591850" w:rsidRDefault="00BA7A7F" w:rsidP="00106FBA">
      <w:pPr>
        <w:pStyle w:val="Exampletextbullet"/>
        <w:numPr>
          <w:ilvl w:val="0"/>
          <w:numId w:val="141"/>
        </w:numPr>
        <w:spacing w:after="0"/>
        <w:rPr>
          <w:i w:val="0"/>
          <w:color w:val="auto"/>
        </w:rPr>
      </w:pPr>
      <w:r>
        <w:rPr>
          <w:i w:val="0"/>
          <w:color w:val="auto"/>
          <w:lang w:val="en-AU"/>
        </w:rPr>
        <w:t>W</w:t>
      </w:r>
      <w:r w:rsidRPr="00591850">
        <w:rPr>
          <w:i w:val="0"/>
          <w:color w:val="auto"/>
        </w:rPr>
        <w:t>orking with industry and other stakeholders to reduce</w:t>
      </w:r>
      <w:r w:rsidRPr="00591850">
        <w:rPr>
          <w:i w:val="0"/>
          <w:color w:val="auto"/>
          <w:lang w:val="en-AU"/>
        </w:rPr>
        <w:t xml:space="preserve"> the</w:t>
      </w:r>
      <w:r w:rsidRPr="00591850">
        <w:rPr>
          <w:i w:val="0"/>
          <w:color w:val="auto"/>
        </w:rPr>
        <w:t xml:space="preserve"> regulatory burden and unnecessary compliance costs</w:t>
      </w:r>
      <w:r>
        <w:rPr>
          <w:i w:val="0"/>
          <w:color w:val="auto"/>
          <w:lang w:val="en-AU"/>
        </w:rPr>
        <w:t>.</w:t>
      </w:r>
    </w:p>
    <w:p w:rsidR="00591850" w:rsidRPr="00591850" w:rsidRDefault="00BA7A7F" w:rsidP="00591850">
      <w:pPr>
        <w:pStyle w:val="Exampletextbullet"/>
        <w:numPr>
          <w:ilvl w:val="0"/>
          <w:numId w:val="141"/>
        </w:numPr>
        <w:rPr>
          <w:i w:val="0"/>
          <w:color w:val="auto"/>
        </w:rPr>
      </w:pPr>
      <w:r>
        <w:rPr>
          <w:i w:val="0"/>
          <w:color w:val="auto"/>
          <w:lang w:val="en-AU"/>
        </w:rPr>
        <w:t>C</w:t>
      </w:r>
      <w:r w:rsidRPr="00591850">
        <w:rPr>
          <w:i w:val="0"/>
          <w:color w:val="auto"/>
        </w:rPr>
        <w:t>ollaborating with international regulatory counterparts on joint progr</w:t>
      </w:r>
      <w:r>
        <w:rPr>
          <w:i w:val="0"/>
          <w:color w:val="auto"/>
        </w:rPr>
        <w:t xml:space="preserve">am initiatives and information </w:t>
      </w:r>
      <w:r w:rsidRPr="00591850">
        <w:rPr>
          <w:i w:val="0"/>
          <w:color w:val="auto"/>
        </w:rPr>
        <w:t>sharing.</w:t>
      </w:r>
    </w:p>
    <w:p w:rsidR="00591850" w:rsidRPr="00591850" w:rsidRDefault="00BA7A7F" w:rsidP="00591850">
      <w:pPr>
        <w:rPr>
          <w:lang w:val="x-none" w:eastAsia="x-none"/>
        </w:rPr>
      </w:pPr>
      <w:r w:rsidRPr="00591850">
        <w:rPr>
          <w:lang w:val="x-none" w:eastAsia="x-none"/>
        </w:rPr>
        <w:t>NOPSEMA’s Corporate Plan 20</w:t>
      </w:r>
      <w:r w:rsidRPr="00591850">
        <w:rPr>
          <w:lang w:eastAsia="x-none"/>
        </w:rPr>
        <w:t>21-26</w:t>
      </w:r>
      <w:r w:rsidRPr="00591850">
        <w:rPr>
          <w:lang w:val="x-none" w:eastAsia="x-none"/>
        </w:rPr>
        <w:t xml:space="preserve"> provides further details on the direction for the organisation. The corporate plan is prepared under the OPGGS Act and in compliance with the PGPA Act. It can be accessed at </w:t>
      </w:r>
      <w:hyperlink r:id="rId356" w:history="1">
        <w:r w:rsidRPr="00591850">
          <w:rPr>
            <w:rStyle w:val="Hyperlink"/>
            <w:lang w:val="x-none" w:eastAsia="x-none"/>
          </w:rPr>
          <w:t>www.nopsema.gov.au</w:t>
        </w:r>
      </w:hyperlink>
      <w:r w:rsidRPr="00591850">
        <w:rPr>
          <w:lang w:val="x-none" w:eastAsia="x-none"/>
        </w:rPr>
        <w:t>, together with information about the history of NOPSEMA.</w:t>
      </w:r>
    </w:p>
    <w:p w:rsidR="00591850" w:rsidRPr="00591850" w:rsidRDefault="00BA7A7F" w:rsidP="00591850">
      <w:pPr>
        <w:pStyle w:val="Exampletext"/>
        <w:rPr>
          <w:i w:val="0"/>
          <w:color w:val="000000"/>
          <w:lang w:eastAsia="x-none"/>
        </w:rPr>
      </w:pPr>
      <w:r w:rsidRPr="00591850">
        <w:rPr>
          <w:i w:val="0"/>
          <w:color w:val="000000"/>
        </w:rPr>
        <w:t xml:space="preserve">In addition to regulating offshore petroleum activities, following passage of the </w:t>
      </w:r>
      <w:r w:rsidRPr="00591850">
        <w:rPr>
          <w:color w:val="000000"/>
        </w:rPr>
        <w:t>Offshore Electricity Infrastructure Act 2021</w:t>
      </w:r>
      <w:r w:rsidRPr="00591850">
        <w:rPr>
          <w:i w:val="0"/>
          <w:color w:val="000000"/>
        </w:rPr>
        <w:t xml:space="preserve"> NOPSEMA has been given the role and functions of the Offshore Infrastructure Regulator (the Regulator). The Regulator has primary responsibility for work health and safety, environmental management, infrastructure integrity and financial security for offshore infrastructure activities. The Regulator will also provide specialist technical advice to the Department of Agriculture, Water and the Environment to support the assessment of offshore renewable energy proposals under the </w:t>
      </w:r>
      <w:r w:rsidRPr="007403DD">
        <w:rPr>
          <w:iCs/>
          <w:color w:val="000000"/>
        </w:rPr>
        <w:t>Environment Protection and Biodiversity Conservation Act 1999</w:t>
      </w:r>
      <w:r w:rsidRPr="00591850">
        <w:rPr>
          <w:i w:val="0"/>
          <w:iCs/>
          <w:color w:val="000000"/>
        </w:rPr>
        <w:t xml:space="preserve">.  </w:t>
      </w:r>
      <w:r w:rsidRPr="00591850">
        <w:rPr>
          <w:i w:val="0"/>
          <w:color w:val="000000"/>
        </w:rPr>
        <w:t>The Regulator will provide guidance and advice on how to comply with the regulatory requirements.</w:t>
      </w:r>
    </w:p>
    <w:p w:rsidR="004C2526" w:rsidRPr="00A20F3D" w:rsidRDefault="00BA7A7F" w:rsidP="004C2526">
      <w:pPr>
        <w:pStyle w:val="Heading3"/>
        <w:pageBreakBefore/>
        <w:rPr>
          <w:smallCaps w:val="0"/>
          <w:sz w:val="22"/>
          <w:szCs w:val="22"/>
        </w:rPr>
      </w:pPr>
      <w:bookmarkStart w:id="1574" w:name="RG_MARKER_12056"/>
      <w:bookmarkStart w:id="1575" w:name="RG_MARKER_12205"/>
      <w:r w:rsidRPr="00A20F3D">
        <w:rPr>
          <w:smallCaps w:val="0"/>
          <w:sz w:val="22"/>
          <w:szCs w:val="22"/>
        </w:rPr>
        <w:t>1.2</w:t>
      </w:r>
      <w:bookmarkEnd w:id="1574"/>
      <w:bookmarkEnd w:id="1575"/>
      <w:r w:rsidRPr="00A20F3D">
        <w:rPr>
          <w:smallCaps w:val="0"/>
          <w:sz w:val="22"/>
          <w:szCs w:val="22"/>
        </w:rPr>
        <w:tab/>
        <w:t>Entity resource statement</w:t>
      </w:r>
    </w:p>
    <w:p w:rsidR="000414C6" w:rsidRPr="000414C6" w:rsidRDefault="00BA7A7F" w:rsidP="000414C6">
      <w:bookmarkStart w:id="1576" w:name="OLE_LINK12_8"/>
      <w:bookmarkStart w:id="1577" w:name="OLE_LINK11_8"/>
      <w:r w:rsidRPr="000414C6">
        <w:t>Table 1.1 shows the total funding from all sources available to the entity for its operations and to deliver programs and services on behalf of the Government.</w:t>
      </w:r>
    </w:p>
    <w:p w:rsidR="000414C6" w:rsidRPr="000414C6" w:rsidRDefault="00BA7A7F" w:rsidP="000414C6">
      <w:r w:rsidRPr="000414C6">
        <w:t>The table summarises how resources will be applied by outcome (government strategic policy objectives) and by administered (on behalf of the Government or the public) and departmental (for the entity’s operations) classification.</w:t>
      </w:r>
    </w:p>
    <w:p w:rsidR="000414C6" w:rsidRPr="000414C6" w:rsidRDefault="00BA7A7F" w:rsidP="000414C6">
      <w:r w:rsidRPr="000414C6">
        <w:t xml:space="preserve">Information in this table is presented on a resourcing (that is, appropriations/cash available) basis, whilst the ‘Budgeted expenses by Outcome </w:t>
      </w:r>
      <w:r w:rsidRPr="00ED0FF3">
        <w:t>1</w:t>
      </w:r>
      <w:r w:rsidRPr="000414C6">
        <w:t>’ tables in Section 2 and the financial statements in Section 3 are presented on an accrual basis.</w:t>
      </w:r>
      <w:bookmarkEnd w:id="1576"/>
      <w:bookmarkEnd w:id="1577"/>
    </w:p>
    <w:p w:rsidR="00AE6457" w:rsidRDefault="00BA7A7F">
      <w:pPr>
        <w:keepLines w:val="0"/>
        <w:spacing w:after="200" w:line="276" w:lineRule="auto"/>
        <w:jc w:val="left"/>
        <w:rPr>
          <w:rFonts w:ascii="Arial" w:hAnsi="Arial"/>
          <w:b/>
        </w:rPr>
      </w:pPr>
      <w:r>
        <w:br w:type="page"/>
      </w:r>
    </w:p>
    <w:p w:rsidR="004C2526" w:rsidRDefault="00BA7A7F" w:rsidP="00A20F3D">
      <w:pPr>
        <w:pStyle w:val="TableHeading"/>
        <w:keepLines/>
        <w:spacing w:before="240" w:after="0"/>
        <w:ind w:right="567"/>
      </w:pPr>
      <w:r w:rsidRPr="004C2526">
        <w:t xml:space="preserve">Table 1.1: </w:t>
      </w:r>
      <w:r>
        <w:rPr>
          <w:snapToGrid w:val="0"/>
        </w:rPr>
        <w:t>NOPSEMA</w:t>
      </w:r>
      <w:r w:rsidRPr="004C2526">
        <w:t xml:space="preserve"> </w:t>
      </w:r>
      <w:r>
        <w:t>resource statement – B</w:t>
      </w:r>
      <w:r w:rsidRPr="00612A36">
        <w:t xml:space="preserve">udget estimates </w:t>
      </w:r>
      <w:r w:rsidRPr="004C2526">
        <w:t xml:space="preserve">for </w:t>
      </w:r>
      <w:r>
        <w:t>2022­23</w:t>
      </w:r>
      <w:r w:rsidRPr="004C2526">
        <w:t xml:space="preserve"> </w:t>
      </w:r>
      <w:r w:rsidRPr="00612A36">
        <w:t>as at Budget March</w:t>
      </w:r>
      <w:r w:rsidRPr="004C2526">
        <w:t xml:space="preserve"> </w:t>
      </w:r>
      <w:r>
        <w:t>2022</w:t>
      </w:r>
    </w:p>
    <w:tbl>
      <w:tblPr>
        <w:tblStyle w:val="CDMRange1"/>
        <w:tblW w:w="7695" w:type="dxa"/>
        <w:tblLayout w:type="fixed"/>
        <w:tblLook w:val="0600" w:firstRow="0" w:lastRow="0" w:firstColumn="0" w:lastColumn="0" w:noHBand="1" w:noVBand="1"/>
      </w:tblPr>
      <w:tblGrid>
        <w:gridCol w:w="5475"/>
        <w:gridCol w:w="1110"/>
        <w:gridCol w:w="1110"/>
      </w:tblGrid>
      <w:tr w:rsidR="00253274">
        <w:trPr>
          <w:trHeight w:val="800"/>
        </w:trPr>
        <w:tc>
          <w:tcPr>
            <w:tcW w:w="54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10"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  Estimated actual</w:t>
            </w:r>
          </w:p>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 Estimate</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20,461</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17,348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services (a) </w:t>
            </w:r>
          </w:p>
        </w:tc>
        <w:tc>
          <w:tcPr>
            <w:tcW w:w="1110" w:type="dxa"/>
            <w:tcBorders>
              <w:top w:val="nil"/>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10" w:type="dxa"/>
            <w:tcBorders>
              <w:top w:val="nil"/>
              <w:left w:val="nil"/>
              <w:bottom w:val="nil"/>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667</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2,149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(b)</w:t>
            </w:r>
          </w:p>
        </w:tc>
        <w:tc>
          <w:tcPr>
            <w:tcW w:w="1110" w:type="dxa"/>
            <w:tcBorders>
              <w:top w:val="nil"/>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10"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475" w:type="dxa"/>
            <w:tcBorders>
              <w:top w:val="nil"/>
              <w:left w:val="nil"/>
              <w:bottom w:val="nil"/>
              <w:right w:val="nil"/>
              <w:tl2br w:val="nil"/>
              <w:tr2bl w:val="nil"/>
            </w:tcBorders>
            <w:shd w:val="clear" w:color="FFFFFF" w:fill="FFFFFF"/>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10" w:type="dxa"/>
            <w:tcBorders>
              <w:top w:val="nil"/>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6,149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667</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8,298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Amounts received from related entities</w:t>
            </w:r>
          </w:p>
        </w:tc>
        <w:tc>
          <w:tcPr>
            <w:tcW w:w="11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Amounts from portfolio department (c) </w:t>
            </w:r>
          </w:p>
        </w:tc>
        <w:tc>
          <w:tcPr>
            <w:tcW w:w="111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34,572</w:t>
            </w: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41,370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amounts received from related entities</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34,572</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41,370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35,239</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49,668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10" w:type="dxa"/>
            <w:tcBorders>
              <w:top w:val="nil"/>
              <w:left w:val="nil"/>
              <w:bottom w:val="nil"/>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207</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1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633</w:t>
            </w: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1,259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840</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1,446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7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NOPSEMA</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56,540</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68,462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47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10"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i/>
                <w:color w:val="000000"/>
                <w:sz w:val="16"/>
              </w:rPr>
            </w:pPr>
          </w:p>
        </w:tc>
        <w:tc>
          <w:tcPr>
            <w:tcW w:w="1110"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4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10"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rsidR="00253274" w:rsidRDefault="00BA7A7F">
            <w:pPr>
              <w:spacing w:after="0" w:line="240" w:lineRule="auto"/>
              <w:jc w:val="right"/>
              <w:rPr>
                <w:rFonts w:ascii="Arial" w:eastAsia="Arial" w:hAnsi="Arial" w:cs="Arial"/>
                <w:i/>
                <w:color w:val="000000"/>
                <w:sz w:val="16"/>
              </w:rPr>
            </w:pPr>
            <w:r>
              <w:rPr>
                <w:rFonts w:ascii="Arial" w:eastAsia="Arial" w:hAnsi="Arial" w:cs="Arial"/>
                <w:i/>
                <w:color w:val="000000"/>
                <w:sz w:val="16"/>
              </w:rPr>
              <w:t>135</w:t>
            </w:r>
          </w:p>
        </w:tc>
        <w:tc>
          <w:tcPr>
            <w:tcW w:w="111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135</w:t>
            </w:r>
          </w:p>
        </w:tc>
      </w:tr>
    </w:tbl>
    <w:p w:rsidR="003E78E5" w:rsidRPr="00171830" w:rsidRDefault="00BA7A7F" w:rsidP="005D3253">
      <w:pPr>
        <w:spacing w:before="40" w:after="0" w:line="240" w:lineRule="auto"/>
        <w:rPr>
          <w:rFonts w:ascii="Arial" w:eastAsia="Calibri" w:hAnsi="Arial" w:cs="Arial"/>
          <w:sz w:val="16"/>
          <w:szCs w:val="16"/>
          <w:bdr w:val="none" w:sz="0" w:space="0" w:color="auto" w:frame="1"/>
        </w:rPr>
      </w:pPr>
      <w:r w:rsidRPr="00B31D3F">
        <w:rPr>
          <w:rFonts w:ascii="Arial" w:eastAsia="Calibri" w:hAnsi="Arial" w:cs="Arial"/>
          <w:sz w:val="16"/>
          <w:bdr w:val="none" w:sz="0" w:space="0" w:color="auto" w:frame="1"/>
        </w:rPr>
        <w:t>All figures shown above are GST exclusive – these may not match figures in the cash flow statement.</w:t>
      </w:r>
      <w:r>
        <w:rPr>
          <w:rFonts w:ascii="Arial" w:eastAsia="Calibri" w:hAnsi="Arial" w:cs="Arial"/>
          <w:sz w:val="16"/>
          <w:bdr w:val="none" w:sz="0" w:space="0" w:color="auto" w:frame="1"/>
        </w:rPr>
        <w:t xml:space="preserve"> Prepared on a resourcing (i.e. appropriations available basis).</w:t>
      </w:r>
    </w:p>
    <w:p w:rsidR="00881E3C" w:rsidRPr="00171830" w:rsidRDefault="00BA7A7F" w:rsidP="00FB0A93">
      <w:pPr>
        <w:pStyle w:val="ListParagraph"/>
        <w:keepLines/>
        <w:numPr>
          <w:ilvl w:val="0"/>
          <w:numId w:val="142"/>
        </w:numPr>
        <w:spacing w:after="0" w:line="276" w:lineRule="auto"/>
        <w:jc w:val="left"/>
        <w:rPr>
          <w:rFonts w:eastAsia="Calibri" w:cs="Arial"/>
          <w:sz w:val="16"/>
          <w:szCs w:val="16"/>
          <w:bdr w:val="none" w:sz="0" w:space="0" w:color="auto" w:frame="1"/>
          <w:lang w:val="en-AU"/>
        </w:rPr>
      </w:pPr>
      <w:r w:rsidRPr="00171830">
        <w:rPr>
          <w:rFonts w:ascii="Arial" w:eastAsia="Calibri" w:hAnsi="Arial" w:cs="Arial"/>
          <w:sz w:val="16"/>
          <w:szCs w:val="16"/>
          <w:bdr w:val="none" w:sz="0" w:space="0" w:color="auto" w:frame="1"/>
          <w:lang w:val="en-AU"/>
        </w:rPr>
        <w:t>Appropriation Bill (No. 1) 2022-23.</w:t>
      </w:r>
    </w:p>
    <w:p w:rsidR="00171830" w:rsidRPr="00171830" w:rsidRDefault="00BA7A7F" w:rsidP="00FB0A93">
      <w:pPr>
        <w:pStyle w:val="ListParagraph"/>
        <w:keepLines/>
        <w:numPr>
          <w:ilvl w:val="0"/>
          <w:numId w:val="142"/>
        </w:numPr>
        <w:spacing w:after="0" w:line="240" w:lineRule="auto"/>
        <w:ind w:left="357" w:hanging="357"/>
        <w:contextualSpacing w:val="0"/>
        <w:rPr>
          <w:rFonts w:eastAsia="Calibri" w:cs="Arial"/>
          <w:sz w:val="16"/>
          <w:szCs w:val="16"/>
          <w:bdr w:val="none" w:sz="0" w:space="0" w:color="auto" w:frame="1"/>
          <w:lang w:val="en-AU"/>
        </w:rPr>
      </w:pPr>
      <w:r w:rsidRPr="00171830">
        <w:rPr>
          <w:rFonts w:ascii="Arial" w:eastAsia="Calibri" w:hAnsi="Arial" w:cs="Arial"/>
          <w:sz w:val="16"/>
          <w:szCs w:val="16"/>
          <w:bdr w:val="none" w:sz="0" w:space="0" w:color="auto" w:frame="1"/>
          <w:lang w:val="en-AU"/>
        </w:rPr>
        <w:t>Appropriation Bill (No. 2) 2022-23.</w:t>
      </w:r>
    </w:p>
    <w:p w:rsidR="00476A31" w:rsidRPr="00667353" w:rsidRDefault="00BA7A7F" w:rsidP="00476A31">
      <w:pPr>
        <w:pStyle w:val="ListParagraph"/>
        <w:keepLines/>
        <w:numPr>
          <w:ilvl w:val="0"/>
          <w:numId w:val="142"/>
        </w:numPr>
        <w:spacing w:after="0" w:line="240" w:lineRule="auto"/>
        <w:ind w:left="357" w:hanging="357"/>
        <w:contextualSpacing w:val="0"/>
        <w:rPr>
          <w:rFonts w:eastAsia="Calibri" w:cs="Arial"/>
          <w:sz w:val="16"/>
          <w:szCs w:val="16"/>
          <w:bdr w:val="none" w:sz="0" w:space="0" w:color="auto" w:frame="1"/>
          <w:lang w:val="en-AU"/>
        </w:rPr>
      </w:pPr>
      <w:r w:rsidRPr="00667353">
        <w:rPr>
          <w:rFonts w:ascii="Arial" w:eastAsia="Calibri" w:hAnsi="Arial" w:cs="Arial"/>
          <w:sz w:val="16"/>
          <w:szCs w:val="16"/>
          <w:bdr w:val="none" w:sz="0" w:space="0" w:color="auto" w:frame="1"/>
          <w:lang w:val="en-AU"/>
        </w:rPr>
        <w:t>NOPSEMA became a corporate Commonwealth entity on 1 July 2014 and receives its funding through a special appropriation which is administered through the Department of Industry, Science, Energy and Resources. This funding is equal in value to the levies NOPSEMA collects from the oil and gas industries.$0.8</w:t>
      </w:r>
      <w:r>
        <w:rPr>
          <w:rFonts w:ascii="Arial" w:eastAsia="Calibri" w:hAnsi="Arial" w:cs="Arial"/>
          <w:sz w:val="16"/>
          <w:szCs w:val="16"/>
          <w:bdr w:val="none" w:sz="0" w:space="0" w:color="auto" w:frame="1"/>
          <w:lang w:val="en-AU"/>
        </w:rPr>
        <w:t> million</w:t>
      </w:r>
      <w:r w:rsidRPr="00667353">
        <w:rPr>
          <w:rFonts w:ascii="Arial" w:eastAsia="Calibri" w:hAnsi="Arial" w:cs="Arial"/>
          <w:sz w:val="16"/>
          <w:szCs w:val="16"/>
          <w:bdr w:val="none" w:sz="0" w:space="0" w:color="auto" w:frame="1"/>
          <w:lang w:val="en-AU"/>
        </w:rPr>
        <w:t xml:space="preserve"> wi</w:t>
      </w:r>
      <w:r>
        <w:rPr>
          <w:rFonts w:ascii="Arial" w:eastAsia="Calibri" w:hAnsi="Arial" w:cs="Arial"/>
          <w:sz w:val="16"/>
          <w:szCs w:val="16"/>
          <w:bdr w:val="none" w:sz="0" w:space="0" w:color="auto" w:frame="1"/>
          <w:lang w:val="en-AU"/>
        </w:rPr>
        <w:t>ll be received through the 2021</w:t>
      </w:r>
      <w:r>
        <w:rPr>
          <w:rFonts w:ascii="Arial" w:eastAsia="Calibri" w:hAnsi="Arial" w:cs="Arial"/>
          <w:sz w:val="16"/>
          <w:szCs w:val="16"/>
          <w:bdr w:val="none" w:sz="0" w:space="0" w:color="auto" w:frame="1"/>
          <w:lang w:val="en-AU"/>
        </w:rPr>
        <w:noBreakHyphen/>
      </w:r>
      <w:r w:rsidRPr="00667353">
        <w:rPr>
          <w:rFonts w:ascii="Arial" w:eastAsia="Calibri" w:hAnsi="Arial" w:cs="Arial"/>
          <w:sz w:val="16"/>
          <w:szCs w:val="16"/>
          <w:bdr w:val="none" w:sz="0" w:space="0" w:color="auto" w:frame="1"/>
          <w:lang w:val="en-AU"/>
        </w:rPr>
        <w:t>22</w:t>
      </w:r>
      <w:r>
        <w:rPr>
          <w:rFonts w:ascii="Arial" w:eastAsia="Calibri" w:hAnsi="Arial" w:cs="Arial"/>
          <w:sz w:val="16"/>
          <w:szCs w:val="16"/>
          <w:bdr w:val="none" w:sz="0" w:space="0" w:color="auto" w:frame="1"/>
          <w:lang w:val="en-AU"/>
        </w:rPr>
        <w:t> </w:t>
      </w:r>
      <w:r w:rsidRPr="00667353">
        <w:rPr>
          <w:rFonts w:ascii="Arial" w:eastAsia="Calibri" w:hAnsi="Arial" w:cs="Arial"/>
          <w:sz w:val="16"/>
          <w:szCs w:val="16"/>
          <w:bdr w:val="none" w:sz="0" w:space="0" w:color="auto" w:frame="1"/>
          <w:lang w:val="en-AU"/>
        </w:rPr>
        <w:t>Annual Appropriation Bill No.3 and $1</w:t>
      </w:r>
      <w:r>
        <w:rPr>
          <w:rFonts w:ascii="Arial" w:eastAsia="Calibri" w:hAnsi="Arial" w:cs="Arial"/>
          <w:sz w:val="16"/>
          <w:szCs w:val="16"/>
          <w:bdr w:val="none" w:sz="0" w:space="0" w:color="auto" w:frame="1"/>
          <w:lang w:val="en-AU"/>
        </w:rPr>
        <w:t>.5 million</w:t>
      </w:r>
      <w:r w:rsidRPr="00667353">
        <w:rPr>
          <w:rFonts w:ascii="Arial" w:eastAsia="Calibri" w:hAnsi="Arial" w:cs="Arial"/>
          <w:sz w:val="16"/>
          <w:szCs w:val="16"/>
          <w:bdr w:val="none" w:sz="0" w:space="0" w:color="auto" w:frame="1"/>
          <w:lang w:val="en-AU"/>
        </w:rPr>
        <w:t xml:space="preserve"> will be received through 2021-22 Annual Appropriation Bill No.4. The annual appropriations received from these bills will be recognised in a future PB</w:t>
      </w:r>
      <w:r>
        <w:rPr>
          <w:rFonts w:ascii="Arial" w:eastAsia="Calibri" w:hAnsi="Arial" w:cs="Arial"/>
          <w:sz w:val="16"/>
          <w:szCs w:val="16"/>
          <w:bdr w:val="none" w:sz="0" w:space="0" w:color="auto" w:frame="1"/>
          <w:lang w:val="en-AU"/>
        </w:rPr>
        <w:t> S</w:t>
      </w:r>
      <w:r w:rsidRPr="00667353">
        <w:rPr>
          <w:rFonts w:ascii="Arial" w:eastAsia="Calibri" w:hAnsi="Arial" w:cs="Arial"/>
          <w:sz w:val="16"/>
          <w:szCs w:val="16"/>
          <w:bdr w:val="none" w:sz="0" w:space="0" w:color="auto" w:frame="1"/>
          <w:lang w:val="en-AU"/>
        </w:rPr>
        <w:t>tatement but only after the Bills have received Royal Assent</w:t>
      </w:r>
      <w:r>
        <w:rPr>
          <w:rFonts w:ascii="Arial" w:eastAsia="Calibri" w:hAnsi="Arial" w:cs="Arial"/>
          <w:sz w:val="16"/>
          <w:szCs w:val="16"/>
          <w:bdr w:val="none" w:sz="0" w:space="0" w:color="auto" w:frame="1"/>
          <w:lang w:val="en-AU"/>
        </w:rPr>
        <w:t>.</w:t>
      </w:r>
    </w:p>
    <w:p w:rsidR="00253274" w:rsidRDefault="00253274"/>
    <w:p w:rsidR="003E027B" w:rsidRPr="001E7AF9" w:rsidRDefault="00BA7A7F" w:rsidP="003E027B">
      <w:pPr>
        <w:pStyle w:val="Heading3"/>
        <w:rPr>
          <w:smallCaps w:val="0"/>
          <w:sz w:val="22"/>
          <w:szCs w:val="22"/>
        </w:rPr>
      </w:pPr>
      <w:bookmarkStart w:id="1578" w:name="RG_MARKER_12055"/>
      <w:bookmarkStart w:id="1579" w:name="RG_MARKER_12011"/>
      <w:bookmarkStart w:id="1580" w:name="RG_MARKER_12137"/>
      <w:r w:rsidRPr="001E7AF9">
        <w:rPr>
          <w:smallCaps w:val="0"/>
          <w:sz w:val="22"/>
          <w:szCs w:val="22"/>
        </w:rPr>
        <w:t>1.3</w:t>
      </w:r>
      <w:bookmarkEnd w:id="1578"/>
      <w:bookmarkEnd w:id="1579"/>
      <w:bookmarkEnd w:id="1580"/>
      <w:r w:rsidRPr="001E7AF9">
        <w:rPr>
          <w:smallCaps w:val="0"/>
          <w:sz w:val="22"/>
          <w:szCs w:val="22"/>
        </w:rPr>
        <w:tab/>
        <w:t>Budget measures</w:t>
      </w:r>
    </w:p>
    <w:p w:rsidR="00571056" w:rsidRDefault="00BA7A7F" w:rsidP="00571056">
      <w:r>
        <w:t>There are no new Budget measures relating to NOPSEMA detailed in Budget Paper No.2; therefore Table 1.2 is not presented.</w:t>
      </w:r>
    </w:p>
    <w:p w:rsidR="00FD26B4" w:rsidRPr="00485D2A" w:rsidRDefault="00BA7A7F" w:rsidP="00FD26B4">
      <w:pPr>
        <w:pStyle w:val="Heading2"/>
        <w:pageBreakBefore/>
        <w:rPr>
          <w:b/>
          <w:sz w:val="26"/>
          <w:szCs w:val="26"/>
        </w:rPr>
      </w:pPr>
      <w:bookmarkStart w:id="1581" w:name="RG_MARKER_11915"/>
      <w:bookmarkStart w:id="1582" w:name="RG_MARKER_12266"/>
      <w:bookmarkStart w:id="1583" w:name="_Toc436624143_9"/>
      <w:bookmarkStart w:id="1584" w:name="_Toc436625444_9"/>
      <w:bookmarkStart w:id="1585" w:name="_Toc446237032_9"/>
      <w:bookmarkStart w:id="1586" w:name="_Toc449255764_9"/>
      <w:bookmarkStart w:id="1587" w:name="_Toc490972409_9"/>
      <w:bookmarkStart w:id="1588" w:name="_Toc491014629_9"/>
      <w:bookmarkStart w:id="1589" w:name="_Toc491014771_9"/>
      <w:bookmarkStart w:id="1590" w:name="_Toc491014951_9"/>
      <w:bookmarkStart w:id="1591" w:name="_Toc491015098_9"/>
      <w:bookmarkStart w:id="1592" w:name="_Toc491029242_9"/>
      <w:bookmarkStart w:id="1593" w:name="_Toc491030331_9"/>
      <w:bookmarkStart w:id="1594" w:name="_Toc491030790_9"/>
      <w:bookmarkStart w:id="1595" w:name="_Toc491031353_9"/>
      <w:bookmarkStart w:id="1596" w:name="_Toc491031940_9"/>
      <w:bookmarkStart w:id="1597" w:name="_Toc491032113_9"/>
      <w:bookmarkStart w:id="1598" w:name="_Toc491032221_9"/>
      <w:bookmarkStart w:id="1599" w:name="_Toc491032328_9"/>
      <w:bookmarkStart w:id="1600" w:name="_Toc491771720_9"/>
      <w:bookmarkStart w:id="1601" w:name="_Toc491773295_9"/>
      <w:bookmarkStart w:id="1602" w:name="_Toc23559353_9"/>
      <w:bookmarkStart w:id="1603" w:name="_Toc23559387_9"/>
      <w:bookmarkStart w:id="1604" w:name="_Toc23559674_9"/>
      <w:bookmarkStart w:id="1605" w:name="_Toc23560142_9"/>
      <w:bookmarkStart w:id="1606" w:name="_Toc23563436_9"/>
      <w:bookmarkStart w:id="1607" w:name="_Toc77998688_9"/>
      <w:bookmarkStart w:id="1608" w:name="_Toc79399717_9"/>
      <w:bookmarkStart w:id="1609" w:name="_Toc112211966_9"/>
      <w:bookmarkStart w:id="1610" w:name="_Toc112212060_9"/>
      <w:bookmarkStart w:id="1611" w:name="_Toc112137878_9"/>
      <w:bookmarkStart w:id="1612" w:name="_Toc112137900_9"/>
      <w:bookmarkStart w:id="1613" w:name="_Toc210646453_9"/>
      <w:bookmarkStart w:id="1614" w:name="_Toc210698432_9"/>
      <w:bookmarkStart w:id="1615" w:name="_Toc210703214_9"/>
      <w:r w:rsidRPr="00485D2A">
        <w:rPr>
          <w:b/>
          <w:sz w:val="26"/>
          <w:szCs w:val="26"/>
        </w:rPr>
        <w:t>Section 2</w:t>
      </w:r>
      <w:bookmarkEnd w:id="1581"/>
      <w:bookmarkEnd w:id="1582"/>
      <w:bookmarkEnd w:id="1583"/>
      <w:bookmarkEnd w:id="1584"/>
      <w:bookmarkEnd w:id="1585"/>
      <w:bookmarkEnd w:id="1586"/>
      <w:r w:rsidRPr="00485D2A">
        <w:rPr>
          <w:b/>
          <w:sz w:val="26"/>
          <w:szCs w:val="26"/>
        </w:rPr>
        <w:t xml:space="preserve">: </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r w:rsidRPr="00485D2A">
        <w:rPr>
          <w:b/>
          <w:sz w:val="26"/>
          <w:szCs w:val="26"/>
        </w:rPr>
        <w:t>Outcomes and planned performanc</w:t>
      </w:r>
      <w:bookmarkEnd w:id="1614"/>
      <w:bookmarkEnd w:id="1615"/>
      <w:r w:rsidRPr="00485D2A">
        <w:rPr>
          <w:b/>
          <w:sz w:val="26"/>
          <w:szCs w:val="26"/>
        </w:rPr>
        <w:t>e</w:t>
      </w:r>
      <w:bookmarkStart w:id="1616" w:name="_Toc436624145_19"/>
      <w:bookmarkStart w:id="1617" w:name="_Toc436625446_19"/>
      <w:bookmarkStart w:id="1618" w:name="_Toc449255766_19"/>
      <w:bookmarkStart w:id="1619" w:name="_Toc490972410_19"/>
      <w:bookmarkStart w:id="1620" w:name="_Toc491014630_19"/>
      <w:bookmarkStart w:id="1621" w:name="_Toc491014772_19"/>
      <w:bookmarkStart w:id="1622" w:name="_Toc491014952_19"/>
      <w:bookmarkStart w:id="1623" w:name="_Toc491015099_19"/>
      <w:bookmarkStart w:id="1624" w:name="_Toc491029243_19"/>
      <w:bookmarkStart w:id="1625" w:name="_Toc491030332_19"/>
      <w:bookmarkStart w:id="1626" w:name="_Toc491030791_19"/>
      <w:bookmarkStart w:id="1627" w:name="_Toc491031354_19"/>
      <w:bookmarkStart w:id="1628" w:name="_Toc491031941_19"/>
      <w:bookmarkStart w:id="1629" w:name="_Toc491032114_19"/>
      <w:bookmarkStart w:id="1630" w:name="_Toc491032222_19"/>
      <w:bookmarkStart w:id="1631" w:name="_Toc491032329_19"/>
      <w:bookmarkStart w:id="1632" w:name="_Toc491771721_19"/>
      <w:bookmarkStart w:id="1633" w:name="_Toc491773296_19"/>
      <w:bookmarkStart w:id="1634" w:name="_Toc23559354_19"/>
      <w:bookmarkStart w:id="1635" w:name="_Toc23559388_19"/>
      <w:bookmarkStart w:id="1636" w:name="_Toc23559675_19"/>
      <w:bookmarkStart w:id="1637" w:name="_Toc23560143_19"/>
      <w:bookmarkStart w:id="1638" w:name="_Toc23563437_19"/>
      <w:bookmarkStart w:id="1639" w:name="_Toc77998689_19"/>
      <w:bookmarkStart w:id="1640" w:name="_Toc79406118_19"/>
      <w:bookmarkStart w:id="1641" w:name="_Toc79467820_19"/>
      <w:bookmarkStart w:id="1642" w:name="_Toc112211967_19"/>
      <w:bookmarkStart w:id="1643" w:name="_Toc112212061_19"/>
      <w:bookmarkStart w:id="1644" w:name="_Toc112137879_19"/>
      <w:bookmarkStart w:id="1645" w:name="_Toc112137901_19"/>
      <w:bookmarkStart w:id="1646" w:name="_Toc210646454_19"/>
      <w:bookmarkStart w:id="1647" w:name="_Toc210698433_19"/>
      <w:bookmarkStart w:id="1648" w:name="_Toc210703215_19"/>
    </w:p>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rsidR="00FD26B4" w:rsidRDefault="00BA7A7F" w:rsidP="00FD26B4">
      <w:r>
        <w:t xml:space="preserve">Government outcomes are the intended results, impacts or consequences of actions by the Government on the Australian community. Commonwealth </w:t>
      </w:r>
      <w:r>
        <w:rPr>
          <w:color w:val="000000"/>
        </w:rPr>
        <w:t xml:space="preserve">programs </w:t>
      </w:r>
      <w:r>
        <w:t xml:space="preserve">are the primary vehicle by which government entities achieve the intended results of their outcome statements. Entities are required to identify the </w:t>
      </w:r>
      <w:r>
        <w:rPr>
          <w:color w:val="000000"/>
        </w:rPr>
        <w:t>programs</w:t>
      </w:r>
      <w:r>
        <w:t xml:space="preserve"> which contribute to government outcomes over the Budget and forward years.</w:t>
      </w:r>
    </w:p>
    <w:p w:rsidR="00FD26B4" w:rsidRDefault="00BA7A7F" w:rsidP="00FD26B4">
      <w:r>
        <w:t xml:space="preserve">Each outcome is described below together with its related </w:t>
      </w:r>
      <w:r>
        <w:rPr>
          <w:color w:val="000000"/>
        </w:rPr>
        <w:t>programs</w:t>
      </w:r>
      <w:r>
        <w:t>. The following provides detailed information on expenses for each outcome and program, further broken down by funding source.</w:t>
      </w:r>
    </w:p>
    <w:p w:rsidR="00FD26B4" w:rsidRDefault="00BA7A7F" w:rsidP="00FD26B4">
      <w:pPr>
        <w:pBdr>
          <w:top w:val="single" w:sz="4" w:space="1" w:color="auto"/>
          <w:left w:val="single" w:sz="4" w:space="4" w:color="auto"/>
          <w:bottom w:val="single" w:sz="4" w:space="1" w:color="auto"/>
          <w:right w:val="single" w:sz="4" w:space="4" w:color="auto"/>
        </w:pBdr>
        <w:spacing w:after="120" w:line="240" w:lineRule="auto"/>
        <w:rPr>
          <w:b/>
        </w:rPr>
      </w:pPr>
      <w:r>
        <w:rPr>
          <w:b/>
        </w:rPr>
        <w:t>Note:</w:t>
      </w:r>
    </w:p>
    <w:p w:rsidR="00A70A75" w:rsidRDefault="00BA7A7F" w:rsidP="00A70A75">
      <w:pPr>
        <w:pBdr>
          <w:top w:val="single" w:sz="4" w:space="1" w:color="auto"/>
          <w:left w:val="single" w:sz="4" w:space="4" w:color="auto"/>
          <w:bottom w:val="single" w:sz="4" w:space="1" w:color="auto"/>
          <w:right w:val="single" w:sz="4" w:space="4" w:color="auto"/>
        </w:pBdr>
      </w:pPr>
      <w:r>
        <w:t xml:space="preserve">Performance reporting requirements in the Portfolio Budget Statements are part of the Commonwealth performance framework established by the </w:t>
      </w:r>
      <w:r w:rsidRPr="00A70A75">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rsidR="00A70A75" w:rsidRPr="002D4CC7" w:rsidRDefault="00BA7A7F" w:rsidP="002D4CC7">
      <w:pPr>
        <w:pBdr>
          <w:top w:val="single" w:sz="4" w:space="1" w:color="auto"/>
          <w:left w:val="single" w:sz="4" w:space="4" w:color="auto"/>
          <w:bottom w:val="single" w:sz="4" w:space="1" w:color="auto"/>
          <w:right w:val="single" w:sz="4" w:space="4" w:color="auto"/>
        </w:pBdr>
        <w:spacing w:after="0"/>
        <w:jc w:val="left"/>
      </w:pPr>
      <w:r w:rsidRPr="002D4CC7">
        <w:t>The most recent corporate plan for NOPSEMA can be found at: https://www.nopsema.gov.au/sites/default/files/documents/2021-08/A794061.pdf</w:t>
      </w:r>
    </w:p>
    <w:p w:rsidR="002D4CC7" w:rsidRPr="002D4CC7" w:rsidRDefault="002D4CC7" w:rsidP="00792635">
      <w:pPr>
        <w:pBdr>
          <w:top w:val="single" w:sz="4" w:space="1" w:color="auto"/>
          <w:left w:val="single" w:sz="4" w:space="4" w:color="auto"/>
          <w:bottom w:val="single" w:sz="4" w:space="1" w:color="auto"/>
          <w:right w:val="single" w:sz="4" w:space="4" w:color="auto"/>
        </w:pBdr>
        <w:spacing w:after="0"/>
      </w:pPr>
    </w:p>
    <w:p w:rsidR="00285C26" w:rsidRPr="002D4CC7" w:rsidRDefault="00BA7A7F" w:rsidP="007A7B03">
      <w:pPr>
        <w:pBdr>
          <w:top w:val="single" w:sz="4" w:space="1" w:color="auto"/>
          <w:left w:val="single" w:sz="4" w:space="4" w:color="auto"/>
          <w:bottom w:val="single" w:sz="4" w:space="1" w:color="auto"/>
          <w:right w:val="single" w:sz="4" w:space="4" w:color="auto"/>
        </w:pBdr>
        <w:spacing w:after="0"/>
        <w:jc w:val="left"/>
      </w:pPr>
      <w:r w:rsidRPr="002D4CC7">
        <w:t>The most recent annual performance statement can be found at: https://www.transparency.gov.au/annual-reports/national-offshore-petroleum-safety-and-environmental-management-authority/reporting-year/2020-21</w:t>
      </w:r>
    </w:p>
    <w:p w:rsidR="007D76B1" w:rsidRPr="00152855" w:rsidRDefault="00BA7A7F" w:rsidP="007D76B1">
      <w:pPr>
        <w:pStyle w:val="Heading3"/>
        <w:pageBreakBefore/>
        <w:rPr>
          <w:smallCaps w:val="0"/>
          <w:sz w:val="22"/>
          <w:szCs w:val="22"/>
        </w:rPr>
      </w:pPr>
      <w:bookmarkStart w:id="1649" w:name="RG_MARKER_12020"/>
      <w:bookmarkStart w:id="1650" w:name="RG_MARKER_12145"/>
      <w:bookmarkStart w:id="1651" w:name="_Toc210703215_20"/>
      <w:bookmarkStart w:id="1652" w:name="_Toc210698433_20"/>
      <w:bookmarkStart w:id="1653" w:name="_Toc210646454_20"/>
      <w:bookmarkStart w:id="1654" w:name="_Toc112137901_20"/>
      <w:bookmarkStart w:id="1655" w:name="_Toc112137879_20"/>
      <w:bookmarkStart w:id="1656" w:name="_Toc112212061_20"/>
      <w:bookmarkStart w:id="1657" w:name="_Toc112211967_20"/>
      <w:bookmarkStart w:id="1658" w:name="_Toc79467820_20"/>
      <w:bookmarkStart w:id="1659" w:name="_Toc79406118_20"/>
      <w:bookmarkStart w:id="1660" w:name="_Toc77998689_20"/>
      <w:bookmarkStart w:id="1661" w:name="_Toc23563437_20"/>
      <w:bookmarkStart w:id="1662" w:name="_Toc23560143_20"/>
      <w:bookmarkStart w:id="1663" w:name="_Toc23559675_20"/>
      <w:bookmarkStart w:id="1664" w:name="_Toc23559388_20"/>
      <w:bookmarkStart w:id="1665" w:name="_Toc23559354_20"/>
      <w:bookmarkStart w:id="1666" w:name="_Toc491773296_20"/>
      <w:bookmarkStart w:id="1667" w:name="_Toc491771721_20"/>
      <w:bookmarkStart w:id="1668" w:name="_Toc491032329_20"/>
      <w:bookmarkStart w:id="1669" w:name="_Toc491032222_20"/>
      <w:bookmarkStart w:id="1670" w:name="_Toc491032114_20"/>
      <w:bookmarkStart w:id="1671" w:name="_Toc491031941_20"/>
      <w:bookmarkStart w:id="1672" w:name="_Toc491031354_20"/>
      <w:bookmarkStart w:id="1673" w:name="_Toc491030791_20"/>
      <w:bookmarkStart w:id="1674" w:name="_Toc491030332_20"/>
      <w:bookmarkStart w:id="1675" w:name="_Toc491029243_20"/>
      <w:bookmarkStart w:id="1676" w:name="_Toc491015099_20"/>
      <w:bookmarkStart w:id="1677" w:name="_Toc491014952_20"/>
      <w:bookmarkStart w:id="1678" w:name="_Toc491014772_20"/>
      <w:bookmarkStart w:id="1679" w:name="_Toc491014630_20"/>
      <w:bookmarkStart w:id="1680" w:name="_Toc490972410_20"/>
      <w:bookmarkStart w:id="1681" w:name="_Toc449255766_20"/>
      <w:bookmarkStart w:id="1682" w:name="_Toc436625446_20"/>
      <w:bookmarkStart w:id="1683" w:name="_Toc436624145_20"/>
      <w:r w:rsidRPr="00152855">
        <w:rPr>
          <w:smallCaps w:val="0"/>
          <w:sz w:val="22"/>
          <w:szCs w:val="22"/>
        </w:rPr>
        <w:t>2.1</w:t>
      </w:r>
      <w:bookmarkEnd w:id="1649"/>
      <w:bookmarkEnd w:id="1650"/>
      <w:r w:rsidRPr="00152855">
        <w:rPr>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253274" w:rsidTr="00965DA6">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p w:rsidR="00965DA6" w:rsidRDefault="00BA7A7F" w:rsidP="00300DB6">
            <w:pPr>
              <w:pStyle w:val="TableColumnHeadingLeft"/>
              <w:keepLines/>
            </w:pPr>
            <w:r w:rsidRPr="003622B7">
              <w:rPr>
                <w:color w:val="000000"/>
              </w:rPr>
              <w:t>Outcome 1: Promote and enforce the effective management of risks to the workforce, the environment and the structural integrity of facilities, wells and the well-related equipment of the Australian offshore petroleum and greenhouse gas storage industri</w:t>
            </w:r>
            <w:r w:rsidR="00300DB6">
              <w:rPr>
                <w:color w:val="000000"/>
              </w:rPr>
              <w:t>es through regulatory oversight</w:t>
            </w:r>
          </w:p>
        </w:tc>
      </w:tr>
    </w:tbl>
    <w:p w:rsidR="00965DA6" w:rsidRPr="00152855" w:rsidRDefault="00BA7A7F" w:rsidP="00A52434">
      <w:pPr>
        <w:pStyle w:val="Heading4"/>
        <w:spacing w:before="240"/>
        <w:rPr>
          <w:rFonts w:cs="Arial"/>
          <w:sz w:val="20"/>
        </w:rPr>
      </w:pPr>
      <w:r w:rsidRPr="00152855">
        <w:rPr>
          <w:rFonts w:cs="Arial"/>
          <w:sz w:val="20"/>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253274" w:rsidTr="00965DA6">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rsidR="00965DA6" w:rsidRPr="00CE4480" w:rsidRDefault="00BA7A7F" w:rsidP="00A52434">
            <w:pPr>
              <w:pStyle w:val="ExampleText0"/>
              <w:spacing w:before="60" w:after="60" w:line="240" w:lineRule="auto"/>
              <w:rPr>
                <w:color w:val="auto"/>
              </w:rPr>
            </w:pPr>
            <w:r w:rsidRPr="00CE4480">
              <w:rPr>
                <w:rStyle w:val="ExampletextCharChar"/>
                <w:b/>
                <w:color w:val="auto"/>
              </w:rPr>
              <w:t>Department of Industry, Science, Energy and Resources</w:t>
            </w:r>
          </w:p>
        </w:tc>
      </w:tr>
      <w:tr w:rsidR="00253274" w:rsidTr="00965DA6">
        <w:trPr>
          <w:trHeight w:val="113"/>
        </w:trPr>
        <w:tc>
          <w:tcPr>
            <w:tcW w:w="7592" w:type="dxa"/>
            <w:tcBorders>
              <w:top w:val="dotted" w:sz="4" w:space="0" w:color="auto"/>
              <w:left w:val="single" w:sz="4" w:space="0" w:color="auto"/>
              <w:bottom w:val="single" w:sz="4" w:space="0" w:color="auto"/>
              <w:right w:val="single" w:sz="4" w:space="0" w:color="auto"/>
            </w:tcBorders>
            <w:hideMark/>
          </w:tcPr>
          <w:p w:rsidR="00965DA6" w:rsidRPr="00CE4480" w:rsidRDefault="00BA7A7F" w:rsidP="00A52434">
            <w:pPr>
              <w:spacing w:before="60" w:after="60" w:line="240" w:lineRule="auto"/>
              <w:rPr>
                <w:rStyle w:val="ExampletextCharChar"/>
                <w:b/>
                <w:i w:val="0"/>
                <w:color w:val="auto"/>
              </w:rPr>
            </w:pPr>
            <w:r w:rsidRPr="00CE4480">
              <w:rPr>
                <w:rStyle w:val="ExampletextCharChar"/>
                <w:b/>
                <w:i w:val="0"/>
                <w:color w:val="auto"/>
              </w:rPr>
              <w:t>Programs</w:t>
            </w:r>
          </w:p>
          <w:p w:rsidR="003622B7" w:rsidRPr="00CE4480" w:rsidRDefault="00BA7A7F" w:rsidP="0096430B">
            <w:pPr>
              <w:keepLines w:val="0"/>
              <w:numPr>
                <w:ilvl w:val="0"/>
                <w:numId w:val="143"/>
              </w:numPr>
              <w:spacing w:before="60" w:after="60" w:line="240" w:lineRule="auto"/>
              <w:ind w:left="714" w:hanging="357"/>
              <w:jc w:val="left"/>
              <w:rPr>
                <w:rStyle w:val="ExampletextCharChar"/>
                <w:i w:val="0"/>
                <w:color w:val="auto"/>
              </w:rPr>
            </w:pPr>
            <w:r w:rsidRPr="00CE4480">
              <w:rPr>
                <w:rStyle w:val="ExampletextCharChar"/>
                <w:i w:val="0"/>
                <w:color w:val="auto"/>
              </w:rPr>
              <w:t>Program 1.2 – Growing innovative and competitive businesses, industries and regions</w:t>
            </w:r>
          </w:p>
          <w:p w:rsidR="00965DA6" w:rsidRPr="00CE4480" w:rsidRDefault="00BA7A7F" w:rsidP="0096430B">
            <w:pPr>
              <w:keepLines w:val="0"/>
              <w:numPr>
                <w:ilvl w:val="0"/>
                <w:numId w:val="143"/>
              </w:numPr>
              <w:spacing w:before="60" w:after="60" w:line="240" w:lineRule="auto"/>
              <w:ind w:left="714" w:hanging="357"/>
              <w:rPr>
                <w:rStyle w:val="ExampletextCharChar"/>
                <w:color w:val="auto"/>
              </w:rPr>
            </w:pPr>
            <w:r w:rsidRPr="00CE4480">
              <w:rPr>
                <w:rStyle w:val="ExampletextCharChar"/>
                <w:i w:val="0"/>
                <w:color w:val="auto"/>
              </w:rPr>
              <w:t>Program 1.3 – Supporting a strong resources sector</w:t>
            </w:r>
          </w:p>
        </w:tc>
      </w:tr>
      <w:tr w:rsidR="00253274" w:rsidTr="00965DA6">
        <w:trPr>
          <w:trHeight w:val="113"/>
        </w:trPr>
        <w:tc>
          <w:tcPr>
            <w:tcW w:w="7592" w:type="dxa"/>
            <w:tcBorders>
              <w:top w:val="single" w:sz="4" w:space="0" w:color="auto"/>
              <w:left w:val="single" w:sz="4" w:space="0" w:color="auto"/>
              <w:bottom w:val="single" w:sz="4" w:space="0" w:color="auto"/>
              <w:right w:val="single" w:sz="4" w:space="0" w:color="auto"/>
            </w:tcBorders>
            <w:hideMark/>
          </w:tcPr>
          <w:p w:rsidR="00965DA6" w:rsidRPr="00CE4480" w:rsidRDefault="00BA7A7F" w:rsidP="00A52434">
            <w:pPr>
              <w:spacing w:before="60" w:after="60" w:line="240" w:lineRule="auto"/>
              <w:rPr>
                <w:rStyle w:val="ExampletextCharChar"/>
                <w:b/>
                <w:i w:val="0"/>
                <w:color w:val="auto"/>
              </w:rPr>
            </w:pPr>
            <w:r w:rsidRPr="00CE4480">
              <w:rPr>
                <w:rStyle w:val="ExampletextCharChar"/>
                <w:b/>
                <w:i w:val="0"/>
                <w:color w:val="auto"/>
              </w:rPr>
              <w:t>Contribution to Outcome 1 made by linked programs</w:t>
            </w:r>
          </w:p>
          <w:p w:rsidR="00965DA6" w:rsidRPr="00CE4480" w:rsidRDefault="00BA7A7F" w:rsidP="00A52434">
            <w:pPr>
              <w:spacing w:before="60" w:after="60" w:line="240" w:lineRule="auto"/>
              <w:rPr>
                <w:rStyle w:val="ExampletextCharChar"/>
                <w:i w:val="0"/>
                <w:color w:val="auto"/>
              </w:rPr>
            </w:pPr>
            <w:r w:rsidRPr="00CE4480">
              <w:rPr>
                <w:rStyle w:val="ExampletextCharChar"/>
                <w:i w:val="0"/>
                <w:color w:val="auto"/>
              </w:rPr>
              <w:t xml:space="preserve">The Department of Industry, Science, Energy and Resources contributes to Outcome 1 through its policies and program relating to the management and administration of the </w:t>
            </w:r>
            <w:r w:rsidRPr="00CE4480">
              <w:rPr>
                <w:rStyle w:val="ExampletextCharChar"/>
                <w:color w:val="auto"/>
              </w:rPr>
              <w:t>Offshore Petroleum and Greenhouse Gas Storage Act 2006</w:t>
            </w:r>
            <w:r w:rsidRPr="00CE4480">
              <w:rPr>
                <w:rStyle w:val="ExampletextCharChar"/>
                <w:i w:val="0"/>
                <w:color w:val="auto"/>
              </w:rPr>
              <w:t xml:space="preserve"> and associated regulations.</w:t>
            </w:r>
          </w:p>
        </w:tc>
      </w:tr>
      <w:tr w:rsidR="00253274" w:rsidTr="003622B7">
        <w:trPr>
          <w:trHeight w:val="113"/>
        </w:trPr>
        <w:tc>
          <w:tcPr>
            <w:tcW w:w="7592" w:type="dxa"/>
            <w:tcBorders>
              <w:top w:val="single" w:sz="4" w:space="0" w:color="auto"/>
              <w:left w:val="single" w:sz="4" w:space="0" w:color="auto"/>
              <w:bottom w:val="dotted" w:sz="4" w:space="0" w:color="auto"/>
              <w:right w:val="single" w:sz="4" w:space="0" w:color="auto"/>
            </w:tcBorders>
            <w:hideMark/>
          </w:tcPr>
          <w:p w:rsidR="003622B7" w:rsidRPr="00CE4480" w:rsidRDefault="00BA7A7F" w:rsidP="00A52434">
            <w:pPr>
              <w:pStyle w:val="ExampleText0"/>
              <w:spacing w:before="60" w:after="60" w:line="240" w:lineRule="auto"/>
              <w:rPr>
                <w:b/>
                <w:color w:val="auto"/>
              </w:rPr>
            </w:pPr>
            <w:r w:rsidRPr="00CE4480">
              <w:rPr>
                <w:rStyle w:val="ExampletextCharChar"/>
                <w:b/>
                <w:color w:val="auto"/>
              </w:rPr>
              <w:t>Department of Agriculture, Water and the Environment</w:t>
            </w:r>
          </w:p>
        </w:tc>
      </w:tr>
      <w:tr w:rsidR="00253274" w:rsidTr="003622B7">
        <w:trPr>
          <w:trHeight w:val="113"/>
        </w:trPr>
        <w:tc>
          <w:tcPr>
            <w:tcW w:w="7592" w:type="dxa"/>
            <w:tcBorders>
              <w:top w:val="dotted" w:sz="4" w:space="0" w:color="auto"/>
              <w:left w:val="single" w:sz="4" w:space="0" w:color="auto"/>
              <w:bottom w:val="single" w:sz="4" w:space="0" w:color="auto"/>
              <w:right w:val="single" w:sz="4" w:space="0" w:color="auto"/>
            </w:tcBorders>
            <w:hideMark/>
          </w:tcPr>
          <w:p w:rsidR="003622B7" w:rsidRPr="00CE4480" w:rsidRDefault="00BA7A7F" w:rsidP="00A52434">
            <w:pPr>
              <w:spacing w:before="60" w:after="60" w:line="240" w:lineRule="auto"/>
              <w:rPr>
                <w:rStyle w:val="ExampletextCharChar"/>
                <w:b/>
                <w:i w:val="0"/>
                <w:color w:val="auto"/>
              </w:rPr>
            </w:pPr>
            <w:r w:rsidRPr="00CE4480">
              <w:rPr>
                <w:rStyle w:val="ExampletextCharChar"/>
                <w:b/>
                <w:i w:val="0"/>
                <w:color w:val="auto"/>
              </w:rPr>
              <w:t>Programs</w:t>
            </w:r>
          </w:p>
          <w:p w:rsidR="003622B7" w:rsidRPr="00CE4480" w:rsidRDefault="00BA7A7F" w:rsidP="00A52434">
            <w:pPr>
              <w:keepLines w:val="0"/>
              <w:numPr>
                <w:ilvl w:val="0"/>
                <w:numId w:val="143"/>
              </w:numPr>
              <w:spacing w:before="60" w:after="60" w:line="240" w:lineRule="auto"/>
              <w:ind w:left="714" w:hanging="357"/>
              <w:rPr>
                <w:rStyle w:val="ExampletextCharChar"/>
                <w:i w:val="0"/>
                <w:color w:val="auto"/>
              </w:rPr>
            </w:pPr>
            <w:r w:rsidRPr="00CE4480">
              <w:rPr>
                <w:rStyle w:val="ExampletextCharChar"/>
                <w:i w:val="0"/>
                <w:color w:val="auto"/>
              </w:rPr>
              <w:t>Program 1.2 – Environmental Information and Research</w:t>
            </w:r>
          </w:p>
          <w:p w:rsidR="003622B7" w:rsidRPr="00CE4480" w:rsidRDefault="00BA7A7F" w:rsidP="00A52434">
            <w:pPr>
              <w:keepLines w:val="0"/>
              <w:numPr>
                <w:ilvl w:val="0"/>
                <w:numId w:val="143"/>
              </w:numPr>
              <w:spacing w:before="60" w:after="60" w:line="240" w:lineRule="auto"/>
              <w:ind w:left="714" w:hanging="357"/>
              <w:rPr>
                <w:rStyle w:val="ExampletextCharChar"/>
                <w:b/>
                <w:i w:val="0"/>
                <w:color w:val="auto"/>
              </w:rPr>
            </w:pPr>
            <w:r w:rsidRPr="00CE4480">
              <w:rPr>
                <w:rStyle w:val="ExampletextCharChar"/>
                <w:i w:val="0"/>
                <w:color w:val="auto"/>
              </w:rPr>
              <w:t>Program 2.1 – Antarctica: Science Policy and Presence</w:t>
            </w:r>
          </w:p>
        </w:tc>
      </w:tr>
      <w:tr w:rsidR="00253274" w:rsidTr="003622B7">
        <w:trPr>
          <w:trHeight w:val="113"/>
        </w:trPr>
        <w:tc>
          <w:tcPr>
            <w:tcW w:w="7592" w:type="dxa"/>
            <w:tcBorders>
              <w:top w:val="single" w:sz="4" w:space="0" w:color="auto"/>
              <w:left w:val="single" w:sz="4" w:space="0" w:color="auto"/>
              <w:bottom w:val="single" w:sz="4" w:space="0" w:color="auto"/>
              <w:right w:val="single" w:sz="4" w:space="0" w:color="auto"/>
            </w:tcBorders>
            <w:hideMark/>
          </w:tcPr>
          <w:p w:rsidR="003622B7" w:rsidRPr="00CE4480" w:rsidRDefault="00BA7A7F" w:rsidP="00A52434">
            <w:pPr>
              <w:spacing w:before="60" w:after="60" w:line="240" w:lineRule="auto"/>
              <w:rPr>
                <w:rStyle w:val="ExampletextCharChar"/>
                <w:b/>
                <w:i w:val="0"/>
                <w:color w:val="auto"/>
              </w:rPr>
            </w:pPr>
            <w:r w:rsidRPr="00CE4480">
              <w:rPr>
                <w:rStyle w:val="ExampletextCharChar"/>
                <w:b/>
                <w:i w:val="0"/>
                <w:color w:val="auto"/>
              </w:rPr>
              <w:t>Contribution to Outcome 1 made by linked programs</w:t>
            </w:r>
          </w:p>
          <w:p w:rsidR="003622B7" w:rsidRPr="00CE4480" w:rsidRDefault="00BA7A7F" w:rsidP="00CE4480">
            <w:pPr>
              <w:pStyle w:val="xmsonormal"/>
              <w:spacing w:before="60" w:after="60"/>
              <w:jc w:val="both"/>
              <w:rPr>
                <w:rStyle w:val="ExampletextCharChar"/>
                <w:rFonts w:eastAsia="Calibri"/>
                <w:i w:val="0"/>
                <w:color w:val="auto"/>
              </w:rPr>
            </w:pPr>
            <w:r w:rsidRPr="00CE4480">
              <w:rPr>
                <w:rStyle w:val="ExampletextCharChar"/>
                <w:rFonts w:eastAsia="Calibri"/>
                <w:i w:val="0"/>
                <w:color w:val="auto"/>
              </w:rPr>
              <w:t>The National Environmental Science Program contributes knowledge and understanding of Australia’s marine environment to support environmental impact assessment and industry’s management of its impacts.</w:t>
            </w:r>
          </w:p>
          <w:p w:rsidR="003622B7" w:rsidRPr="00CE4480" w:rsidRDefault="00BA7A7F" w:rsidP="00CE4480">
            <w:pPr>
              <w:spacing w:before="60" w:after="60" w:line="240" w:lineRule="auto"/>
              <w:rPr>
                <w:rStyle w:val="ExampletextCharChar"/>
                <w:i w:val="0"/>
                <w:color w:val="auto"/>
              </w:rPr>
            </w:pPr>
            <w:r w:rsidRPr="00CE4480">
              <w:rPr>
                <w:rStyle w:val="ExampletextCharChar"/>
                <w:i w:val="0"/>
                <w:color w:val="auto"/>
              </w:rPr>
              <w:t>Scientific capacity within the Australian Antarctic Division can be accessed to support regulatory functions.</w:t>
            </w:r>
          </w:p>
        </w:tc>
      </w:tr>
    </w:tbl>
    <w:p w:rsidR="00965DA6" w:rsidRPr="002B04E5" w:rsidRDefault="00965DA6" w:rsidP="00EA6BAB">
      <w:pPr>
        <w:keepLines w:val="0"/>
        <w:spacing w:after="200" w:line="276" w:lineRule="auto"/>
        <w:jc w:val="left"/>
        <w:rPr>
          <w:rFonts w:ascii="Arial" w:hAnsi="Arial" w:cs="Arial"/>
          <w:b/>
          <w:iCs/>
          <w:vanish/>
        </w:rPr>
      </w:pPr>
    </w:p>
    <w:p w:rsidR="002B0A9F" w:rsidRDefault="00BA7A7F" w:rsidP="002B0A9F">
      <w:pPr>
        <w:pStyle w:val="Heading5"/>
        <w:pageBreakBefore/>
        <w:spacing w:before="0" w:after="120" w:line="240" w:lineRule="auto"/>
        <w:rPr>
          <w:rFonts w:ascii="Arial" w:hAnsi="Arial" w:cs="Arial"/>
          <w:b/>
          <w:color w:val="000000"/>
        </w:rPr>
      </w:pPr>
      <w:bookmarkStart w:id="1684" w:name="RG_MARKER_12336"/>
      <w:r>
        <w:rPr>
          <w:rFonts w:ascii="Arial" w:hAnsi="Arial" w:cs="Arial"/>
          <w:b/>
          <w:color w:val="000000"/>
        </w:rPr>
        <w:t>Budgeted expenses for Outcome 1</w:t>
      </w:r>
      <w:bookmarkEnd w:id="1684"/>
    </w:p>
    <w:p w:rsidR="00460BEE" w:rsidRPr="00460BEE" w:rsidRDefault="00BA7A7F" w:rsidP="00460BEE">
      <w:r w:rsidRPr="00460BEE">
        <w:t>This</w:t>
      </w:r>
      <w:r>
        <w:t xml:space="preserve"> table shows how much the NOPSEMA</w:t>
      </w:r>
      <w:r w:rsidRPr="00460BEE">
        <w:t xml:space="preserve"> intends to spend (on an accrual basis) on achieving the outcome, broken down by program, </w:t>
      </w:r>
      <w:r>
        <w:t>as well as by d</w:t>
      </w:r>
      <w:r w:rsidRPr="00460BEE">
        <w:t>epartmental funding sources.</w:t>
      </w:r>
    </w:p>
    <w:p w:rsidR="00460BEE" w:rsidRPr="00460BEE" w:rsidRDefault="00BA7A7F" w:rsidP="00AD4D93">
      <w:pPr>
        <w:spacing w:before="60" w:after="20" w:line="240" w:lineRule="auto"/>
        <w:rPr>
          <w:rFonts w:ascii="Arial" w:hAnsi="Arial" w:cs="Arial"/>
          <w:b/>
        </w:rPr>
      </w:pPr>
      <w:r w:rsidRPr="00460BEE">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253274">
        <w:trPr>
          <w:trHeight w:val="683"/>
        </w:trPr>
        <w:tc>
          <w:tcPr>
            <w:tcW w:w="7725"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Outcome 1: </w:t>
            </w:r>
            <w:r>
              <w:rPr>
                <w:rFonts w:ascii="Arial" w:eastAsia="Arial" w:hAnsi="Arial" w:cs="Arial"/>
                <w:color w:val="000000"/>
                <w:sz w:val="16"/>
                <w:szCs w:val="22"/>
                <w:lang w:val="en-US" w:eastAsia="en-US"/>
              </w:rPr>
              <w:t>Promote and enforce the effective management of risks to the workforce, the environment and the structural integrity of facilities, wells and well-related equipment of the Australian offshore petroleum and greenhouse gas storage industries through regulatory oversight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3300" w:type="dxa"/>
            <w:tcBorders>
              <w:top w:val="single" w:sz="4" w:space="0" w:color="000000"/>
              <w:left w:val="nil"/>
              <w:bottom w:val="dotted" w:sz="2" w:space="0" w:color="000000"/>
              <w:right w:val="nil"/>
              <w:tl2br w:val="nil"/>
              <w:tr2bl w:val="nil"/>
            </w:tcBorders>
            <w:shd w:val="clear" w:color="auto" w:fill="auto"/>
            <w:tcMar>
              <w:left w:w="0" w:type="dxa"/>
              <w:right w:w="0" w:type="dxa"/>
            </w:tcMar>
            <w:vAlign w:val="center"/>
          </w:tcPr>
          <w:p w:rsidR="00253274" w:rsidRDefault="00253274">
            <w:pPr>
              <w:keepLines w:val="0"/>
              <w:spacing w:after="0" w:line="240" w:lineRule="auto"/>
              <w:jc w:val="left"/>
              <w:rPr>
                <w:rFonts w:ascii="Arial" w:eastAsia="Arial" w:hAnsi="Arial" w:cs="Arial"/>
                <w:b/>
                <w:color w:val="000000"/>
                <w:sz w:val="16"/>
                <w:szCs w:val="22"/>
                <w:lang w:val="en-US" w:eastAsia="en-US"/>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 Estimated actual</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2022­23 </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rsidR="00253274" w:rsidRDefault="00253274">
            <w:pPr>
              <w:keepLines w:val="0"/>
              <w:spacing w:after="0" w:line="240" w:lineRule="auto"/>
              <w:jc w:val="right"/>
              <w:rPr>
                <w:rFonts w:ascii="Arial" w:eastAsia="Arial" w:hAnsi="Arial" w:cs="Arial"/>
                <w:color w:val="000000"/>
                <w:sz w:val="16"/>
                <w:szCs w:val="22"/>
                <w:lang w:val="en-US" w:eastAsia="en-US"/>
              </w:rPr>
            </w:pP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 estimate</w:t>
            </w:r>
          </w:p>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 Regulatory oversight of Safety Cases, Wells Operations Management Plans and Environment Plans coupled with effective monitoring, investigation and enforcement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667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2,149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 from related entities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34,572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41,370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39,774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38,957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39,327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 </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year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3,272</w:t>
            </w:r>
          </w:p>
        </w:tc>
        <w:tc>
          <w:tcPr>
            <w:tcW w:w="885" w:type="dxa"/>
            <w:tcBorders>
              <w:top w:val="nil"/>
              <w:left w:val="nil"/>
              <w:bottom w:val="nil"/>
              <w:right w:val="nil"/>
              <w:tl2br w:val="nil"/>
              <w:tr2bl w:val="nil"/>
            </w:tcBorders>
            <w:shd w:val="clear" w:color="FFFFFF" w:fill="E6E6E6"/>
            <w:noWrap/>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(2,504)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1,928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4,204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4,576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sources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1,329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895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695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39,211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42,344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42,797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43,856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44,598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resource type</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667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2,149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 from related entities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34,572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41,370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39,774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38,957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39,327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30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 </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year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3,272</w:t>
            </w:r>
          </w:p>
        </w:tc>
        <w:tc>
          <w:tcPr>
            <w:tcW w:w="885" w:type="dxa"/>
            <w:tcBorders>
              <w:top w:val="nil"/>
              <w:left w:val="nil"/>
              <w:bottom w:val="nil"/>
              <w:right w:val="nil"/>
              <w:tl2br w:val="nil"/>
              <w:tr2bl w:val="nil"/>
            </w:tcBorders>
            <w:shd w:val="clear" w:color="FFFFFF" w:fill="E6E6E6"/>
            <w:noWrap/>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(2,504)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1,928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4,204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4,576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3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rsidR="00253274" w:rsidRDefault="00BA7A7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sources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1,329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895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695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39,211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42,344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42,797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43,856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44,598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30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right"/>
              <w:rPr>
                <w:rFonts w:ascii="Arial" w:eastAsia="Arial" w:hAnsi="Arial" w:cs="Arial"/>
                <w:color w:val="000000"/>
                <w:sz w:val="14"/>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135</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253274" w:rsidRDefault="00BA7A7F">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135</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keepLines w:val="0"/>
              <w:spacing w:after="0" w:line="240" w:lineRule="auto"/>
              <w:jc w:val="left"/>
              <w:rPr>
                <w:rFonts w:ascii="Arial" w:eastAsia="Arial" w:hAnsi="Arial" w:cs="Arial"/>
                <w:color w:val="000000"/>
                <w:sz w:val="16"/>
                <w:szCs w:val="22"/>
                <w:lang w:val="en-US" w:eastAsia="en-US"/>
              </w:rPr>
            </w:pPr>
          </w:p>
        </w:tc>
      </w:tr>
    </w:tbl>
    <w:p w:rsidR="00E40D0B" w:rsidRDefault="00BA7A7F" w:rsidP="00E40D0B">
      <w:pPr>
        <w:numPr>
          <w:ilvl w:val="0"/>
          <w:numId w:val="144"/>
        </w:numPr>
        <w:tabs>
          <w:tab w:val="left" w:pos="284"/>
        </w:tabs>
        <w:spacing w:after="0" w:line="240" w:lineRule="auto"/>
        <w:ind w:left="357" w:hanging="357"/>
        <w:rPr>
          <w:rFonts w:ascii="Arial" w:hAnsi="Arial"/>
          <w:sz w:val="16"/>
        </w:rPr>
      </w:pPr>
      <w:r w:rsidRPr="00460BEE">
        <w:rPr>
          <w:rFonts w:ascii="Arial" w:hAnsi="Arial" w:cs="Arial"/>
          <w:color w:val="000000"/>
          <w:sz w:val="16"/>
          <w:szCs w:val="16"/>
        </w:rPr>
        <w:t xml:space="preserve">Expenses </w:t>
      </w:r>
      <w:r w:rsidRPr="00460BEE">
        <w:rPr>
          <w:rFonts w:ascii="Arial" w:hAnsi="Arial"/>
          <w:sz w:val="16"/>
        </w:rPr>
        <w:t xml:space="preserve">not </w:t>
      </w:r>
      <w:r>
        <w:rPr>
          <w:rFonts w:ascii="Arial" w:hAnsi="Arial"/>
          <w:sz w:val="16"/>
        </w:rPr>
        <w:t>requiring appropriation in the B</w:t>
      </w:r>
      <w:r w:rsidRPr="00460BEE">
        <w:rPr>
          <w:rFonts w:ascii="Arial" w:hAnsi="Arial"/>
          <w:sz w:val="16"/>
        </w:rPr>
        <w:t>udget year consist of an approved operating loss.</w:t>
      </w:r>
    </w:p>
    <w:p w:rsidR="00D42918" w:rsidRPr="00E40D0B" w:rsidRDefault="00BA7A7F" w:rsidP="00D42918">
      <w:pPr>
        <w:tabs>
          <w:tab w:val="left" w:pos="284"/>
        </w:tabs>
        <w:spacing w:after="0" w:line="240" w:lineRule="auto"/>
        <w:rPr>
          <w:rFonts w:ascii="Arial" w:hAnsi="Arial"/>
          <w:sz w:val="16"/>
        </w:rPr>
      </w:pPr>
      <w:r w:rsidRPr="00360060">
        <w:rPr>
          <w:rFonts w:ascii="Arial" w:hAnsi="Arial"/>
          <w:sz w:val="16"/>
        </w:rPr>
        <w:t>Note: Departmental appropriation splits and totals are indicative estimates and may change in the course of the budget year as government priorities change</w:t>
      </w:r>
      <w:r>
        <w:rPr>
          <w:rFonts w:ascii="Arial" w:hAnsi="Arial"/>
          <w:sz w:val="16"/>
        </w:rPr>
        <w:t>.</w:t>
      </w:r>
    </w:p>
    <w:p w:rsidR="00D86095" w:rsidRDefault="00BA7A7F" w:rsidP="005D66A1">
      <w:pPr>
        <w:pStyle w:val="TableHeading"/>
        <w:keepLines/>
        <w:pageBreakBefore/>
      </w:pPr>
      <w:bookmarkStart w:id="1685" w:name="RG_MARKER_12246"/>
      <w:r w:rsidRPr="002E3447">
        <w:t>Table 2.1</w:t>
      </w:r>
      <w:bookmarkEnd w:id="1685"/>
      <w:r>
        <w:t>.2</w:t>
      </w:r>
      <w:r w:rsidRPr="002E3447">
        <w:t xml:space="preserve">: </w:t>
      </w:r>
      <w:r>
        <w:t xml:space="preserve">Performance measure for </w:t>
      </w:r>
      <w:r w:rsidRPr="002E3447">
        <w:t>Outcome 1</w:t>
      </w:r>
    </w:p>
    <w:p w:rsidR="00C64682" w:rsidRPr="00C64682" w:rsidRDefault="00BA7A7F" w:rsidP="00C64682">
      <w:pPr>
        <w:keepLines w:val="0"/>
      </w:pPr>
      <w:r w:rsidRPr="00C64682">
        <w:t>Table 2.1.3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53274" w:rsidTr="00C64682">
        <w:trPr>
          <w:trHeight w:val="569"/>
          <w:tblHead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C64682" w:rsidRPr="00C64682" w:rsidRDefault="00BA7A7F" w:rsidP="00C64682">
            <w:pPr>
              <w:keepLines w:val="0"/>
              <w:spacing w:before="60" w:after="60" w:line="240" w:lineRule="auto"/>
              <w:jc w:val="left"/>
              <w:rPr>
                <w:rFonts w:ascii="Arial" w:hAnsi="Arial"/>
                <w:b/>
              </w:rPr>
            </w:pPr>
            <w:r w:rsidRPr="00C64682">
              <w:rPr>
                <w:rFonts w:ascii="Arial" w:hAnsi="Arial"/>
                <w:b/>
                <w:color w:val="000000"/>
                <w:lang w:val="x-none" w:eastAsia="x-none"/>
              </w:rPr>
              <w:t xml:space="preserve">Outcome 1 </w:t>
            </w:r>
            <w:r w:rsidRPr="008B4128">
              <w:rPr>
                <w:rFonts w:ascii="Arial" w:hAnsi="Arial"/>
                <w:b/>
                <w:color w:val="000000"/>
                <w:lang w:val="x-none" w:eastAsia="x-none"/>
              </w:rPr>
              <w:t>– Promote and enforce the effective management of risks to the workforce, the environment and the structural integrity of facilities, wells and well-related equipment of the Australian offshore petroleum and greenhouse gas storage industri</w:t>
            </w:r>
            <w:r>
              <w:rPr>
                <w:rFonts w:ascii="Arial" w:hAnsi="Arial"/>
                <w:b/>
                <w:color w:val="000000"/>
                <w:lang w:val="x-none" w:eastAsia="x-none"/>
              </w:rPr>
              <w:t>es through regulatory oversight</w:t>
            </w:r>
          </w:p>
        </w:tc>
      </w:tr>
      <w:tr w:rsidR="00253274" w:rsidTr="00C64682">
        <w:trPr>
          <w:trHeight w:val="522"/>
          <w:tblHead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C64682" w:rsidRPr="00C64682" w:rsidRDefault="00BA7A7F" w:rsidP="00C64682">
            <w:pPr>
              <w:keepLines w:val="0"/>
              <w:spacing w:before="60" w:after="60" w:line="240" w:lineRule="auto"/>
              <w:jc w:val="left"/>
              <w:rPr>
                <w:rFonts w:ascii="Arial" w:eastAsia="Calibri" w:hAnsi="Arial" w:cs="Arial"/>
                <w:b/>
                <w:sz w:val="18"/>
                <w:szCs w:val="22"/>
                <w:lang w:val="en-US" w:eastAsia="en-US"/>
              </w:rPr>
            </w:pPr>
            <w:r w:rsidRPr="00C64682">
              <w:rPr>
                <w:rFonts w:ascii="Arial" w:eastAsia="Calibri" w:hAnsi="Arial" w:cs="Arial"/>
                <w:b/>
                <w:sz w:val="18"/>
                <w:szCs w:val="22"/>
                <w:lang w:val="en-US" w:eastAsia="en-US"/>
              </w:rPr>
              <w:t>Program 1 – Regulatory oversight of Safety Cases, Well Operations Management Plans and Environment Plans coupled with effective monitoring, investigation and enforcement.</w:t>
            </w:r>
          </w:p>
          <w:p w:rsidR="00C64682" w:rsidRPr="00124100" w:rsidRDefault="00BA7A7F" w:rsidP="00C64682">
            <w:pPr>
              <w:keepLines w:val="0"/>
              <w:spacing w:before="60" w:after="60" w:line="240" w:lineRule="auto"/>
              <w:jc w:val="left"/>
              <w:rPr>
                <w:rFonts w:ascii="Arial" w:eastAsia="Calibri" w:hAnsi="Arial" w:cs="Arial"/>
                <w:sz w:val="16"/>
                <w:szCs w:val="16"/>
                <w:lang w:val="en-US" w:eastAsia="en-US"/>
              </w:rPr>
            </w:pPr>
            <w:r w:rsidRPr="00124100">
              <w:rPr>
                <w:rFonts w:ascii="Arial" w:eastAsia="Calibri" w:hAnsi="Arial" w:cs="Arial"/>
                <w:sz w:val="16"/>
                <w:szCs w:val="16"/>
                <w:lang w:val="en-US" w:eastAsia="en-US"/>
              </w:rPr>
              <w:t>This program contributes to the outcome by fulfilling NOPSEMA’s legislated functions, including assessment, inspection, enforcement, promotion and advisory activities, with its target group being duty holders in the offshore petroleum industry.</w:t>
            </w:r>
          </w:p>
        </w:tc>
      </w:tr>
      <w:tr w:rsidR="00253274" w:rsidTr="00C64682">
        <w:trPr>
          <w:trHeight w:val="694"/>
        </w:trPr>
        <w:tc>
          <w:tcPr>
            <w:tcW w:w="1560" w:type="dxa"/>
            <w:tcBorders>
              <w:top w:val="single" w:sz="4" w:space="0" w:color="auto"/>
              <w:left w:val="single" w:sz="4" w:space="0" w:color="auto"/>
              <w:bottom w:val="double" w:sz="4" w:space="0" w:color="auto"/>
              <w:right w:val="single" w:sz="4" w:space="0" w:color="auto"/>
            </w:tcBorders>
            <w:hideMark/>
          </w:tcPr>
          <w:p w:rsidR="00C64682" w:rsidRPr="00C64682" w:rsidRDefault="00BA7A7F" w:rsidP="00C64682">
            <w:pPr>
              <w:keepLines w:val="0"/>
              <w:tabs>
                <w:tab w:val="left" w:pos="709"/>
              </w:tabs>
              <w:spacing w:before="60"/>
              <w:rPr>
                <w:rFonts w:ascii="Arial" w:hAnsi="Arial" w:cs="Arial"/>
                <w:b/>
                <w:sz w:val="16"/>
                <w:szCs w:val="16"/>
              </w:rPr>
            </w:pPr>
            <w:r w:rsidRPr="00C64682">
              <w:rPr>
                <w:rFonts w:ascii="Arial" w:hAnsi="Arial" w:cs="Arial"/>
                <w:b/>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rsidR="00C64682" w:rsidRPr="00C64682" w:rsidRDefault="00BA7A7F" w:rsidP="00AC7758">
            <w:pPr>
              <w:keepNext/>
              <w:spacing w:after="0"/>
              <w:outlineLvl w:val="8"/>
              <w:rPr>
                <w:rFonts w:ascii="Arial" w:eastAsia="Arial" w:hAnsi="Arial" w:cs="Arial"/>
                <w:sz w:val="16"/>
                <w:szCs w:val="16"/>
              </w:rPr>
            </w:pPr>
            <w:r w:rsidRPr="00C64682">
              <w:rPr>
                <w:rFonts w:ascii="Arial" w:eastAsia="Arial" w:hAnsi="Arial" w:cs="Arial"/>
                <w:sz w:val="16"/>
                <w:szCs w:val="16"/>
              </w:rPr>
              <w:t>NOPSEMA delivers Program 1 by:</w:t>
            </w:r>
          </w:p>
          <w:p w:rsidR="00C64682" w:rsidRPr="00C64682" w:rsidRDefault="00BA7A7F" w:rsidP="00C64682">
            <w:pPr>
              <w:keepLines w:val="0"/>
              <w:numPr>
                <w:ilvl w:val="0"/>
                <w:numId w:val="145"/>
              </w:numPr>
              <w:tabs>
                <w:tab w:val="left" w:pos="709"/>
              </w:tabs>
              <w:spacing w:before="60" w:after="60" w:line="240" w:lineRule="auto"/>
              <w:contextualSpacing/>
              <w:jc w:val="left"/>
              <w:rPr>
                <w:rFonts w:ascii="Arial" w:eastAsia="Calibri" w:hAnsi="Arial" w:cs="Arial"/>
                <w:sz w:val="16"/>
                <w:szCs w:val="16"/>
              </w:rPr>
            </w:pPr>
            <w:r>
              <w:rPr>
                <w:rFonts w:ascii="Arial" w:eastAsia="Calibri" w:hAnsi="Arial" w:cs="Arial"/>
                <w:sz w:val="16"/>
                <w:szCs w:val="16"/>
              </w:rPr>
              <w:t>I</w:t>
            </w:r>
            <w:r w:rsidRPr="00C64682">
              <w:rPr>
                <w:rFonts w:ascii="Arial" w:eastAsia="Calibri" w:hAnsi="Arial" w:cs="Arial"/>
                <w:sz w:val="16"/>
                <w:szCs w:val="16"/>
              </w:rPr>
              <w:t>mplementing risk-based assessment procedures for all legislated submissions</w:t>
            </w:r>
            <w:r>
              <w:rPr>
                <w:rFonts w:ascii="Arial" w:eastAsia="Calibri" w:hAnsi="Arial" w:cs="Arial"/>
                <w:sz w:val="16"/>
                <w:szCs w:val="16"/>
              </w:rPr>
              <w:t>.</w:t>
            </w:r>
          </w:p>
          <w:p w:rsidR="00C64682" w:rsidRPr="00C64682" w:rsidRDefault="00BA7A7F" w:rsidP="00C64682">
            <w:pPr>
              <w:keepLines w:val="0"/>
              <w:numPr>
                <w:ilvl w:val="0"/>
                <w:numId w:val="145"/>
              </w:numPr>
              <w:tabs>
                <w:tab w:val="left" w:pos="709"/>
              </w:tabs>
              <w:spacing w:before="60" w:after="60" w:line="240" w:lineRule="auto"/>
              <w:contextualSpacing/>
              <w:jc w:val="left"/>
              <w:rPr>
                <w:rFonts w:ascii="Arial" w:eastAsia="Calibri" w:hAnsi="Arial" w:cs="Arial"/>
                <w:sz w:val="16"/>
                <w:szCs w:val="16"/>
              </w:rPr>
            </w:pPr>
            <w:r>
              <w:rPr>
                <w:rFonts w:ascii="Arial" w:eastAsia="Calibri" w:hAnsi="Arial" w:cs="Arial"/>
                <w:sz w:val="16"/>
                <w:szCs w:val="16"/>
              </w:rPr>
              <w:t>I</w:t>
            </w:r>
            <w:r w:rsidRPr="00C64682">
              <w:rPr>
                <w:rFonts w:ascii="Arial" w:eastAsia="Calibri" w:hAnsi="Arial" w:cs="Arial"/>
                <w:sz w:val="16"/>
                <w:szCs w:val="16"/>
              </w:rPr>
              <w:t>mplementing risk-based inspection programs for all offshore petroleum activities</w:t>
            </w:r>
            <w:r>
              <w:rPr>
                <w:rFonts w:ascii="Arial" w:eastAsia="Calibri" w:hAnsi="Arial" w:cs="Arial"/>
                <w:sz w:val="16"/>
                <w:szCs w:val="16"/>
              </w:rPr>
              <w:t>.</w:t>
            </w:r>
          </w:p>
          <w:p w:rsidR="00C64682" w:rsidRDefault="00BA7A7F" w:rsidP="00C64682">
            <w:pPr>
              <w:keepLines w:val="0"/>
              <w:numPr>
                <w:ilvl w:val="0"/>
                <w:numId w:val="145"/>
              </w:numPr>
              <w:tabs>
                <w:tab w:val="left" w:pos="709"/>
              </w:tabs>
              <w:spacing w:before="60" w:after="60" w:line="240" w:lineRule="auto"/>
              <w:contextualSpacing/>
              <w:jc w:val="left"/>
              <w:rPr>
                <w:rFonts w:ascii="Arial" w:eastAsia="Calibri" w:hAnsi="Arial" w:cs="Arial"/>
                <w:sz w:val="16"/>
                <w:szCs w:val="16"/>
              </w:rPr>
            </w:pPr>
            <w:r>
              <w:rPr>
                <w:rFonts w:ascii="Arial" w:eastAsia="Calibri" w:hAnsi="Arial" w:cs="Arial"/>
                <w:sz w:val="16"/>
                <w:szCs w:val="16"/>
              </w:rPr>
              <w:t>T</w:t>
            </w:r>
            <w:r w:rsidRPr="00C64682">
              <w:rPr>
                <w:rFonts w:ascii="Arial" w:eastAsia="Calibri" w:hAnsi="Arial" w:cs="Arial"/>
                <w:sz w:val="16"/>
                <w:szCs w:val="16"/>
              </w:rPr>
              <w:t>aking proportionate enforcement actions that facilitate duty holder return to compliance</w:t>
            </w:r>
            <w:r>
              <w:rPr>
                <w:rFonts w:ascii="Arial" w:eastAsia="Calibri" w:hAnsi="Arial" w:cs="Arial"/>
                <w:sz w:val="16"/>
                <w:szCs w:val="16"/>
              </w:rPr>
              <w:t>.</w:t>
            </w:r>
          </w:p>
          <w:p w:rsidR="00C64682" w:rsidRPr="00C64682" w:rsidRDefault="00BA7A7F" w:rsidP="00C64682">
            <w:pPr>
              <w:keepLines w:val="0"/>
              <w:numPr>
                <w:ilvl w:val="0"/>
                <w:numId w:val="145"/>
              </w:numPr>
              <w:tabs>
                <w:tab w:val="left" w:pos="709"/>
              </w:tabs>
              <w:spacing w:before="60" w:after="60" w:line="240" w:lineRule="auto"/>
              <w:contextualSpacing/>
              <w:jc w:val="left"/>
              <w:rPr>
                <w:rFonts w:ascii="Arial" w:eastAsia="Calibri" w:hAnsi="Arial" w:cs="Arial"/>
                <w:sz w:val="16"/>
                <w:szCs w:val="16"/>
              </w:rPr>
            </w:pPr>
            <w:r>
              <w:rPr>
                <w:rFonts w:ascii="Arial" w:eastAsia="Calibri" w:hAnsi="Arial" w:cs="Arial"/>
                <w:sz w:val="16"/>
                <w:szCs w:val="16"/>
              </w:rPr>
              <w:t xml:space="preserve">Undertaking </w:t>
            </w:r>
            <w:r w:rsidRPr="00C64682">
              <w:rPr>
                <w:rFonts w:ascii="Arial" w:eastAsia="Calibri" w:hAnsi="Arial" w:cs="Arial"/>
                <w:sz w:val="16"/>
                <w:szCs w:val="16"/>
              </w:rPr>
              <w:t>investigations in response to potential and reported non-compliances</w:t>
            </w:r>
            <w:r>
              <w:rPr>
                <w:rFonts w:ascii="Arial" w:eastAsia="Calibri" w:hAnsi="Arial" w:cs="Arial"/>
                <w:sz w:val="16"/>
                <w:szCs w:val="16"/>
              </w:rPr>
              <w:t>.</w:t>
            </w:r>
          </w:p>
        </w:tc>
      </w:tr>
      <w:tr w:rsidR="00253274" w:rsidTr="00C64682">
        <w:trPr>
          <w:trHeight w:val="258"/>
        </w:trPr>
        <w:tc>
          <w:tcPr>
            <w:tcW w:w="1560" w:type="dxa"/>
            <w:tcBorders>
              <w:top w:val="double" w:sz="4" w:space="0" w:color="auto"/>
              <w:left w:val="single" w:sz="4" w:space="0" w:color="auto"/>
              <w:bottom w:val="single" w:sz="4" w:space="0" w:color="auto"/>
              <w:right w:val="single" w:sz="4" w:space="0" w:color="auto"/>
            </w:tcBorders>
          </w:tcPr>
          <w:p w:rsidR="00C64682" w:rsidRPr="00C64682" w:rsidRDefault="00BA7A7F" w:rsidP="00C64682">
            <w:pPr>
              <w:keepLines w:val="0"/>
              <w:spacing w:before="60" w:after="60" w:line="240" w:lineRule="auto"/>
              <w:jc w:val="left"/>
              <w:rPr>
                <w:rFonts w:ascii="Arial" w:eastAsia="Calibri" w:hAnsi="Arial" w:cs="Arial"/>
                <w:b/>
                <w:sz w:val="16"/>
                <w:szCs w:val="16"/>
                <w:lang w:val="en-US" w:eastAsia="en-US"/>
              </w:rPr>
            </w:pPr>
            <w:r w:rsidRPr="00C64682">
              <w:rPr>
                <w:rFonts w:ascii="Arial" w:eastAsia="Calibri" w:hAnsi="Arial" w:cs="Arial"/>
                <w:b/>
                <w:sz w:val="16"/>
                <w:szCs w:val="16"/>
                <w:lang w:val="en-US" w:eastAsia="en-US"/>
              </w:rPr>
              <w:t>Year</w:t>
            </w:r>
          </w:p>
        </w:tc>
        <w:tc>
          <w:tcPr>
            <w:tcW w:w="3118" w:type="dxa"/>
            <w:tcBorders>
              <w:top w:val="double" w:sz="4" w:space="0" w:color="auto"/>
              <w:left w:val="single" w:sz="4" w:space="0" w:color="auto"/>
              <w:bottom w:val="single" w:sz="4" w:space="0" w:color="auto"/>
              <w:right w:val="single" w:sz="4" w:space="0" w:color="auto"/>
            </w:tcBorders>
            <w:hideMark/>
          </w:tcPr>
          <w:p w:rsidR="00C64682" w:rsidRPr="00C64682" w:rsidRDefault="00BA7A7F" w:rsidP="00C64682">
            <w:pPr>
              <w:keepLines w:val="0"/>
              <w:spacing w:before="60" w:after="60" w:line="240" w:lineRule="auto"/>
              <w:jc w:val="left"/>
              <w:rPr>
                <w:rFonts w:ascii="Arial" w:eastAsia="Calibri" w:hAnsi="Arial" w:cs="Arial"/>
                <w:b/>
                <w:sz w:val="16"/>
                <w:szCs w:val="16"/>
                <w:lang w:val="en-US" w:eastAsia="en-US"/>
              </w:rPr>
            </w:pPr>
            <w:r w:rsidRPr="00C64682">
              <w:rPr>
                <w:rFonts w:ascii="Arial" w:eastAsia="Calibri" w:hAnsi="Arial" w:cs="Arial"/>
                <w:b/>
                <w:sz w:val="16"/>
                <w:szCs w:val="16"/>
                <w:lang w:val="en-US" w:eastAsia="en-US"/>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rsidR="00C64682" w:rsidRPr="00C64682" w:rsidRDefault="00BA7A7F" w:rsidP="00C64682">
            <w:pPr>
              <w:keepLines w:val="0"/>
              <w:spacing w:before="60" w:after="60" w:line="240" w:lineRule="auto"/>
              <w:jc w:val="left"/>
              <w:rPr>
                <w:rFonts w:ascii="Arial" w:eastAsia="Calibri" w:hAnsi="Arial" w:cs="Arial"/>
                <w:b/>
                <w:sz w:val="16"/>
                <w:szCs w:val="16"/>
                <w:lang w:val="en-US" w:eastAsia="en-US"/>
              </w:rPr>
            </w:pPr>
            <w:r w:rsidRPr="00C64682">
              <w:rPr>
                <w:rFonts w:ascii="Arial" w:eastAsia="Calibri" w:hAnsi="Arial" w:cs="Arial"/>
                <w:b/>
                <w:sz w:val="16"/>
                <w:szCs w:val="16"/>
                <w:lang w:val="en-US" w:eastAsia="en-US"/>
              </w:rPr>
              <w:t>Expected Performance Results</w:t>
            </w:r>
          </w:p>
        </w:tc>
      </w:tr>
      <w:tr w:rsidR="00253274" w:rsidTr="00C64682">
        <w:trPr>
          <w:trHeight w:val="642"/>
        </w:trPr>
        <w:tc>
          <w:tcPr>
            <w:tcW w:w="1560" w:type="dxa"/>
            <w:vMerge w:val="restart"/>
            <w:tcBorders>
              <w:top w:val="single" w:sz="4" w:space="0" w:color="auto"/>
              <w:left w:val="single" w:sz="4" w:space="0" w:color="auto"/>
              <w:bottom w:val="dotted" w:sz="4" w:space="0" w:color="auto"/>
              <w:right w:val="single" w:sz="4" w:space="0" w:color="auto"/>
            </w:tcBorders>
          </w:tcPr>
          <w:p w:rsidR="00C64682" w:rsidRPr="00C64682" w:rsidRDefault="00BA7A7F" w:rsidP="00C64682">
            <w:pPr>
              <w:keepLines w:val="0"/>
              <w:spacing w:before="60" w:after="60" w:line="240" w:lineRule="auto"/>
              <w:jc w:val="left"/>
              <w:rPr>
                <w:rFonts w:ascii="Arial" w:eastAsia="Calibri" w:hAnsi="Arial" w:cs="Arial"/>
                <w:sz w:val="16"/>
                <w:szCs w:val="16"/>
                <w:lang w:val="en-US" w:eastAsia="en-US"/>
              </w:rPr>
            </w:pPr>
            <w:r w:rsidRPr="00C64682">
              <w:rPr>
                <w:rFonts w:ascii="Arial" w:eastAsia="Calibri" w:hAnsi="Arial" w:cs="Arial"/>
                <w:sz w:val="16"/>
                <w:szCs w:val="16"/>
                <w:lang w:val="en-US" w:eastAsia="en-US"/>
              </w:rPr>
              <w:t xml:space="preserve">Current year </w:t>
            </w:r>
          </w:p>
          <w:p w:rsidR="00C64682" w:rsidRPr="00C64682" w:rsidRDefault="00BA7A7F" w:rsidP="00C64682">
            <w:pPr>
              <w:keepLines w:val="0"/>
              <w:spacing w:before="60" w:after="60" w:line="240" w:lineRule="auto"/>
              <w:jc w:val="left"/>
              <w:rPr>
                <w:rFonts w:ascii="Arial" w:eastAsia="Calibri" w:hAnsi="Arial" w:cs="Arial"/>
                <w:sz w:val="16"/>
                <w:szCs w:val="16"/>
                <w:lang w:val="en-US" w:eastAsia="en-US"/>
              </w:rPr>
            </w:pPr>
            <w:r w:rsidRPr="00C64682">
              <w:rPr>
                <w:rFonts w:ascii="Arial" w:eastAsia="Calibri" w:hAnsi="Arial" w:cs="Arial"/>
                <w:sz w:val="16"/>
                <w:szCs w:val="16"/>
                <w:lang w:val="en-US" w:eastAsia="en-US"/>
              </w:rPr>
              <w:t>2021-22</w:t>
            </w:r>
          </w:p>
        </w:tc>
        <w:tc>
          <w:tcPr>
            <w:tcW w:w="3118" w:type="dxa"/>
            <w:tcBorders>
              <w:top w:val="single" w:sz="4" w:space="0" w:color="auto"/>
              <w:left w:val="single" w:sz="4" w:space="0" w:color="auto"/>
              <w:bottom w:val="dotted" w:sz="4" w:space="0" w:color="auto"/>
              <w:right w:val="single" w:sz="4" w:space="0" w:color="auto"/>
            </w:tcBorders>
            <w:hideMark/>
          </w:tcPr>
          <w:p w:rsidR="00C64682" w:rsidRPr="00C64682" w:rsidRDefault="00BA7A7F" w:rsidP="00C64682">
            <w:pPr>
              <w:keepLines w:val="0"/>
              <w:spacing w:before="60" w:after="60" w:line="240" w:lineRule="auto"/>
              <w:jc w:val="left"/>
              <w:rPr>
                <w:rFonts w:ascii="Arial" w:eastAsia="Arial" w:hAnsi="Arial" w:cs="Arial"/>
                <w:sz w:val="16"/>
                <w:szCs w:val="16"/>
                <w:lang w:val="en-US" w:eastAsia="en-US"/>
              </w:rPr>
            </w:pPr>
            <w:r w:rsidRPr="00C64682">
              <w:rPr>
                <w:rFonts w:ascii="Arial" w:eastAsia="Arial" w:hAnsi="Arial" w:cs="Arial"/>
                <w:sz w:val="16"/>
                <w:szCs w:val="16"/>
                <w:lang w:val="en-US" w:eastAsia="en-US"/>
              </w:rPr>
              <w:t>Assessments are undertaken in line with risk-based elements as per NOPSEMA policies</w:t>
            </w:r>
          </w:p>
        </w:tc>
        <w:tc>
          <w:tcPr>
            <w:tcW w:w="3118" w:type="dxa"/>
            <w:tcBorders>
              <w:top w:val="single" w:sz="4" w:space="0" w:color="auto"/>
              <w:left w:val="single" w:sz="4" w:space="0" w:color="auto"/>
              <w:bottom w:val="dotted" w:sz="4" w:space="0" w:color="auto"/>
              <w:right w:val="single" w:sz="4" w:space="0" w:color="auto"/>
            </w:tcBorders>
            <w:hideMark/>
          </w:tcPr>
          <w:p w:rsidR="00C64682" w:rsidRPr="00C64682" w:rsidRDefault="00BA7A7F" w:rsidP="00AE0DBC">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100</w:t>
            </w:r>
            <w:r w:rsidRPr="00C64682">
              <w:rPr>
                <w:rFonts w:ascii="Arial" w:eastAsia="Arial" w:hAnsi="Arial" w:cs="Arial"/>
                <w:sz w:val="16"/>
                <w:szCs w:val="16"/>
                <w:lang w:val="en-US" w:eastAsia="en-US"/>
              </w:rPr>
              <w:t>%</w:t>
            </w:r>
          </w:p>
        </w:tc>
      </w:tr>
      <w:tr w:rsidR="00253274" w:rsidTr="00C64682">
        <w:trPr>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rsidR="00C64682" w:rsidRPr="00C64682" w:rsidRDefault="00C64682" w:rsidP="00C64682">
            <w:pPr>
              <w:keepLines w:val="0"/>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C64682" w:rsidRPr="00C64682" w:rsidRDefault="00BA7A7F" w:rsidP="00C64682">
            <w:pPr>
              <w:keepLines w:val="0"/>
              <w:spacing w:before="60" w:after="60" w:line="240" w:lineRule="auto"/>
              <w:jc w:val="left"/>
              <w:rPr>
                <w:rFonts w:ascii="Arial" w:eastAsia="Arial" w:hAnsi="Arial" w:cs="Arial"/>
                <w:sz w:val="16"/>
                <w:szCs w:val="16"/>
                <w:lang w:val="en-US" w:eastAsia="en-US"/>
              </w:rPr>
            </w:pPr>
            <w:r w:rsidRPr="00C64682">
              <w:rPr>
                <w:rFonts w:ascii="Arial" w:eastAsia="Arial" w:hAnsi="Arial" w:cs="Arial"/>
                <w:sz w:val="16"/>
                <w:szCs w:val="16"/>
                <w:lang w:val="en-US" w:eastAsia="en-US"/>
              </w:rPr>
              <w:t>Risk-based inspections are conducted to meet policy targets</w:t>
            </w:r>
          </w:p>
        </w:tc>
        <w:tc>
          <w:tcPr>
            <w:tcW w:w="3118" w:type="dxa"/>
            <w:tcBorders>
              <w:top w:val="single" w:sz="4" w:space="0" w:color="auto"/>
              <w:left w:val="single" w:sz="4" w:space="0" w:color="auto"/>
              <w:bottom w:val="dotted" w:sz="4" w:space="0" w:color="auto"/>
              <w:right w:val="single" w:sz="4" w:space="0" w:color="auto"/>
            </w:tcBorders>
            <w:hideMark/>
          </w:tcPr>
          <w:p w:rsidR="00C64682" w:rsidRPr="00C64682" w:rsidRDefault="00BA7A7F" w:rsidP="00AE0DBC">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100</w:t>
            </w:r>
            <w:r w:rsidRPr="00C64682">
              <w:rPr>
                <w:rFonts w:ascii="Arial" w:eastAsia="Arial" w:hAnsi="Arial" w:cs="Arial"/>
                <w:sz w:val="16"/>
                <w:szCs w:val="16"/>
                <w:lang w:val="en-US" w:eastAsia="en-US"/>
              </w:rPr>
              <w:t>%</w:t>
            </w:r>
          </w:p>
        </w:tc>
      </w:tr>
      <w:tr w:rsidR="00253274" w:rsidTr="00C64682">
        <w:trPr>
          <w:trHeight w:val="642"/>
        </w:trPr>
        <w:tc>
          <w:tcPr>
            <w:tcW w:w="0" w:type="auto"/>
            <w:vMerge/>
            <w:tcBorders>
              <w:top w:val="single" w:sz="4" w:space="0" w:color="auto"/>
              <w:left w:val="single" w:sz="4" w:space="0" w:color="auto"/>
              <w:bottom w:val="dotted" w:sz="4" w:space="0" w:color="auto"/>
              <w:right w:val="single" w:sz="4" w:space="0" w:color="auto"/>
            </w:tcBorders>
            <w:vAlign w:val="center"/>
            <w:hideMark/>
          </w:tcPr>
          <w:p w:rsidR="00C64682" w:rsidRPr="00C64682" w:rsidRDefault="00C64682" w:rsidP="00C64682">
            <w:pPr>
              <w:keepLines w:val="0"/>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C64682" w:rsidRPr="00C64682" w:rsidRDefault="00BA7A7F" w:rsidP="00C64682">
            <w:pPr>
              <w:keepLines w:val="0"/>
              <w:spacing w:before="60" w:after="60" w:line="240" w:lineRule="auto"/>
              <w:jc w:val="left"/>
              <w:rPr>
                <w:rFonts w:ascii="Arial" w:eastAsia="Arial" w:hAnsi="Arial" w:cs="Arial"/>
                <w:sz w:val="16"/>
                <w:szCs w:val="16"/>
                <w:lang w:val="en-US" w:eastAsia="en-US"/>
              </w:rPr>
            </w:pPr>
            <w:r w:rsidRPr="00C64682">
              <w:rPr>
                <w:rFonts w:ascii="Arial" w:eastAsia="Arial" w:hAnsi="Arial" w:cs="Arial"/>
                <w:sz w:val="16"/>
                <w:szCs w:val="16"/>
                <w:lang w:val="en-US" w:eastAsia="en-US"/>
              </w:rPr>
              <w:t>Enforcement actions are undertaken in accordance with the Enforcement Management Model</w:t>
            </w:r>
          </w:p>
        </w:tc>
        <w:tc>
          <w:tcPr>
            <w:tcW w:w="3118" w:type="dxa"/>
            <w:tcBorders>
              <w:top w:val="single" w:sz="4" w:space="0" w:color="auto"/>
              <w:left w:val="single" w:sz="4" w:space="0" w:color="auto"/>
              <w:bottom w:val="dotted" w:sz="4" w:space="0" w:color="auto"/>
              <w:right w:val="single" w:sz="4" w:space="0" w:color="auto"/>
            </w:tcBorders>
            <w:hideMark/>
          </w:tcPr>
          <w:p w:rsidR="00C64682" w:rsidRPr="00C64682" w:rsidRDefault="00BA7A7F" w:rsidP="00C64682">
            <w:pPr>
              <w:keepLines w:val="0"/>
              <w:spacing w:before="60" w:after="60" w:line="240" w:lineRule="auto"/>
              <w:jc w:val="left"/>
              <w:rPr>
                <w:rFonts w:ascii="Arial" w:eastAsia="Arial" w:hAnsi="Arial" w:cs="Arial"/>
                <w:sz w:val="16"/>
                <w:szCs w:val="16"/>
                <w:lang w:val="en-US" w:eastAsia="en-US"/>
              </w:rPr>
            </w:pPr>
            <w:r w:rsidRPr="00C64682">
              <w:rPr>
                <w:rFonts w:ascii="Arial" w:eastAsia="Arial" w:hAnsi="Arial" w:cs="Arial"/>
                <w:sz w:val="16"/>
                <w:szCs w:val="16"/>
                <w:lang w:val="en-US" w:eastAsia="en-US"/>
              </w:rPr>
              <w:t>100%</w:t>
            </w:r>
          </w:p>
        </w:tc>
      </w:tr>
      <w:tr w:rsidR="00253274" w:rsidTr="007F4462">
        <w:trPr>
          <w:trHeight w:val="463"/>
        </w:trPr>
        <w:tc>
          <w:tcPr>
            <w:tcW w:w="0" w:type="auto"/>
            <w:vMerge/>
            <w:tcBorders>
              <w:top w:val="single" w:sz="4" w:space="0" w:color="auto"/>
              <w:left w:val="single" w:sz="4" w:space="0" w:color="auto"/>
              <w:bottom w:val="dotted" w:sz="4" w:space="0" w:color="auto"/>
              <w:right w:val="single" w:sz="4" w:space="0" w:color="auto"/>
            </w:tcBorders>
            <w:vAlign w:val="center"/>
            <w:hideMark/>
          </w:tcPr>
          <w:p w:rsidR="00C64682" w:rsidRPr="00C64682" w:rsidRDefault="00C64682" w:rsidP="00C64682">
            <w:pPr>
              <w:keepLines w:val="0"/>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rsidR="00C64682" w:rsidRPr="00C64682" w:rsidRDefault="00BA7A7F" w:rsidP="00C64682">
            <w:pPr>
              <w:keepLines w:val="0"/>
              <w:spacing w:before="60" w:after="60" w:line="240" w:lineRule="auto"/>
              <w:jc w:val="left"/>
              <w:rPr>
                <w:rFonts w:ascii="Arial" w:eastAsia="Arial" w:hAnsi="Arial" w:cs="Arial"/>
                <w:sz w:val="16"/>
                <w:szCs w:val="16"/>
                <w:lang w:val="en-US" w:eastAsia="en-US"/>
              </w:rPr>
            </w:pPr>
            <w:r w:rsidRPr="00C64682">
              <w:rPr>
                <w:rFonts w:ascii="Arial" w:eastAsia="Arial" w:hAnsi="Arial" w:cs="Arial"/>
                <w:sz w:val="16"/>
                <w:szCs w:val="16"/>
                <w:lang w:val="en-US" w:eastAsia="en-US"/>
              </w:rPr>
              <w:t>Incidents are investigated in accordance with NOPSEMA policies</w:t>
            </w:r>
          </w:p>
        </w:tc>
        <w:tc>
          <w:tcPr>
            <w:tcW w:w="3118" w:type="dxa"/>
            <w:tcBorders>
              <w:top w:val="single" w:sz="4" w:space="0" w:color="auto"/>
              <w:left w:val="single" w:sz="4" w:space="0" w:color="auto"/>
              <w:bottom w:val="dotted" w:sz="4" w:space="0" w:color="auto"/>
              <w:right w:val="single" w:sz="4" w:space="0" w:color="auto"/>
            </w:tcBorders>
            <w:hideMark/>
          </w:tcPr>
          <w:p w:rsidR="00C64682" w:rsidRPr="00C64682" w:rsidRDefault="00BA7A7F" w:rsidP="00AE0DBC">
            <w:pPr>
              <w:keepLines w:val="0"/>
              <w:spacing w:before="60" w:after="60" w:line="240" w:lineRule="auto"/>
              <w:jc w:val="left"/>
              <w:rPr>
                <w:rFonts w:ascii="Arial" w:eastAsia="Arial" w:hAnsi="Arial" w:cs="Arial"/>
                <w:sz w:val="16"/>
                <w:szCs w:val="16"/>
                <w:lang w:val="en-US" w:eastAsia="en-US"/>
              </w:rPr>
            </w:pPr>
            <w:r>
              <w:rPr>
                <w:rFonts w:ascii="Arial" w:eastAsia="Arial" w:hAnsi="Arial" w:cs="Arial"/>
                <w:sz w:val="16"/>
                <w:szCs w:val="16"/>
                <w:lang w:val="en-US" w:eastAsia="en-US"/>
              </w:rPr>
              <w:t>100</w:t>
            </w:r>
            <w:r w:rsidRPr="00C64682">
              <w:rPr>
                <w:rFonts w:ascii="Arial" w:eastAsia="Arial" w:hAnsi="Arial" w:cs="Arial"/>
                <w:sz w:val="16"/>
                <w:szCs w:val="16"/>
                <w:lang w:val="en-US" w:eastAsia="en-US"/>
              </w:rPr>
              <w:t>%</w:t>
            </w:r>
          </w:p>
        </w:tc>
      </w:tr>
      <w:tr w:rsidR="00253274" w:rsidTr="00C64682">
        <w:trPr>
          <w:trHeight w:val="100"/>
        </w:trPr>
        <w:tc>
          <w:tcPr>
            <w:tcW w:w="1560" w:type="dxa"/>
            <w:tcBorders>
              <w:top w:val="single" w:sz="4" w:space="0" w:color="auto"/>
              <w:left w:val="single" w:sz="4" w:space="0" w:color="auto"/>
              <w:bottom w:val="dotted" w:sz="4" w:space="0" w:color="auto"/>
              <w:right w:val="single" w:sz="4" w:space="0" w:color="auto"/>
            </w:tcBorders>
          </w:tcPr>
          <w:p w:rsidR="00C64682" w:rsidRPr="00124100" w:rsidRDefault="00BA7A7F" w:rsidP="00C64682">
            <w:pPr>
              <w:keepLines w:val="0"/>
              <w:spacing w:before="60" w:after="60" w:line="240" w:lineRule="auto"/>
              <w:jc w:val="left"/>
              <w:rPr>
                <w:rFonts w:ascii="Arial" w:hAnsi="Arial" w:cs="Arial"/>
                <w:b/>
                <w:sz w:val="16"/>
                <w:szCs w:val="16"/>
                <w:lang w:val="en-US" w:eastAsia="en-US"/>
              </w:rPr>
            </w:pPr>
            <w:r w:rsidRPr="00C64682">
              <w:rPr>
                <w:rFonts w:ascii="Arial" w:eastAsia="Calibri" w:hAnsi="Arial" w:cs="Arial"/>
                <w:b/>
                <w:sz w:val="16"/>
                <w:szCs w:val="16"/>
                <w:lang w:val="en-US" w:eastAsia="en-US"/>
              </w:rPr>
              <w:t>Year</w:t>
            </w:r>
          </w:p>
        </w:tc>
        <w:tc>
          <w:tcPr>
            <w:tcW w:w="3118" w:type="dxa"/>
            <w:tcBorders>
              <w:top w:val="single" w:sz="4" w:space="0" w:color="auto"/>
              <w:left w:val="single" w:sz="4" w:space="0" w:color="auto"/>
              <w:bottom w:val="dotted" w:sz="4" w:space="0" w:color="auto"/>
              <w:right w:val="single" w:sz="4" w:space="0" w:color="auto"/>
            </w:tcBorders>
            <w:hideMark/>
          </w:tcPr>
          <w:p w:rsidR="00C64682" w:rsidRPr="00C64682" w:rsidRDefault="00BA7A7F" w:rsidP="00C64682">
            <w:pPr>
              <w:keepLines w:val="0"/>
              <w:spacing w:before="60" w:after="60" w:line="240" w:lineRule="auto"/>
              <w:jc w:val="left"/>
              <w:rPr>
                <w:rFonts w:ascii="Arial" w:eastAsia="Calibri" w:hAnsi="Arial" w:cs="Arial"/>
                <w:b/>
                <w:sz w:val="16"/>
                <w:szCs w:val="16"/>
                <w:lang w:val="en-US" w:eastAsia="en-US"/>
              </w:rPr>
            </w:pPr>
            <w:r w:rsidRPr="00C64682">
              <w:rPr>
                <w:rFonts w:ascii="Arial" w:eastAsia="Calibri" w:hAnsi="Arial" w:cs="Arial"/>
                <w:b/>
                <w:sz w:val="16"/>
                <w:szCs w:val="16"/>
                <w:lang w:val="en-US" w:eastAsia="en-US"/>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rsidR="00C64682" w:rsidRPr="00C64682" w:rsidRDefault="00BA7A7F" w:rsidP="00C64682">
            <w:pPr>
              <w:keepLines w:val="0"/>
              <w:spacing w:before="60" w:after="60" w:line="240" w:lineRule="auto"/>
              <w:jc w:val="left"/>
              <w:rPr>
                <w:rFonts w:ascii="Arial" w:eastAsia="Calibri" w:hAnsi="Arial" w:cs="Arial"/>
                <w:b/>
                <w:sz w:val="16"/>
                <w:szCs w:val="16"/>
                <w:lang w:val="en-US" w:eastAsia="en-US"/>
              </w:rPr>
            </w:pPr>
            <w:r w:rsidRPr="00C64682">
              <w:rPr>
                <w:rFonts w:ascii="Arial" w:eastAsia="Calibri" w:hAnsi="Arial" w:cs="Arial"/>
                <w:b/>
                <w:sz w:val="16"/>
                <w:szCs w:val="16"/>
                <w:lang w:val="en-US" w:eastAsia="en-US"/>
              </w:rPr>
              <w:t>Planned Performance Results</w:t>
            </w:r>
          </w:p>
        </w:tc>
      </w:tr>
      <w:tr w:rsidR="00253274" w:rsidTr="00124100">
        <w:trPr>
          <w:trHeight w:val="100"/>
        </w:trPr>
        <w:tc>
          <w:tcPr>
            <w:tcW w:w="1560" w:type="dxa"/>
            <w:tcBorders>
              <w:top w:val="single" w:sz="4" w:space="0" w:color="auto"/>
              <w:left w:val="single" w:sz="4" w:space="0" w:color="auto"/>
              <w:bottom w:val="single" w:sz="4" w:space="0" w:color="auto"/>
              <w:right w:val="single" w:sz="4" w:space="0" w:color="auto"/>
            </w:tcBorders>
            <w:hideMark/>
          </w:tcPr>
          <w:p w:rsidR="00C64682" w:rsidRPr="00124100" w:rsidRDefault="00BA7A7F" w:rsidP="00C64682">
            <w:pPr>
              <w:keepLines w:val="0"/>
              <w:spacing w:before="60" w:after="60" w:line="240" w:lineRule="auto"/>
              <w:jc w:val="left"/>
              <w:rPr>
                <w:rFonts w:ascii="Arial" w:eastAsia="Calibri" w:hAnsi="Arial" w:cs="Arial"/>
                <w:sz w:val="16"/>
                <w:szCs w:val="16"/>
                <w:lang w:val="en-US" w:eastAsia="en-US"/>
              </w:rPr>
            </w:pPr>
            <w:r w:rsidRPr="00124100">
              <w:rPr>
                <w:rFonts w:ascii="Arial" w:eastAsia="Calibri" w:hAnsi="Arial" w:cs="Arial"/>
                <w:sz w:val="16"/>
                <w:szCs w:val="16"/>
                <w:lang w:val="en-US" w:eastAsia="en-US"/>
              </w:rPr>
              <w:t>Budget Year</w:t>
            </w:r>
          </w:p>
          <w:p w:rsidR="00C64682" w:rsidRPr="00124100" w:rsidRDefault="00BA7A7F" w:rsidP="00C64682">
            <w:pPr>
              <w:keepLines w:val="0"/>
              <w:spacing w:before="60" w:after="60" w:line="240" w:lineRule="auto"/>
              <w:jc w:val="left"/>
              <w:rPr>
                <w:rFonts w:ascii="Arial" w:eastAsia="Calibri" w:hAnsi="Arial" w:cs="Arial"/>
                <w:sz w:val="16"/>
                <w:szCs w:val="16"/>
                <w:lang w:val="en-US" w:eastAsia="en-US"/>
              </w:rPr>
            </w:pPr>
            <w:r w:rsidRPr="00124100">
              <w:rPr>
                <w:rFonts w:ascii="Arial" w:eastAsia="Calibri" w:hAnsi="Arial" w:cs="Arial"/>
                <w:sz w:val="16"/>
                <w:szCs w:val="16"/>
                <w:lang w:val="en-US" w:eastAsia="en-US"/>
              </w:rPr>
              <w:t>2022-23</w:t>
            </w:r>
          </w:p>
        </w:tc>
        <w:tc>
          <w:tcPr>
            <w:tcW w:w="3118" w:type="dxa"/>
            <w:tcBorders>
              <w:top w:val="single" w:sz="4" w:space="0" w:color="auto"/>
              <w:left w:val="single" w:sz="4" w:space="0" w:color="auto"/>
              <w:bottom w:val="single" w:sz="4" w:space="0" w:color="auto"/>
              <w:right w:val="single" w:sz="4" w:space="0" w:color="auto"/>
            </w:tcBorders>
            <w:hideMark/>
          </w:tcPr>
          <w:p w:rsidR="00C64682" w:rsidRPr="00C64682" w:rsidRDefault="00BA7A7F" w:rsidP="00C64682">
            <w:pPr>
              <w:keepLines w:val="0"/>
              <w:spacing w:before="60" w:after="60" w:line="240" w:lineRule="auto"/>
              <w:jc w:val="left"/>
              <w:rPr>
                <w:rFonts w:ascii="Arial" w:eastAsia="Arial" w:hAnsi="Arial" w:cs="Arial"/>
                <w:sz w:val="16"/>
                <w:szCs w:val="16"/>
                <w:lang w:val="en-US" w:eastAsia="en-US"/>
              </w:rPr>
            </w:pPr>
            <w:r w:rsidRPr="00C64682">
              <w:rPr>
                <w:rFonts w:ascii="Arial" w:eastAsia="Arial" w:hAnsi="Arial" w:cs="Arial"/>
                <w:sz w:val="16"/>
                <w:szCs w:val="16"/>
                <w:lang w:val="en-US" w:eastAsia="en-US"/>
              </w:rPr>
              <w:t>As per 2021-22</w:t>
            </w:r>
          </w:p>
        </w:tc>
        <w:tc>
          <w:tcPr>
            <w:tcW w:w="3118" w:type="dxa"/>
            <w:tcBorders>
              <w:top w:val="single" w:sz="4" w:space="0" w:color="auto"/>
              <w:left w:val="single" w:sz="4" w:space="0" w:color="auto"/>
              <w:bottom w:val="single" w:sz="4" w:space="0" w:color="auto"/>
              <w:right w:val="single" w:sz="4" w:space="0" w:color="auto"/>
            </w:tcBorders>
            <w:hideMark/>
          </w:tcPr>
          <w:p w:rsidR="00C64682" w:rsidRPr="00C64682" w:rsidRDefault="00BA7A7F" w:rsidP="00C64682">
            <w:pPr>
              <w:keepLines w:val="0"/>
              <w:spacing w:before="60" w:after="60" w:line="240" w:lineRule="auto"/>
              <w:jc w:val="left"/>
              <w:rPr>
                <w:rFonts w:ascii="Arial" w:eastAsia="Arial" w:hAnsi="Arial" w:cs="Arial"/>
                <w:sz w:val="16"/>
                <w:szCs w:val="16"/>
                <w:lang w:val="en-US" w:eastAsia="en-US"/>
              </w:rPr>
            </w:pPr>
            <w:r w:rsidRPr="00C64682">
              <w:rPr>
                <w:rFonts w:ascii="Arial" w:eastAsia="Arial" w:hAnsi="Arial" w:cs="Arial"/>
                <w:sz w:val="16"/>
                <w:szCs w:val="16"/>
                <w:lang w:val="en-US" w:eastAsia="en-US"/>
              </w:rPr>
              <w:t>As per 2021-22</w:t>
            </w:r>
          </w:p>
        </w:tc>
      </w:tr>
      <w:tr w:rsidR="00253274" w:rsidTr="00124100">
        <w:trPr>
          <w:trHeight w:val="491"/>
        </w:trPr>
        <w:tc>
          <w:tcPr>
            <w:tcW w:w="1560" w:type="dxa"/>
            <w:tcBorders>
              <w:top w:val="single" w:sz="4" w:space="0" w:color="auto"/>
              <w:left w:val="single" w:sz="4" w:space="0" w:color="auto"/>
              <w:bottom w:val="dotted" w:sz="4" w:space="0" w:color="auto"/>
              <w:right w:val="single" w:sz="4" w:space="0" w:color="auto"/>
            </w:tcBorders>
            <w:hideMark/>
          </w:tcPr>
          <w:p w:rsidR="00C64682" w:rsidRPr="00124100" w:rsidRDefault="00BA7A7F" w:rsidP="00C64682">
            <w:pPr>
              <w:keepLines w:val="0"/>
              <w:spacing w:before="60" w:after="60" w:line="240" w:lineRule="auto"/>
              <w:jc w:val="left"/>
              <w:rPr>
                <w:rFonts w:ascii="Arial" w:eastAsia="Calibri" w:hAnsi="Arial" w:cs="Arial"/>
                <w:sz w:val="16"/>
                <w:szCs w:val="16"/>
                <w:lang w:val="en-US" w:eastAsia="en-US"/>
              </w:rPr>
            </w:pPr>
            <w:r w:rsidRPr="00124100">
              <w:rPr>
                <w:rFonts w:ascii="Arial" w:eastAsia="Calibri" w:hAnsi="Arial" w:cs="Arial"/>
                <w:sz w:val="16"/>
                <w:szCs w:val="16"/>
                <w:lang w:val="en-US" w:eastAsia="en-US"/>
              </w:rPr>
              <w:t xml:space="preserve">Forward Estimates </w:t>
            </w:r>
          </w:p>
          <w:p w:rsidR="00C64682" w:rsidRPr="00124100" w:rsidRDefault="00BA7A7F" w:rsidP="00C64682">
            <w:pPr>
              <w:keepLines w:val="0"/>
              <w:spacing w:before="60" w:after="60" w:line="240" w:lineRule="auto"/>
              <w:jc w:val="left"/>
              <w:rPr>
                <w:rFonts w:ascii="Arial" w:eastAsia="Calibri" w:hAnsi="Arial" w:cs="Arial"/>
                <w:sz w:val="16"/>
                <w:szCs w:val="16"/>
                <w:lang w:val="en-US" w:eastAsia="en-US"/>
              </w:rPr>
            </w:pPr>
            <w:r w:rsidRPr="00124100">
              <w:rPr>
                <w:rFonts w:ascii="Arial" w:eastAsia="Calibri" w:hAnsi="Arial" w:cs="Arial"/>
                <w:sz w:val="16"/>
                <w:szCs w:val="16"/>
                <w:lang w:val="en-US" w:eastAsia="en-US"/>
              </w:rPr>
              <w:t>2023-26</w:t>
            </w:r>
          </w:p>
        </w:tc>
        <w:tc>
          <w:tcPr>
            <w:tcW w:w="3118" w:type="dxa"/>
            <w:tcBorders>
              <w:top w:val="single" w:sz="4" w:space="0" w:color="auto"/>
              <w:left w:val="single" w:sz="4" w:space="0" w:color="auto"/>
              <w:bottom w:val="dotted" w:sz="4" w:space="0" w:color="auto"/>
              <w:right w:val="single" w:sz="4" w:space="0" w:color="auto"/>
            </w:tcBorders>
            <w:hideMark/>
          </w:tcPr>
          <w:p w:rsidR="00C64682" w:rsidRPr="00C64682" w:rsidRDefault="00BA7A7F" w:rsidP="00C64682">
            <w:pPr>
              <w:keepLines w:val="0"/>
              <w:spacing w:before="60" w:after="60" w:line="240" w:lineRule="auto"/>
              <w:jc w:val="left"/>
              <w:rPr>
                <w:rFonts w:ascii="Arial" w:eastAsia="Calibri" w:hAnsi="Arial"/>
                <w:b/>
                <w:sz w:val="18"/>
                <w:szCs w:val="22"/>
                <w:lang w:val="en-US" w:eastAsia="en-US"/>
              </w:rPr>
            </w:pPr>
            <w:r w:rsidRPr="00C64682">
              <w:rPr>
                <w:rFonts w:ascii="Arial" w:eastAsia="Arial" w:hAnsi="Arial" w:cs="Arial"/>
                <w:sz w:val="16"/>
                <w:szCs w:val="16"/>
                <w:lang w:val="en-US" w:eastAsia="en-US"/>
              </w:rPr>
              <w:t>As per 2021-22</w:t>
            </w:r>
          </w:p>
        </w:tc>
        <w:tc>
          <w:tcPr>
            <w:tcW w:w="3118" w:type="dxa"/>
            <w:tcBorders>
              <w:top w:val="single" w:sz="4" w:space="0" w:color="auto"/>
              <w:left w:val="single" w:sz="4" w:space="0" w:color="auto"/>
              <w:bottom w:val="dotted" w:sz="4" w:space="0" w:color="auto"/>
              <w:right w:val="single" w:sz="4" w:space="0" w:color="auto"/>
            </w:tcBorders>
            <w:hideMark/>
          </w:tcPr>
          <w:p w:rsidR="00C64682" w:rsidRPr="00C64682" w:rsidRDefault="00BA7A7F" w:rsidP="00C64682">
            <w:pPr>
              <w:keepLines w:val="0"/>
              <w:spacing w:before="60" w:after="60" w:line="240" w:lineRule="auto"/>
              <w:jc w:val="left"/>
              <w:rPr>
                <w:rFonts w:ascii="Arial" w:eastAsia="Calibri" w:hAnsi="Arial" w:cs="Arial"/>
                <w:b/>
                <w:sz w:val="18"/>
                <w:szCs w:val="22"/>
                <w:lang w:val="en-US" w:eastAsia="en-US"/>
              </w:rPr>
            </w:pPr>
            <w:r w:rsidRPr="00C64682">
              <w:rPr>
                <w:rFonts w:ascii="Arial" w:eastAsia="Arial" w:hAnsi="Arial" w:cs="Arial"/>
                <w:sz w:val="16"/>
                <w:szCs w:val="16"/>
                <w:lang w:val="en-US" w:eastAsia="en-US"/>
              </w:rPr>
              <w:t>As per 2021-22</w:t>
            </w:r>
          </w:p>
        </w:tc>
      </w:tr>
      <w:tr w:rsidR="00253274" w:rsidTr="00C64682">
        <w:trPr>
          <w:trHeight w:val="291"/>
        </w:trPr>
        <w:tc>
          <w:tcPr>
            <w:tcW w:w="7796" w:type="dxa"/>
            <w:gridSpan w:val="3"/>
            <w:tcBorders>
              <w:top w:val="single" w:sz="4" w:space="0" w:color="auto"/>
              <w:left w:val="single" w:sz="4" w:space="0" w:color="auto"/>
              <w:bottom w:val="single" w:sz="4" w:space="0" w:color="auto"/>
              <w:right w:val="single" w:sz="4" w:space="0" w:color="auto"/>
            </w:tcBorders>
            <w:hideMark/>
          </w:tcPr>
          <w:p w:rsidR="00C64682" w:rsidRPr="00F11490" w:rsidRDefault="00BA7A7F" w:rsidP="00C64682">
            <w:pPr>
              <w:keepLines w:val="0"/>
              <w:spacing w:before="60" w:after="60" w:line="240" w:lineRule="auto"/>
              <w:jc w:val="left"/>
              <w:rPr>
                <w:rFonts w:ascii="Arial" w:eastAsia="Cambria" w:hAnsi="Arial" w:cs="Arial"/>
                <w:bCs/>
                <w:iCs/>
                <w:spacing w:val="-6"/>
                <w:sz w:val="16"/>
                <w:szCs w:val="16"/>
                <w:lang w:val="x-none" w:eastAsia="en-US"/>
              </w:rPr>
            </w:pPr>
            <w:r w:rsidRPr="00F11490">
              <w:rPr>
                <w:rFonts w:ascii="Arial" w:eastAsia="Calibri" w:hAnsi="Arial" w:cs="Arial"/>
                <w:sz w:val="16"/>
                <w:szCs w:val="16"/>
                <w:lang w:val="en-US" w:eastAsia="en-US"/>
              </w:rPr>
              <w:t>Material changes to Program 1 resulting from 2022-23 Budget Measures: Nil</w:t>
            </w:r>
          </w:p>
        </w:tc>
      </w:tr>
    </w:tbl>
    <w:p w:rsidR="005B2053" w:rsidRPr="00027D50" w:rsidRDefault="00BA7A7F" w:rsidP="005B2053">
      <w:pPr>
        <w:pStyle w:val="Heading2"/>
        <w:pageBreakBefore/>
        <w:rPr>
          <w:b/>
          <w:sz w:val="26"/>
          <w:szCs w:val="26"/>
        </w:rPr>
      </w:pPr>
      <w:bookmarkStart w:id="1686" w:name="RG_MARKER_11917"/>
      <w:bookmarkStart w:id="1687" w:name="RG_MARKER_12024"/>
      <w:bookmarkStart w:id="1688" w:name="RG_MARKER_12151"/>
      <w:r w:rsidRPr="00027D50">
        <w:rPr>
          <w:b/>
          <w:sz w:val="26"/>
          <w:szCs w:val="26"/>
        </w:rPr>
        <w:t>Section 3</w:t>
      </w:r>
      <w:bookmarkStart w:id="1689" w:name="_Toc449255782_9"/>
      <w:bookmarkStart w:id="1690" w:name="_Toc446237038_9"/>
      <w:bookmarkStart w:id="1691" w:name="_Toc436625460_9"/>
      <w:bookmarkStart w:id="1692" w:name="_Toc436624159_9"/>
      <w:bookmarkEnd w:id="1686"/>
      <w:bookmarkEnd w:id="1687"/>
      <w:bookmarkEnd w:id="1688"/>
      <w:r w:rsidRPr="00027D50">
        <w:rPr>
          <w:b/>
          <w:sz w:val="26"/>
          <w:szCs w:val="26"/>
        </w:rPr>
        <w:t>: Budgeted financial statements</w:t>
      </w:r>
      <w:bookmarkEnd w:id="1689"/>
      <w:bookmarkEnd w:id="1690"/>
      <w:bookmarkEnd w:id="1691"/>
      <w:bookmarkEnd w:id="1692"/>
    </w:p>
    <w:p w:rsidR="00445F72" w:rsidRDefault="00BA7A7F" w:rsidP="00445F72">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rsidR="005B2053" w:rsidRPr="00027D50" w:rsidRDefault="00BA7A7F" w:rsidP="005B2053">
      <w:pPr>
        <w:pStyle w:val="Heading3"/>
        <w:rPr>
          <w:smallCaps w:val="0"/>
          <w:sz w:val="22"/>
          <w:szCs w:val="22"/>
        </w:rPr>
      </w:pPr>
      <w:bookmarkStart w:id="1693" w:name="_Toc210703218_9"/>
      <w:bookmarkStart w:id="1694" w:name="_Toc190682533_9"/>
      <w:bookmarkStart w:id="1695" w:name="_Toc190682316_9"/>
      <w:r w:rsidRPr="00027D50">
        <w:rPr>
          <w:smallCaps w:val="0"/>
          <w:sz w:val="22"/>
          <w:szCs w:val="22"/>
        </w:rPr>
        <w:t>3.1</w:t>
      </w:r>
      <w:r w:rsidRPr="00027D50">
        <w:rPr>
          <w:smallCaps w:val="0"/>
          <w:sz w:val="22"/>
          <w:szCs w:val="22"/>
        </w:rPr>
        <w:tab/>
        <w:t>Budgeted financial statements</w:t>
      </w:r>
      <w:bookmarkEnd w:id="1693"/>
      <w:bookmarkEnd w:id="1694"/>
      <w:bookmarkEnd w:id="1695"/>
    </w:p>
    <w:p w:rsidR="0000614C" w:rsidRPr="00027D50" w:rsidRDefault="00BA7A7F" w:rsidP="0000614C">
      <w:pPr>
        <w:pStyle w:val="Heading4"/>
        <w:rPr>
          <w:sz w:val="20"/>
        </w:rPr>
      </w:pPr>
      <w:r w:rsidRPr="00027D50">
        <w:rPr>
          <w:sz w:val="20"/>
        </w:rPr>
        <w:t>3.1.1</w:t>
      </w:r>
      <w:r w:rsidRPr="00027D50">
        <w:rPr>
          <w:sz w:val="20"/>
        </w:rPr>
        <w:tab/>
        <w:t>Explanatory notes and analysis of budgeted financial statements</w:t>
      </w:r>
    </w:p>
    <w:p w:rsidR="007E038F" w:rsidRPr="007E038F" w:rsidRDefault="00BA7A7F" w:rsidP="007E038F">
      <w:r w:rsidRPr="007E038F">
        <w:t xml:space="preserve">NOPSEMA cost recovers under the OPGGS Act and associated legislation. NOPSEMA’s levies and fees are set and managed in accordance with the Australian Government Charging Framework. This framework builds upon the existing Australian Government Cost Recovery Guidelines, which require the preparation and review of a Cost Recovery Implementation Statement (CRIS). </w:t>
      </w:r>
    </w:p>
    <w:p w:rsidR="007E038F" w:rsidRPr="007E038F" w:rsidRDefault="00BA7A7F" w:rsidP="007E038F">
      <w:r w:rsidRPr="007E038F">
        <w:t xml:space="preserve">Levies and fees are collected from duty holders planning for, and undertaking, offshore petroleum and greenhouse gas storage operations. These levies and fees allow NOPSEMA to recover its expenditure related to effectively discharging its regulatory responsibilities effectively and achieving the outcomes stated in Section 2.1. The NOPSEMA CRIS is maintained to reflect changes to the cost recovery model and is updated regularly with financial and non-financial performance information. </w:t>
      </w:r>
    </w:p>
    <w:p w:rsidR="007E038F" w:rsidRPr="007E038F" w:rsidRDefault="00BA7A7F" w:rsidP="007E038F">
      <w:r w:rsidRPr="007E038F">
        <w:t>The budgeted revenue of $34.8 million for 2022-23 has decreased by $8.3 million since the 2021-22 Portfolio Additional Estimates Statements were prepared.</w:t>
      </w:r>
    </w:p>
    <w:p w:rsidR="007E038F" w:rsidRPr="007E038F" w:rsidRDefault="00BA7A7F" w:rsidP="007E038F">
      <w:r w:rsidRPr="007E038F">
        <w:t xml:space="preserve">Budgeted expenditure of $39.2 million for 2022-23 has increased by $1.4 million since the 2021-22 Portfolio Additional Estimates Statements were prepared. </w:t>
      </w:r>
    </w:p>
    <w:p w:rsidR="007E038F" w:rsidRDefault="00BA7A7F" w:rsidP="007E038F">
      <w:r w:rsidRPr="007E038F">
        <w:t>NOPSEMA presents an annual report to stakeholders on cost effectiveness of its operations, in accordance with the legislation contained within the Offshore Petroleum and Greenhouse Gas Storage (Regulatory Levies) Regulations 2004.</w:t>
      </w:r>
    </w:p>
    <w:p w:rsidR="006B6EF0" w:rsidRPr="0063600A" w:rsidRDefault="00BA7A7F" w:rsidP="00FD22D0">
      <w:pPr>
        <w:pStyle w:val="Heading3"/>
        <w:pageBreakBefore/>
        <w:spacing w:before="0"/>
        <w:rPr>
          <w:rFonts w:ascii="Arial Bold" w:hAnsi="Arial Bold"/>
          <w:smallCaps w:val="0"/>
          <w:sz w:val="22"/>
          <w:szCs w:val="22"/>
        </w:rPr>
      </w:pPr>
      <w:bookmarkStart w:id="1696" w:name="RG_MARKER_12023"/>
      <w:bookmarkStart w:id="1697" w:name="RG_MARKER_12268"/>
      <w:r w:rsidRPr="0063600A">
        <w:rPr>
          <w:rFonts w:ascii="Arial Bold" w:hAnsi="Arial Bold"/>
          <w:smallCaps w:val="0"/>
          <w:sz w:val="22"/>
          <w:szCs w:val="22"/>
        </w:rPr>
        <w:t>3.2</w:t>
      </w:r>
      <w:bookmarkEnd w:id="1696"/>
      <w:bookmarkEnd w:id="1697"/>
      <w:r w:rsidRPr="0063600A">
        <w:rPr>
          <w:rFonts w:ascii="Arial Bold" w:hAnsi="Arial Bold"/>
          <w:smallCaps w:val="0"/>
          <w:sz w:val="22"/>
          <w:szCs w:val="22"/>
        </w:rPr>
        <w:tab/>
        <w:t>Budgeted financial statements tables</w:t>
      </w:r>
    </w:p>
    <w:p w:rsidR="005E7F55" w:rsidRDefault="00BA7A7F" w:rsidP="00CA0C2D">
      <w:pPr>
        <w:pStyle w:val="TableHeading"/>
        <w:keepLines/>
        <w:spacing w:before="60"/>
      </w:pPr>
      <w:r>
        <w:t>Table 3.1: Comprehensive income statement (showing net cost of services) for the period ended 30 June</w:t>
      </w:r>
    </w:p>
    <w:tbl>
      <w:tblPr>
        <w:tblStyle w:val="CDMRange1"/>
        <w:tblW w:w="7740" w:type="dxa"/>
        <w:tblLayout w:type="fixed"/>
        <w:tblLook w:val="0600" w:firstRow="0" w:lastRow="0" w:firstColumn="0" w:lastColumn="0" w:noHBand="1" w:noVBand="1"/>
      </w:tblPr>
      <w:tblGrid>
        <w:gridCol w:w="3615"/>
        <w:gridCol w:w="825"/>
        <w:gridCol w:w="825"/>
        <w:gridCol w:w="825"/>
        <w:gridCol w:w="825"/>
        <w:gridCol w:w="825"/>
      </w:tblGrid>
      <w:tr w:rsidR="00253274">
        <w:trPr>
          <w:trHeight w:val="800"/>
        </w:trPr>
        <w:tc>
          <w:tcPr>
            <w:tcW w:w="3615"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30,563</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33,953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32,897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33,555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34,226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4,954</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5,590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5,293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5,174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5,256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3,554</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2,684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4,439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4,988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5,005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117</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139</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39,211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42,344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42,797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43,856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44,598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Sublease interest income</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633</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1,259</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814</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1,329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895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695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1,329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895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695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61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(38,511)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(41,015)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(41,902)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(43,161)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(43,903)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 (a)</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36,072</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43,519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39,974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38,957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39,327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61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(2,439)</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2,504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(1,928)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(4,204)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(4,576)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(2,439)</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2,504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(1,928)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(4,204)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(4,576)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615" w:type="dxa"/>
            <w:tcBorders>
              <w:top w:val="nil"/>
              <w:left w:val="nil"/>
              <w:bottom w:val="dotted" w:sz="2"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(2,439)</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2,504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(1,928)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(4,204)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(4,576)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615"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4440" w:type="dxa"/>
            <w:gridSpan w:val="2"/>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15" w:type="dxa"/>
            <w:tcBorders>
              <w:top w:val="dotted" w:sz="2" w:space="0" w:color="000000"/>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 </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(2,439)</w:t>
            </w:r>
          </w:p>
        </w:tc>
        <w:tc>
          <w:tcPr>
            <w:tcW w:w="82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(2,504)</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1,928</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4,204</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4,576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61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plus: depreciation/amortisation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2,534</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1,639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1,639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1,639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615"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less: lease principal repayments (b)</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3,533</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1,676</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2,555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2,617</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2,746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615" w:type="dxa"/>
            <w:tcBorders>
              <w:top w:val="nil"/>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 (Deficit)</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(3,438)</w:t>
            </w:r>
          </w:p>
        </w:tc>
        <w:tc>
          <w:tcPr>
            <w:tcW w:w="825" w:type="dxa"/>
            <w:tcBorders>
              <w:top w:val="dotted" w:sz="2" w:space="0" w:color="000000"/>
              <w:left w:val="nil"/>
              <w:bottom w:val="single" w:sz="4" w:space="0" w:color="000000"/>
              <w:right w:val="nil"/>
              <w:tl2br w:val="nil"/>
              <w:tr2bl w:val="nil"/>
            </w:tcBorders>
            <w:shd w:val="clear" w:color="FFFFFF" w:fill="E6E6E6"/>
            <w:tcMar>
              <w:left w:w="40" w:type="dxa"/>
              <w:right w:w="4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(3,129)</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1,012</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3,226</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3,469</w:t>
            </w:r>
          </w:p>
        </w:tc>
      </w:tr>
    </w:tbl>
    <w:p w:rsidR="00932D14" w:rsidRDefault="00BA7A7F" w:rsidP="00932D14">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915587" w:rsidRPr="001408EB" w:rsidRDefault="00BA7A7F" w:rsidP="002C4070">
      <w:pPr>
        <w:pStyle w:val="ChartandTableFootnoteAlpha"/>
        <w:keepNext w:val="0"/>
        <w:keepLines w:val="0"/>
        <w:numPr>
          <w:ilvl w:val="0"/>
          <w:numId w:val="146"/>
        </w:numPr>
        <w:spacing w:line="240" w:lineRule="auto"/>
        <w:ind w:left="357" w:hanging="357"/>
        <w:contextualSpacing/>
        <w:rPr>
          <w:rFonts w:cs="Arial"/>
          <w:szCs w:val="16"/>
        </w:rPr>
      </w:pPr>
      <w:r>
        <w:rPr>
          <w:rFonts w:cs="Arial"/>
        </w:rPr>
        <w:t>NOPSEMA became a c</w:t>
      </w:r>
      <w:r w:rsidR="00441CD5">
        <w:rPr>
          <w:rFonts w:cs="Arial"/>
        </w:rPr>
        <w:t xml:space="preserve">orporate Commonwealth entity on 1 July 2014 and receives </w:t>
      </w:r>
      <w:r w:rsidR="00577B0A">
        <w:rPr>
          <w:rFonts w:cs="Arial"/>
        </w:rPr>
        <w:t xml:space="preserve">the majority of </w:t>
      </w:r>
      <w:r w:rsidR="00441CD5">
        <w:rPr>
          <w:rFonts w:cs="Arial"/>
        </w:rPr>
        <w:t>its funding through a special appropriation which is administered through the Department of Industry, Science, Energy and Resources. This funding is equal in value to the levies NOPSEMA collects from the oil and gas industries.</w:t>
      </w:r>
    </w:p>
    <w:p w:rsidR="001408EB" w:rsidRDefault="00BA7A7F" w:rsidP="002C4070">
      <w:pPr>
        <w:pStyle w:val="ChartandTableFootnoteAlpha"/>
        <w:keepNext w:val="0"/>
        <w:keepLines w:val="0"/>
        <w:numPr>
          <w:ilvl w:val="0"/>
          <w:numId w:val="146"/>
        </w:numPr>
        <w:spacing w:line="240" w:lineRule="auto"/>
        <w:ind w:left="357" w:hanging="357"/>
        <w:contextualSpacing/>
        <w:rPr>
          <w:rFonts w:cs="Arial"/>
        </w:rPr>
      </w:pPr>
      <w:r w:rsidRPr="00BB0D23">
        <w:rPr>
          <w:rFonts w:cs="Arial"/>
        </w:rPr>
        <w:t>Applies leases under AASB 16.</w:t>
      </w:r>
    </w:p>
    <w:p w:rsidR="00665D63" w:rsidRDefault="00665D63" w:rsidP="00665D63">
      <w:pPr>
        <w:keepLines w:val="0"/>
        <w:spacing w:before="40" w:after="0" w:line="240" w:lineRule="auto"/>
        <w:rPr>
          <w:rFonts w:ascii="Arial" w:eastAsia="Calibri" w:hAnsi="Arial" w:cs="Arial"/>
          <w:sz w:val="16"/>
          <w:szCs w:val="16"/>
          <w:bdr w:val="none" w:sz="0" w:space="0" w:color="auto" w:frame="1"/>
        </w:rPr>
      </w:pPr>
    </w:p>
    <w:p w:rsidR="00665D63" w:rsidRPr="00665D63" w:rsidRDefault="00665D63" w:rsidP="00665D63"/>
    <w:p w:rsidR="005E7F55" w:rsidRDefault="00BA7A7F" w:rsidP="00CA0C2D">
      <w:pPr>
        <w:pStyle w:val="TableHeading"/>
        <w:keepLines/>
        <w:pageBreakBefore/>
        <w:spacing w:before="60"/>
        <w:rPr>
          <w:rStyle w:val="BookTitle"/>
          <w:i w:val="0"/>
          <w:iCs/>
          <w:spacing w:val="0"/>
          <w:bdr w:val="none" w:sz="0" w:space="0" w:color="auto" w:frame="1"/>
        </w:rPr>
      </w:pPr>
      <w:r>
        <w:rPr>
          <w:bdr w:val="none" w:sz="0" w:space="0" w:color="auto" w:frame="1"/>
        </w:rPr>
        <w:t xml:space="preserve">Table 3.2: Budgeted departmental balance sheet (as at </w:t>
      </w:r>
      <w:r>
        <w:t>30 June)</w:t>
      </w:r>
    </w:p>
    <w:tbl>
      <w:tblPr>
        <w:tblStyle w:val="CDMRange2"/>
        <w:tblW w:w="7725" w:type="dxa"/>
        <w:tblLayout w:type="fixed"/>
        <w:tblLook w:val="0600" w:firstRow="0" w:lastRow="0" w:firstColumn="0" w:lastColumn="0" w:noHBand="1" w:noVBand="1"/>
      </w:tblPr>
      <w:tblGrid>
        <w:gridCol w:w="3450"/>
        <w:gridCol w:w="855"/>
        <w:gridCol w:w="855"/>
        <w:gridCol w:w="855"/>
        <w:gridCol w:w="855"/>
        <w:gridCol w:w="855"/>
      </w:tblGrid>
      <w:tr w:rsidR="00253274">
        <w:trPr>
          <w:trHeight w:val="800"/>
        </w:trPr>
        <w:tc>
          <w:tcPr>
            <w:tcW w:w="3450"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17,348</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24,407</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21,539</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14,213</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9,042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4,867</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6,690</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6,008</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6,524</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5,781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1,999</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1,999</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1,999</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1,999</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1,999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24,214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33,096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29,546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22,736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16,822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6,271</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10,974</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9,301</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9,705</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8,942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437</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437</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437</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437</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1,820</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3,700</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8,934</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11,078</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10,566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607</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607</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607</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607</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9,135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15,718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19,279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21,827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20,552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33,349</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48,814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48,825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44,563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37,374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445</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445</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445</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445</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445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1,612</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1,612</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1,612</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1,612</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1,612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2,057</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2,057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2,057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2,057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2,057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7,408</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14,220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11,819</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11,761</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9,148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7,408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14,220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11,819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11,761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9,148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6,814</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6,814</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6,814</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6,814</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6,814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940</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940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940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940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940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7,754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7,754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7,754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7,754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7,754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17,219</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24,031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21,630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21,572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18,959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16,130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24,783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27,195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22,991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18,415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896</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7,045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11,385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11,385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11,385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4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15,234</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17,738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15,810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11,606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7,030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16,130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24,783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27,195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22,991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18,415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16,130</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24,783</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27,195</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22,991</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18,415</w:t>
            </w:r>
          </w:p>
        </w:tc>
      </w:tr>
    </w:tbl>
    <w:p w:rsidR="005E7F55" w:rsidRDefault="00BA7A7F"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BA7A7F" w:rsidP="00BB0D23">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Pr="00F54C7C">
        <w:rPr>
          <w:rFonts w:ascii="Arial" w:eastAsia="Calibri" w:hAnsi="Arial" w:cs="Arial"/>
          <w:sz w:val="16"/>
          <w:szCs w:val="16"/>
          <w:bdr w:val="none" w:sz="0" w:space="0" w:color="auto" w:frame="1"/>
        </w:rPr>
        <w:t>Equity is the residual interest in assets after deduction of liabilities.</w:t>
      </w:r>
      <w:r>
        <w:rPr>
          <w:rFonts w:ascii="Arial" w:eastAsia="Calibri" w:hAnsi="Arial" w:cs="Arial"/>
          <w:sz w:val="16"/>
          <w:szCs w:val="16"/>
          <w:bdr w:val="none" w:sz="0" w:space="0" w:color="auto" w:frame="1"/>
        </w:rPr>
        <w:br w:type="page"/>
      </w:r>
    </w:p>
    <w:p w:rsidR="005E7F55" w:rsidRDefault="00BA7A7F" w:rsidP="00CA0C2D">
      <w:pPr>
        <w:pStyle w:val="TableHeading"/>
        <w:keepLines/>
        <w:spacing w:before="60"/>
        <w:rPr>
          <w:rStyle w:val="BookTitle"/>
          <w:i w:val="0"/>
          <w:iCs/>
        </w:rPr>
      </w:pPr>
      <w:r>
        <w:t>Table 3.3: Departmental statement of changes in equity – summary of movement (Budget year 2022­23)</w:t>
      </w:r>
    </w:p>
    <w:tbl>
      <w:tblPr>
        <w:tblStyle w:val="CDMRange1"/>
        <w:tblW w:w="7800" w:type="dxa"/>
        <w:tblLayout w:type="fixed"/>
        <w:tblLook w:val="0600" w:firstRow="0" w:lastRow="0" w:firstColumn="0" w:lastColumn="0" w:noHBand="1" w:noVBand="1"/>
      </w:tblPr>
      <w:tblGrid>
        <w:gridCol w:w="5250"/>
        <w:gridCol w:w="795"/>
        <w:gridCol w:w="960"/>
        <w:gridCol w:w="795"/>
      </w:tblGrid>
      <w:tr w:rsidR="00253274">
        <w:trPr>
          <w:trHeight w:val="800"/>
        </w:trPr>
        <w:tc>
          <w:tcPr>
            <w:tcW w:w="52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7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equity/</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2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7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7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2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15,234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896</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16,130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2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15,234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896</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16,130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2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79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79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2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2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79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2,504</w:t>
            </w:r>
          </w:p>
        </w:tc>
        <w:tc>
          <w:tcPr>
            <w:tcW w:w="96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79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2,504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2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b/>
                <w:i/>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250" w:type="dxa"/>
            <w:tcBorders>
              <w:top w:val="nil"/>
              <w:left w:val="nil"/>
              <w:bottom w:val="nil"/>
              <w:right w:val="nil"/>
              <w:tl2br w:val="nil"/>
              <w:tr2bl w:val="nil"/>
            </w:tcBorders>
            <w:shd w:val="clear" w:color="auto" w:fill="auto"/>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 Government</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2,504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2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79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79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5250" w:type="dxa"/>
            <w:tcBorders>
              <w:top w:val="nil"/>
              <w:left w:val="nil"/>
              <w:bottom w:val="nil"/>
              <w:right w:val="nil"/>
              <w:tl2br w:val="nil"/>
              <w:tr2bl w:val="nil"/>
            </w:tcBorders>
            <w:shd w:val="clear" w:color="auto" w:fill="auto"/>
            <w:noWrap/>
            <w:tcMar>
              <w:left w:w="310"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6,149</w:t>
            </w:r>
          </w:p>
        </w:tc>
        <w:tc>
          <w:tcPr>
            <w:tcW w:w="79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6,149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2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6,149</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6,149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2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 30 June 2023</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17,738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7,045</w:t>
            </w:r>
          </w:p>
        </w:tc>
        <w:tc>
          <w:tcPr>
            <w:tcW w:w="7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24,783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25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 the Australian Government</w:t>
            </w:r>
          </w:p>
        </w:tc>
        <w:tc>
          <w:tcPr>
            <w:tcW w:w="7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17,738</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7,045</w:t>
            </w:r>
          </w:p>
        </w:tc>
        <w:tc>
          <w:tcPr>
            <w:tcW w:w="7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24,783</w:t>
            </w:r>
          </w:p>
        </w:tc>
      </w:tr>
    </w:tbl>
    <w:p w:rsidR="006922E4" w:rsidRPr="00BB0D23" w:rsidRDefault="00BA7A7F"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rsidR="005E7F55" w:rsidRDefault="00BA7A7F" w:rsidP="00CA0C2D">
      <w:pPr>
        <w:pStyle w:val="TableHeading"/>
        <w:keepLines/>
        <w:spacing w:before="60"/>
        <w:rPr>
          <w:rStyle w:val="BookTitle"/>
          <w:i w:val="0"/>
          <w:iCs/>
        </w:rPr>
      </w:pPr>
      <w:r>
        <w:t>Table 3.4: Budgeted departmental statement of cash flows (for the period ended 30 June)</w:t>
      </w:r>
    </w:p>
    <w:tbl>
      <w:tblPr>
        <w:tblStyle w:val="CDMRange2"/>
        <w:tblW w:w="7650" w:type="dxa"/>
        <w:tblLayout w:type="fixed"/>
        <w:tblLook w:val="0600" w:firstRow="0" w:lastRow="0" w:firstColumn="0" w:lastColumn="0" w:noHBand="1" w:noVBand="1"/>
      </w:tblPr>
      <w:tblGrid>
        <w:gridCol w:w="3225"/>
        <w:gridCol w:w="885"/>
        <w:gridCol w:w="885"/>
        <w:gridCol w:w="885"/>
        <w:gridCol w:w="885"/>
        <w:gridCol w:w="885"/>
      </w:tblGrid>
      <w:tr w:rsidR="00253274">
        <w:trPr>
          <w:trHeight w:val="800"/>
        </w:trPr>
        <w:tc>
          <w:tcPr>
            <w:tcW w:w="3225"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36,072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43,519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39,974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38,957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39,327</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2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1,155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941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911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633</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1,259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814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629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37,910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45,759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41,739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39,652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40,022</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30,563</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33,953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32,897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33,555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34,226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5,787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5,590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5,293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5,174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5,256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111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36,490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39,660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38,358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38,868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39,593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1,420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6,099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3,381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784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429</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2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3,513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8,034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5,493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2,854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1,000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3,513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8,034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5,493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2,854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(3,513)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(8,034)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(5,493)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(2,854)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6,149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4,340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6,149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4,340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3,533</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1,676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2,555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2,617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2,746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3,533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1,676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2,555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2,617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i/>
                <w:color w:val="000000"/>
                <w:sz w:val="16"/>
              </w:rPr>
            </w:pPr>
            <w:r>
              <w:rPr>
                <w:rFonts w:ascii="Arial" w:eastAsia="Arial" w:hAnsi="Arial" w:cs="Arial"/>
                <w:b/>
                <w:i/>
                <w:color w:val="000000"/>
                <w:sz w:val="16"/>
              </w:rPr>
              <w:t>2,746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(3,533)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4,473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1,785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(2,617)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(2,746)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(3,113)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7,059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(2,868)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(7,326)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(5,171)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225"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20,461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17,348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24,407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21,539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14,213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17,348</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24,407</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21,539</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14,213</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9,042</w:t>
            </w:r>
          </w:p>
        </w:tc>
      </w:tr>
    </w:tbl>
    <w:p w:rsidR="00E02CEF" w:rsidRPr="00BB0D23" w:rsidRDefault="00BA7A7F"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rsidR="00E02CEF" w:rsidRDefault="00BA7A7F" w:rsidP="00CA0C2D">
      <w:pPr>
        <w:pStyle w:val="TableHeading"/>
        <w:keepLines/>
        <w:spacing w:before="60"/>
        <w:rPr>
          <w:rStyle w:val="BookTitle"/>
          <w:i w:val="0"/>
          <w:iCs/>
        </w:rPr>
      </w:pPr>
      <w:r>
        <w:t>Table 3.5: Departmental capital budget statement (for the period ended 30 June)</w:t>
      </w:r>
    </w:p>
    <w:tbl>
      <w:tblPr>
        <w:tblStyle w:val="CDMRange1"/>
        <w:tblW w:w="7800" w:type="dxa"/>
        <w:tblLayout w:type="fixed"/>
        <w:tblLook w:val="0600" w:firstRow="0" w:lastRow="0" w:firstColumn="0" w:lastColumn="0" w:noHBand="1" w:noVBand="1"/>
      </w:tblPr>
      <w:tblGrid>
        <w:gridCol w:w="3750"/>
        <w:gridCol w:w="810"/>
        <w:gridCol w:w="810"/>
        <w:gridCol w:w="810"/>
        <w:gridCol w:w="810"/>
        <w:gridCol w:w="810"/>
      </w:tblGrid>
      <w:tr w:rsidR="00253274">
        <w:trPr>
          <w:trHeight w:val="800"/>
        </w:trPr>
        <w:tc>
          <w:tcPr>
            <w:tcW w:w="3750" w:type="dxa"/>
            <w:tcBorders>
              <w:top w:val="single" w:sz="4" w:space="0" w:color="000000"/>
              <w:left w:val="nil"/>
              <w:bottom w:val="nil"/>
              <w:right w:val="nil"/>
              <w:tl2br w:val="nil"/>
              <w:tr2bl w:val="nil"/>
            </w:tcBorders>
            <w:shd w:val="clear" w:color="auto" w:fill="auto"/>
            <w:noWrap/>
            <w:tcMar>
              <w:left w:w="0" w:type="dxa"/>
              <w:right w:w="0" w:type="dxa"/>
            </w:tcMar>
          </w:tcPr>
          <w:p w:rsidR="00253274" w:rsidRDefault="00253274">
            <w:pPr>
              <w:spacing w:after="0" w:line="240" w:lineRule="auto"/>
              <w:jc w:val="left"/>
              <w:rPr>
                <w:rFonts w:ascii="Arial" w:eastAsia="Arial" w:hAnsi="Arial" w:cs="Arial"/>
                <w:b/>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2021­22 Estimated actual</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2022­23 </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Budget</w:t>
            </w: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2023­24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7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10"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37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appropriations (a) </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6,149</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4,340</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750" w:type="dxa"/>
            <w:tcBorders>
              <w:top w:val="nil"/>
              <w:left w:val="nil"/>
              <w:bottom w:val="nil"/>
              <w:right w:val="nil"/>
              <w:tl2br w:val="nil"/>
              <w:tr2bl w:val="nil"/>
            </w:tcBorders>
            <w:shd w:val="clear" w:color="auto" w:fill="auto"/>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(b) (c)</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1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8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7,149</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5,340</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750" w:type="dxa"/>
            <w:tcBorders>
              <w:top w:val="nil"/>
              <w:left w:val="nil"/>
              <w:bottom w:val="nil"/>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175" w:type="dxa"/>
              <w:right w:w="40" w:type="dxa"/>
            </w:tcMar>
            <w:vAlign w:val="center"/>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1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7,149</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5,340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50" w:type="dxa"/>
            <w:tcBorders>
              <w:top w:val="nil"/>
              <w:left w:val="nil"/>
              <w:bottom w:val="single" w:sz="4"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81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7,149</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5,340</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r>
    </w:tbl>
    <w:p w:rsidR="00E02CEF" w:rsidRDefault="00BA7A7F"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932D14" w:rsidRPr="00E81A86" w:rsidRDefault="00BA7A7F" w:rsidP="00E81A86">
      <w:pPr>
        <w:pStyle w:val="ChartandTableFootnoteAlpha"/>
        <w:keepNext w:val="0"/>
        <w:keepLines w:val="0"/>
        <w:numPr>
          <w:ilvl w:val="0"/>
          <w:numId w:val="147"/>
        </w:numPr>
        <w:spacing w:line="240" w:lineRule="auto"/>
        <w:contextualSpacing/>
        <w:rPr>
          <w:rFonts w:cs="Arial"/>
        </w:rPr>
      </w:pPr>
      <w:r w:rsidRPr="00E81A86">
        <w:rPr>
          <w:rFonts w:cs="Arial"/>
        </w:rPr>
        <w:t>Appropriation Bill (No. 2) 2022-23.</w:t>
      </w:r>
    </w:p>
    <w:p w:rsidR="00932D14" w:rsidRDefault="00BA7A7F" w:rsidP="00E81A86">
      <w:pPr>
        <w:pStyle w:val="ChartandTableFootnoteAlpha"/>
        <w:keepNext w:val="0"/>
        <w:keepLines w:val="0"/>
        <w:numPr>
          <w:ilvl w:val="0"/>
          <w:numId w:val="147"/>
        </w:numPr>
        <w:spacing w:line="240" w:lineRule="auto"/>
        <w:ind w:left="357" w:hanging="357"/>
        <w:contextualSpacing/>
        <w:rPr>
          <w:rFonts w:cs="Arial"/>
          <w:szCs w:val="16"/>
        </w:rPr>
      </w:pPr>
      <w:r w:rsidRPr="00E81A86">
        <w:rPr>
          <w:rFonts w:cs="Arial"/>
        </w:rPr>
        <w:t>Includes the following s74 external receipts</w:t>
      </w:r>
      <w:r w:rsidRPr="00932D14">
        <w:rPr>
          <w:rFonts w:cs="Arial"/>
          <w:szCs w:val="16"/>
        </w:rPr>
        <w:t>:</w:t>
      </w:r>
    </w:p>
    <w:p w:rsidR="00932D14" w:rsidRPr="00932D14" w:rsidRDefault="00BA7A7F" w:rsidP="00E81A86">
      <w:pPr>
        <w:pStyle w:val="ChartandTableFootnoteAlpha"/>
        <w:keepLines w:val="0"/>
        <w:numPr>
          <w:ilvl w:val="0"/>
          <w:numId w:val="148"/>
        </w:numPr>
        <w:spacing w:line="240" w:lineRule="auto"/>
        <w:contextualSpacing/>
        <w:rPr>
          <w:rFonts w:cs="Arial"/>
          <w:szCs w:val="16"/>
        </w:rPr>
      </w:pPr>
      <w:r w:rsidRPr="00932D14">
        <w:rPr>
          <w:rFonts w:cs="Arial"/>
          <w:szCs w:val="16"/>
        </w:rPr>
        <w:t>sponsorship, subsidy, gifts or similar contribution;</w:t>
      </w:r>
    </w:p>
    <w:p w:rsidR="00932D14" w:rsidRPr="00932D14" w:rsidRDefault="00BA7A7F" w:rsidP="00E81A86">
      <w:pPr>
        <w:pStyle w:val="ChartandTableFootnoteAlpha"/>
        <w:keepLines w:val="0"/>
        <w:numPr>
          <w:ilvl w:val="0"/>
          <w:numId w:val="148"/>
        </w:numPr>
        <w:spacing w:line="240" w:lineRule="auto"/>
        <w:contextualSpacing/>
        <w:rPr>
          <w:rFonts w:cs="Arial"/>
          <w:szCs w:val="16"/>
        </w:rPr>
      </w:pPr>
      <w:r w:rsidRPr="00932D14">
        <w:rPr>
          <w:rFonts w:cs="Arial"/>
          <w:szCs w:val="16"/>
        </w:rPr>
        <w:t>internally developed assets;</w:t>
      </w:r>
    </w:p>
    <w:p w:rsidR="00932D14" w:rsidRPr="00932D14" w:rsidRDefault="00BA7A7F" w:rsidP="00E81A86">
      <w:pPr>
        <w:pStyle w:val="ChartandTableFootnoteAlpha"/>
        <w:keepLines w:val="0"/>
        <w:numPr>
          <w:ilvl w:val="0"/>
          <w:numId w:val="148"/>
        </w:numPr>
        <w:spacing w:line="240" w:lineRule="auto"/>
        <w:contextualSpacing/>
        <w:rPr>
          <w:rFonts w:cs="Arial"/>
          <w:szCs w:val="16"/>
        </w:rPr>
      </w:pPr>
      <w:r w:rsidRPr="00932D14">
        <w:rPr>
          <w:rFonts w:cs="Arial"/>
          <w:szCs w:val="16"/>
        </w:rPr>
        <w:t>own-source revenue; and</w:t>
      </w:r>
    </w:p>
    <w:p w:rsidR="00BB0D23" w:rsidRDefault="00BA7A7F" w:rsidP="00E81A86">
      <w:pPr>
        <w:pStyle w:val="ChartandTableFootnoteAlpha"/>
        <w:keepNext w:val="0"/>
        <w:keepLines w:val="0"/>
        <w:numPr>
          <w:ilvl w:val="0"/>
          <w:numId w:val="148"/>
        </w:numPr>
        <w:spacing w:line="240" w:lineRule="auto"/>
        <w:contextualSpacing/>
        <w:rPr>
          <w:rFonts w:cs="Arial"/>
          <w:szCs w:val="16"/>
        </w:rPr>
      </w:pPr>
      <w:r w:rsidRPr="00932D14">
        <w:rPr>
          <w:rFonts w:cs="Arial"/>
          <w:szCs w:val="16"/>
        </w:rPr>
        <w:t>proceeds from the sale of assets.</w:t>
      </w:r>
    </w:p>
    <w:p w:rsidR="00932D14" w:rsidRPr="00872175" w:rsidRDefault="00BA7A7F" w:rsidP="00872175">
      <w:pPr>
        <w:pStyle w:val="ListParagraph"/>
        <w:keepLines/>
        <w:numPr>
          <w:ilvl w:val="0"/>
          <w:numId w:val="147"/>
        </w:numPr>
        <w:spacing w:after="200" w:line="240" w:lineRule="auto"/>
        <w:jc w:val="left"/>
        <w:rPr>
          <w:rFonts w:eastAsia="Times New Roman" w:cs="Arial"/>
          <w:sz w:val="16"/>
          <w:lang w:val="en-AU"/>
        </w:rPr>
      </w:pPr>
      <w:r w:rsidRPr="00872175">
        <w:rPr>
          <w:rFonts w:ascii="Arial" w:eastAsia="Times New Roman" w:hAnsi="Arial" w:cs="Arial"/>
          <w:sz w:val="16"/>
          <w:lang w:val="en-AU"/>
        </w:rPr>
        <w:t>NOPSEMA became a Corporate Commonwealth entity on 1 July 2014 and receives the majority of its funding through a special appropriation which is administered through the Department of Industry, Science, Energy and Resources. This funding is equal in value to the levies NOPSEMA collects from the oil and gas industries.</w:t>
      </w:r>
    </w:p>
    <w:p w:rsidR="002E5831" w:rsidRPr="00BB0D23" w:rsidRDefault="00BA7A7F" w:rsidP="00932D14">
      <w:pPr>
        <w:pStyle w:val="ChartandTableFootnoteAlpha"/>
        <w:keepNext w:val="0"/>
        <w:keepLines w:val="0"/>
        <w:spacing w:line="240" w:lineRule="auto"/>
        <w:ind w:firstLine="0"/>
        <w:contextualSpacing/>
        <w:rPr>
          <w:bdr w:val="none" w:sz="0" w:space="0" w:color="auto" w:frame="1"/>
        </w:rPr>
      </w:pPr>
      <w:r>
        <w:br w:type="page"/>
      </w:r>
    </w:p>
    <w:p w:rsidR="00E02CEF" w:rsidRDefault="00BA7A7F" w:rsidP="00CA0C2D">
      <w:pPr>
        <w:pStyle w:val="TableHeading"/>
        <w:keepLines/>
        <w:spacing w:before="60"/>
        <w:rPr>
          <w:rStyle w:val="BookTitle"/>
          <w:i w:val="0"/>
          <w:iCs/>
        </w:rPr>
      </w:pPr>
      <w:r>
        <w:t>Table 3.6: Statement of departmental asset movements (Budget year 2022­23)</w:t>
      </w:r>
    </w:p>
    <w:tbl>
      <w:tblPr>
        <w:tblStyle w:val="CDMRange2"/>
        <w:tblW w:w="7650" w:type="dxa"/>
        <w:tblLayout w:type="fixed"/>
        <w:tblLook w:val="0600" w:firstRow="0" w:lastRow="0" w:firstColumn="0" w:lastColumn="0" w:noHBand="1" w:noVBand="1"/>
      </w:tblPr>
      <w:tblGrid>
        <w:gridCol w:w="4050"/>
        <w:gridCol w:w="900"/>
        <w:gridCol w:w="900"/>
        <w:gridCol w:w="900"/>
        <w:gridCol w:w="900"/>
      </w:tblGrid>
      <w:tr w:rsidR="00253274">
        <w:trPr>
          <w:trHeight w:val="1000"/>
        </w:trPr>
        <w:tc>
          <w:tcPr>
            <w:tcW w:w="40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253274" w:rsidRDefault="00253274">
            <w:pPr>
              <w:spacing w:after="0" w:line="240" w:lineRule="auto"/>
              <w:jc w:val="left"/>
              <w:rPr>
                <w:rFonts w:ascii="Arial" w:eastAsia="Arial" w:hAnsi="Arial" w:cs="Arial"/>
                <w:color w:val="000000"/>
                <w:sz w:val="16"/>
              </w:rPr>
            </w:pP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Other</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Total</w:t>
            </w: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253274">
            <w:pPr>
              <w:spacing w:after="0" w:line="240" w:lineRule="auto"/>
              <w:jc w:val="right"/>
              <w:rPr>
                <w:rFonts w:ascii="Arial" w:eastAsia="Arial" w:hAnsi="Arial" w:cs="Arial"/>
                <w:color w:val="000000"/>
                <w:sz w:val="16"/>
              </w:rPr>
            </w:pPr>
          </w:p>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05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0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4,960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3,782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9,769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18,511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0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13,164</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13,164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40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(1,717)</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(3,345)</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(7,949)</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(13,011)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40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 ROU assets</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(10,136)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(10,136)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05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6,271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437</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1,820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8,528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05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0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0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2,913</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3,513</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0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8,488</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8,488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0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8,488</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600</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2,913</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12,001</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0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b/>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0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(1,051)</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(1,033)</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(2,684)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0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Other - ROU assets</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(2,734)</w:t>
            </w:r>
          </w:p>
        </w:tc>
        <w:tc>
          <w:tcPr>
            <w:tcW w:w="90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253274" w:rsidRDefault="00253274">
            <w:pPr>
              <w:spacing w:after="0" w:line="240" w:lineRule="auto"/>
              <w:jc w:val="right"/>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(2,734)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0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(3,785)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(600)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(1,033)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(5,418)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050" w:type="dxa"/>
            <w:tcBorders>
              <w:top w:val="nil"/>
              <w:left w:val="nil"/>
              <w:bottom w:val="nil"/>
              <w:right w:val="nil"/>
              <w:tl2br w:val="nil"/>
              <w:tr2bl w:val="nil"/>
            </w:tcBorders>
            <w:shd w:val="clear" w:color="auto" w:fill="auto"/>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253274" w:rsidRDefault="00253274">
            <w:pPr>
              <w:spacing w:after="0" w:line="240" w:lineRule="auto"/>
              <w:jc w:val="right"/>
              <w:rPr>
                <w:rFonts w:ascii="Arial" w:eastAsia="Arial" w:hAnsi="Arial" w:cs="Arial"/>
                <w:color w:val="000000"/>
                <w:sz w:val="16"/>
              </w:rPr>
            </w:pP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0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4,960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4,382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12,682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22,024</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0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18,918</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18,918</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40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(2,768)</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(3,945)</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(8,982)</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(15,695)</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4050" w:type="dxa"/>
            <w:tcBorders>
              <w:top w:val="nil"/>
              <w:left w:val="nil"/>
              <w:bottom w:val="nil"/>
              <w:right w:val="nil"/>
              <w:tl2br w:val="nil"/>
              <w:tr2bl w:val="nil"/>
            </w:tcBorders>
            <w:shd w:val="clear" w:color="auto" w:fill="auto"/>
            <w:tcMar>
              <w:left w:w="175" w:type="dxa"/>
              <w:right w:w="40" w:type="dxa"/>
            </w:tcMar>
            <w:vAlign w:val="bottom"/>
          </w:tcPr>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253274" w:rsidRDefault="00BA7A7F">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(10,136)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253274" w:rsidRDefault="00BA7A7F">
            <w:pPr>
              <w:spacing w:after="0" w:line="240" w:lineRule="auto"/>
              <w:jc w:val="right"/>
              <w:rPr>
                <w:rFonts w:ascii="Arial" w:eastAsia="Arial" w:hAnsi="Arial" w:cs="Arial"/>
                <w:color w:val="000000"/>
                <w:sz w:val="16"/>
              </w:rPr>
            </w:pPr>
            <w:r>
              <w:rPr>
                <w:rFonts w:ascii="Arial" w:eastAsia="Arial" w:hAnsi="Arial" w:cs="Arial"/>
                <w:color w:val="000000"/>
                <w:sz w:val="16"/>
              </w:rPr>
              <w:t>(10,136)</w:t>
            </w:r>
          </w:p>
        </w:tc>
      </w:tr>
      <w:tr w:rsidR="00253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4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253274" w:rsidRDefault="00BA7A7F">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10,974</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437</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3,700</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rsidR="00253274" w:rsidRDefault="00BA7A7F">
            <w:pPr>
              <w:spacing w:after="0" w:line="240" w:lineRule="auto"/>
              <w:jc w:val="right"/>
              <w:rPr>
                <w:rFonts w:ascii="Arial" w:eastAsia="Arial" w:hAnsi="Arial" w:cs="Arial"/>
                <w:b/>
                <w:color w:val="000000"/>
                <w:sz w:val="16"/>
              </w:rPr>
            </w:pPr>
            <w:r>
              <w:rPr>
                <w:rFonts w:ascii="Arial" w:eastAsia="Arial" w:hAnsi="Arial" w:cs="Arial"/>
                <w:b/>
                <w:color w:val="000000"/>
                <w:sz w:val="16"/>
              </w:rPr>
              <w:t>15,111</w:t>
            </w:r>
          </w:p>
        </w:tc>
      </w:tr>
    </w:tbl>
    <w:p w:rsidR="00915587" w:rsidRPr="00BB0D23" w:rsidRDefault="00BA7A7F"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sidRPr="002D55D2">
        <w:rPr>
          <w:rFonts w:eastAsia="Calibri" w:cs="Arial"/>
          <w:sz w:val="16"/>
          <w:szCs w:val="16"/>
          <w:bdr w:val="none" w:sz="0" w:space="0" w:color="auto" w:frame="1"/>
        </w:rPr>
        <w:br w:type="page"/>
      </w:r>
    </w:p>
    <w:p w:rsidR="00915587" w:rsidRDefault="00BA7A7F" w:rsidP="00CA0C2D">
      <w:pPr>
        <w:pStyle w:val="TableHeading"/>
        <w:keepLines/>
        <w:spacing w:before="60"/>
        <w:rPr>
          <w:rFonts w:cs="Arial"/>
        </w:rPr>
      </w:pPr>
      <w:r>
        <w:rPr>
          <w:rFonts w:cs="Arial"/>
        </w:rPr>
        <w:t>Table 3.7: Schedule of budgeted income and expenses administered on behalf of Government</w:t>
      </w:r>
      <w:r w:rsidR="00C22961">
        <w:rPr>
          <w:rFonts w:cs="Arial"/>
        </w:rPr>
        <w:t xml:space="preserve"> </w:t>
      </w:r>
      <w:r w:rsidR="00C22961">
        <w:t>(for the period ended 30 June)</w:t>
      </w:r>
    </w:p>
    <w:p w:rsidR="00510A5A" w:rsidRPr="002D55D2" w:rsidRDefault="00BA7A7F" w:rsidP="002D55D2">
      <w:pPr>
        <w:rPr>
          <w:i/>
        </w:rPr>
      </w:pPr>
      <w:r>
        <w:t>NOPSEMA has no budgeted income and expenses administered on behalf of government; therefore Table 3.7 is not presented.</w:t>
      </w:r>
    </w:p>
    <w:p w:rsidR="00915587" w:rsidRDefault="00BA7A7F" w:rsidP="00CA0C2D">
      <w:pPr>
        <w:pStyle w:val="TableHeading"/>
        <w:keepLines/>
        <w:spacing w:before="60"/>
      </w:pPr>
      <w:r>
        <w:rPr>
          <w:rFonts w:cs="Arial"/>
        </w:rPr>
        <w:t xml:space="preserve">Table 3.8: </w:t>
      </w:r>
      <w:r>
        <w:t xml:space="preserve">Schedule of budgeted assets and liabilities administered on behalf of Government </w:t>
      </w:r>
      <w:r>
        <w:rPr>
          <w:bdr w:val="none" w:sz="0" w:space="0" w:color="auto" w:frame="1"/>
        </w:rPr>
        <w:t xml:space="preserve">(as at </w:t>
      </w:r>
      <w:r>
        <w:t>30 June)</w:t>
      </w:r>
    </w:p>
    <w:p w:rsidR="002E5831" w:rsidRDefault="00BA7A7F" w:rsidP="002E5831">
      <w:r>
        <w:t>NOPSEMA has no budgeted assets and liabilities administered on behalf of government; therefore Table 3.8 is not presented.</w:t>
      </w:r>
    </w:p>
    <w:p w:rsidR="00915587" w:rsidRDefault="00BA7A7F" w:rsidP="00CA0C2D">
      <w:pPr>
        <w:pStyle w:val="TableHeading"/>
        <w:keepLines/>
        <w:spacing w:before="60"/>
        <w:rPr>
          <w:rStyle w:val="BookTitle"/>
          <w:i w:val="0"/>
          <w:iCs/>
        </w:rPr>
      </w:pPr>
      <w:r>
        <w:t>Table 3.9: Schedule of budgeted administered cash flows (for the period ended 30 June)</w:t>
      </w:r>
    </w:p>
    <w:p w:rsidR="00915587" w:rsidRPr="002D55D2" w:rsidRDefault="00BA7A7F" w:rsidP="002D55D2">
      <w:pPr>
        <w:rPr>
          <w:i/>
        </w:rPr>
      </w:pPr>
      <w:r>
        <w:t>NOPSEMA has no budgeted administered cash flows; therefore Table 3.9 is not presented.</w:t>
      </w:r>
    </w:p>
    <w:p w:rsidR="002E5831" w:rsidRDefault="00BA7A7F" w:rsidP="00CA0C2D">
      <w:pPr>
        <w:pStyle w:val="TableHeading"/>
        <w:keepLines/>
        <w:spacing w:before="60"/>
        <w:rPr>
          <w:rFonts w:cs="Arial"/>
        </w:rPr>
      </w:pPr>
      <w:r>
        <w:rPr>
          <w:rFonts w:cs="Arial"/>
        </w:rPr>
        <w:t xml:space="preserve">Table 3.10: Administered capital budget statement (for the period ended </w:t>
      </w:r>
      <w:r>
        <w:t>30 June)</w:t>
      </w:r>
    </w:p>
    <w:p w:rsidR="002E5831" w:rsidRDefault="00BA7A7F" w:rsidP="002E5831">
      <w:r>
        <w:t>NOPSEMA has no administered capital budget; therefore Table 3.10 is not presented.</w:t>
      </w:r>
    </w:p>
    <w:p w:rsidR="002E5831" w:rsidRDefault="00BA7A7F" w:rsidP="00CA0C2D">
      <w:pPr>
        <w:pStyle w:val="TableHeading"/>
        <w:keepLines/>
        <w:spacing w:before="60"/>
      </w:pPr>
      <w:r>
        <w:rPr>
          <w:rFonts w:cs="Arial"/>
        </w:rPr>
        <w:t>Table 3.11: Statement of administered asset movements (Budget year 2022­23)</w:t>
      </w:r>
      <w:r>
        <w:rPr>
          <w:noProof/>
        </w:rPr>
        <w:t xml:space="preserve"> </w:t>
      </w:r>
    </w:p>
    <w:p w:rsidR="002E5831" w:rsidRPr="00915587" w:rsidRDefault="00BA7A7F" w:rsidP="002D55D2">
      <w:pPr>
        <w:pStyle w:val="ChartandTableFootnoteAlpha"/>
        <w:tabs>
          <w:tab w:val="left" w:pos="720"/>
        </w:tabs>
        <w:ind w:left="0" w:firstLine="0"/>
      </w:pPr>
      <w:r>
        <w:rPr>
          <w:rFonts w:ascii="Book Antiqua" w:hAnsi="Book Antiqua"/>
          <w:sz w:val="20"/>
        </w:rPr>
        <w:t>NOPSEMA has no administered asset movements; therefore Table 3.11 is not presented.</w:t>
      </w:r>
    </w:p>
    <w:sectPr w:rsidR="002E5831" w:rsidRPr="00915587" w:rsidSect="00F07738">
      <w:headerReference w:type="even" r:id="rId357"/>
      <w:headerReference w:type="default" r:id="rId358"/>
      <w:footerReference w:type="even" r:id="rId359"/>
      <w:footerReference w:type="default" r:id="rId360"/>
      <w:headerReference w:type="first" r:id="rId361"/>
      <w:footerReference w:type="first" r:id="rId362"/>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CFE" w:rsidRDefault="00BA7A7F">
      <w:pPr>
        <w:spacing w:after="0" w:line="240" w:lineRule="auto"/>
      </w:pPr>
      <w:r>
        <w:separator/>
      </w:r>
    </w:p>
  </w:endnote>
  <w:endnote w:type="continuationSeparator" w:id="0">
    <w:p w:rsidR="003C6CFE" w:rsidRDefault="00BA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Arial Bold">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A7F" w:rsidRDefault="00BA7A7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3432B" w:rsidRDefault="00BA7A7F"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i</w:t>
    </w:r>
    <w:r w:rsidRPr="0003432B">
      <w:rPr>
        <w:sz w:val="18"/>
        <w:szCs w:val="18"/>
      </w:rPr>
      <w:fldChar w:fldCharType="end"/>
    </w:r>
    <w:r w:rsidRPr="0003432B">
      <w:rPr>
        <w:noProof/>
        <w:sz w:val="18"/>
        <w:szCs w:val="18"/>
      </w:rPr>
      <w:t xml:space="preserve"> </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156</w:t>
    </w:r>
    <w:r w:rsidRPr="00801FE2">
      <w:rPr>
        <w:b/>
        <w:noProof/>
        <w:sz w:val="18"/>
      </w:rPr>
      <w:fldChar w:fldCharType="end"/>
    </w:r>
    <w:r>
      <w:rPr>
        <w:b/>
        <w:noProof/>
        <w:sz w:val="18"/>
      </w:rPr>
      <w:t xml:space="preserve"> | </w:t>
    </w:r>
    <w:r w:rsidRPr="00230B43">
      <w:rPr>
        <w:sz w:val="18"/>
      </w:rPr>
      <w:t>Australian Renewable Energy Agency</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801FE2">
    <w:pPr>
      <w:pStyle w:val="Footer"/>
      <w:jc w:val="right"/>
      <w:rPr>
        <w:sz w:val="18"/>
      </w:rPr>
    </w:pPr>
    <w:r>
      <w:rPr>
        <w:sz w:val="18"/>
      </w:rPr>
      <w:t>Australian Renewable Energy Agency</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157</w:t>
    </w:r>
    <w:r w:rsidRPr="00801FE2">
      <w:rPr>
        <w:b/>
        <w:noProof/>
        <w:sz w:val="18"/>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162</w:t>
    </w:r>
    <w:r w:rsidRPr="000A0C52">
      <w:rPr>
        <w:noProof/>
        <w:color w:val="FFFFFF"/>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161</w:t>
    </w:r>
    <w:r w:rsidRPr="000A0C52">
      <w:rPr>
        <w:noProof/>
        <w:color w:val="FFFFFF"/>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Clean Energy Finance Corporation</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801FE2">
    <w:pPr>
      <w:pStyle w:val="Footer"/>
      <w:jc w:val="right"/>
      <w:rPr>
        <w:sz w:val="18"/>
      </w:rPr>
    </w:pPr>
    <w:r>
      <w:rPr>
        <w:sz w:val="18"/>
      </w:rPr>
      <w:t>Clean Energy Finance Corporation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163</w:t>
    </w:r>
    <w:r w:rsidRPr="00801FE2">
      <w:rPr>
        <w:b/>
        <w:noProof/>
        <w:sz w:val="18"/>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186</w:t>
    </w:r>
    <w:r w:rsidRPr="00801FE2">
      <w:rPr>
        <w:b/>
        <w:noProof/>
        <w:sz w:val="18"/>
      </w:rPr>
      <w:fldChar w:fldCharType="end"/>
    </w:r>
    <w:r>
      <w:rPr>
        <w:b/>
        <w:noProof/>
        <w:sz w:val="18"/>
      </w:rPr>
      <w:t xml:space="preserve"> | </w:t>
    </w:r>
    <w:r w:rsidRPr="00230B43">
      <w:rPr>
        <w:sz w:val="18"/>
      </w:rPr>
      <w:t>Clean Energy Finance Corporation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9013B" w:rsidRDefault="00BA7A7F" w:rsidP="00BA31FF">
    <w:pPr>
      <w:pStyle w:val="Footer"/>
      <w:pBdr>
        <w:top w:val="single" w:sz="4" w:space="1" w:color="auto"/>
      </w:pBdr>
      <w:jc w:val="right"/>
      <w:rPr>
        <w:sz w:val="18"/>
        <w:szCs w:val="18"/>
      </w:rPr>
    </w:pPr>
    <w:r>
      <w:rPr>
        <w:sz w:val="18"/>
        <w:szCs w:val="18"/>
      </w:rPr>
      <w:br/>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i</w:t>
    </w:r>
    <w:r w:rsidRPr="00B9013B">
      <w:rPr>
        <w:sz w:val="18"/>
        <w:szCs w:val="18"/>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801FE2">
    <w:pPr>
      <w:pStyle w:val="Footer"/>
      <w:jc w:val="right"/>
      <w:rPr>
        <w:sz w:val="18"/>
      </w:rPr>
    </w:pPr>
    <w:r>
      <w:rPr>
        <w:sz w:val="18"/>
      </w:rPr>
      <w:t>Clean Energy Finance Corporation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187</w:t>
    </w:r>
    <w:r w:rsidRPr="00801FE2">
      <w:rPr>
        <w:b/>
        <w:noProof/>
        <w:sz w:val="18"/>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192</w:t>
    </w:r>
    <w:r w:rsidRPr="000A0C52">
      <w:rPr>
        <w:noProof/>
        <w:color w:val="FFFFFF"/>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191</w:t>
    </w:r>
    <w:r w:rsidRPr="000A0C52">
      <w:rPr>
        <w:noProof/>
        <w:color w:val="FFFFFF"/>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Clean Energy Regulator</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801FE2">
    <w:pPr>
      <w:pStyle w:val="Footer"/>
      <w:jc w:val="right"/>
      <w:rPr>
        <w:sz w:val="18"/>
      </w:rPr>
    </w:pPr>
    <w:r>
      <w:rPr>
        <w:sz w:val="18"/>
      </w:rPr>
      <w:t>Clean Energy Regulator</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193</w:t>
    </w:r>
    <w:r w:rsidRPr="00801FE2">
      <w:rPr>
        <w:b/>
        <w:noProof/>
        <w:sz w:val="18"/>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216</w:t>
    </w:r>
    <w:r w:rsidRPr="00801FE2">
      <w:rPr>
        <w:b/>
        <w:noProof/>
        <w:sz w:val="18"/>
      </w:rPr>
      <w:fldChar w:fldCharType="end"/>
    </w:r>
    <w:r>
      <w:rPr>
        <w:b/>
        <w:noProof/>
        <w:sz w:val="18"/>
      </w:rPr>
      <w:t xml:space="preserve"> | </w:t>
    </w:r>
    <w:r w:rsidRPr="00230B43">
      <w:rPr>
        <w:sz w:val="18"/>
      </w:rPr>
      <w:t>Clean Energy Regulator</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801FE2">
    <w:pPr>
      <w:pStyle w:val="Footer"/>
      <w:jc w:val="right"/>
      <w:rPr>
        <w:sz w:val="18"/>
      </w:rPr>
    </w:pPr>
    <w:r>
      <w:rPr>
        <w:sz w:val="18"/>
      </w:rPr>
      <w:t>Clean Energy Regulator</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217</w:t>
    </w:r>
    <w:r w:rsidRPr="00801FE2">
      <w:rPr>
        <w:b/>
        <w:noProof/>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222</w:t>
    </w:r>
    <w:r w:rsidRPr="000A0C52">
      <w:rPr>
        <w:noProof/>
        <w:color w:val="FFFFFF"/>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221</w:t>
    </w:r>
    <w:r w:rsidRPr="000A0C52">
      <w:rPr>
        <w:noProof/>
        <w:color w:val="FFFFFF"/>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Climate Change Authority</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801FE2">
    <w:pPr>
      <w:pStyle w:val="Footer"/>
      <w:jc w:val="right"/>
      <w:rPr>
        <w:sz w:val="18"/>
      </w:rPr>
    </w:pPr>
    <w:r>
      <w:rPr>
        <w:sz w:val="18"/>
      </w:rPr>
      <w:t>Climate Change Authority</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223</w:t>
    </w:r>
    <w:r w:rsidRPr="00801FE2">
      <w:rPr>
        <w:b/>
        <w:noProof/>
        <w:sz w:val="18"/>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234</w:t>
    </w:r>
    <w:r w:rsidRPr="00801FE2">
      <w:rPr>
        <w:b/>
        <w:noProof/>
        <w:sz w:val="18"/>
      </w:rPr>
      <w:fldChar w:fldCharType="end"/>
    </w:r>
    <w:r>
      <w:rPr>
        <w:b/>
        <w:noProof/>
        <w:sz w:val="18"/>
      </w:rPr>
      <w:t xml:space="preserve"> | </w:t>
    </w:r>
    <w:r w:rsidRPr="00230B43">
      <w:rPr>
        <w:sz w:val="18"/>
      </w:rPr>
      <w:t>Climate Change Authority</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801FE2">
    <w:pPr>
      <w:pStyle w:val="Footer"/>
      <w:jc w:val="right"/>
      <w:rPr>
        <w:sz w:val="18"/>
      </w:rPr>
    </w:pPr>
    <w:r>
      <w:rPr>
        <w:sz w:val="18"/>
      </w:rPr>
      <w:t>Climate Change Authority</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233</w:t>
    </w:r>
    <w:r w:rsidRPr="00801FE2">
      <w:rPr>
        <w:b/>
        <w:noProof/>
        <w:sz w:val="18"/>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238</w:t>
    </w:r>
    <w:r w:rsidRPr="000A0C52">
      <w:rPr>
        <w:noProof/>
        <w:color w:val="FFFFFF"/>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237</w:t>
    </w:r>
    <w:r w:rsidRPr="000A0C52">
      <w:rPr>
        <w:noProof/>
        <w:color w:val="FFFFFF"/>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Commonwealth Scientific and Industrial Research Organisation</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801FE2">
    <w:pPr>
      <w:pStyle w:val="Footer"/>
      <w:jc w:val="right"/>
      <w:rPr>
        <w:sz w:val="18"/>
      </w:rPr>
    </w:pPr>
    <w:r>
      <w:rPr>
        <w:sz w:val="18"/>
      </w:rPr>
      <w:t>Commonwealth Scientific and Industrial Research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239</w:t>
    </w:r>
    <w:r w:rsidRPr="00801FE2">
      <w:rPr>
        <w:b/>
        <w:noProof/>
        <w:sz w:val="18"/>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258</w:t>
    </w:r>
    <w:r w:rsidRPr="00801FE2">
      <w:rPr>
        <w:b/>
        <w:noProof/>
        <w:sz w:val="18"/>
      </w:rPr>
      <w:fldChar w:fldCharType="end"/>
    </w:r>
    <w:r>
      <w:rPr>
        <w:b/>
        <w:noProof/>
        <w:sz w:val="18"/>
      </w:rPr>
      <w:t xml:space="preserve"> | </w:t>
    </w:r>
    <w:r w:rsidRPr="00230B43">
      <w:rPr>
        <w:sz w:val="18"/>
      </w:rPr>
      <w:t>Commonwealth Scientific and Industrial Research Organisation</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801FE2">
    <w:pPr>
      <w:pStyle w:val="Footer"/>
      <w:jc w:val="right"/>
      <w:rPr>
        <w:sz w:val="18"/>
      </w:rPr>
    </w:pPr>
    <w:r>
      <w:rPr>
        <w:sz w:val="18"/>
      </w:rPr>
      <w:t>Commonwealth Scientific and Industrial Research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257</w:t>
    </w:r>
    <w:r w:rsidRPr="00801FE2">
      <w:rPr>
        <w:b/>
        <w:noProof/>
        <w:sz w:val="18"/>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0D7E34" w:rsidP="009A0341">
    <w:pPr>
      <w:pStyle w:val="Foote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200660</wp:posOffset>
              </wp:positionH>
              <wp:positionV relativeFrom="margin">
                <wp:posOffset>1347470</wp:posOffset>
              </wp:positionV>
              <wp:extent cx="399415" cy="4910455"/>
              <wp:effectExtent l="635" t="4445" r="0" b="0"/>
              <wp:wrapNone/>
              <wp:docPr id="3" name="Text Box 102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91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A7F" w:rsidRPr="007273F1" w:rsidRDefault="00BA7A7F" w:rsidP="00470A7F">
                          <w:pPr>
                            <w:pStyle w:val="FooterEven"/>
                            <w:jc w:val="center"/>
                            <w:rPr>
                              <w:color w:val="FFFFFF"/>
                            </w:rPr>
                          </w:pPr>
                          <w:r w:rsidRPr="007273F1">
                            <w:rPr>
                              <w:color w:val="FFFFFF"/>
                            </w:rPr>
                            <w:fldChar w:fldCharType="begin"/>
                          </w:r>
                          <w:r w:rsidRPr="007273F1">
                            <w:rPr>
                              <w:color w:val="FFFFFF"/>
                            </w:rPr>
                            <w:instrText xml:space="preserve"> PAGE   \* MERGEFORMAT </w:instrText>
                          </w:r>
                          <w:r w:rsidRPr="007273F1">
                            <w:rPr>
                              <w:color w:val="FFFFFF"/>
                            </w:rPr>
                            <w:fldChar w:fldCharType="separate"/>
                          </w:r>
                          <w:r w:rsidR="00762C05">
                            <w:rPr>
                              <w:noProof/>
                              <w:color w:val="FFFFFF"/>
                            </w:rPr>
                            <w:t>260</w:t>
                          </w:r>
                          <w:r w:rsidRPr="007273F1">
                            <w:rPr>
                              <w:noProof/>
                              <w:color w:val="FFFFF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62" type="#_x0000_t202" alt="Landscape Page Number" style="position:absolute;left:0;text-align:left;margin-left:15.8pt;margin-top:106.1pt;width:31.45pt;height:38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" stroked="f">
              <v:textbox style="layout-flow:vertical">
                <w:txbxContent>
                  <w:p w:rsidR="00470A7F" w:rsidRPr="007273F1" w:rsidRDefault="00BA7A7F" w:rsidP="00470A7F">
                    <w:pPr>
                      <w:pStyle w:val="FooterEven"/>
                      <w:jc w:val="center"/>
                      <w:rPr>
                        <w:color w:val="FFFFFF"/>
                      </w:rPr>
                    </w:pPr>
                    <w:r w:rsidRPr="007273F1">
                      <w:rPr>
                        <w:color w:val="FFFFFF"/>
                      </w:rPr>
                      <w:fldChar w:fldCharType="begin"/>
                    </w:r>
                    <w:r w:rsidRPr="007273F1">
                      <w:rPr>
                        <w:color w:val="FFFFFF"/>
                      </w:rPr>
                      <w:instrText xml:space="preserve"> PAGE   \* MERGEFORMAT </w:instrText>
                    </w:r>
                    <w:r w:rsidRPr="007273F1">
                      <w:rPr>
                        <w:color w:val="FFFFFF"/>
                      </w:rPr>
                      <w:fldChar w:fldCharType="separate"/>
                    </w:r>
                    <w:r w:rsidR="00762C05">
                      <w:rPr>
                        <w:noProof/>
                        <w:color w:val="FFFFFF"/>
                      </w:rPr>
                      <w:t>260</w:t>
                    </w:r>
                    <w:r w:rsidRPr="007273F1">
                      <w:rPr>
                        <w:noProof/>
                        <w:color w:val="FFFFFF"/>
                      </w:rPr>
                      <w:fldChar w:fldCharType="end"/>
                    </w:r>
                  </w:p>
                </w:txbxContent>
              </v:textbox>
              <w10:wrap anchory="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0D7E34" w:rsidP="009A0341">
    <w:pPr>
      <w:pStyle w:val="Foote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200660</wp:posOffset>
              </wp:positionH>
              <wp:positionV relativeFrom="margin">
                <wp:posOffset>1347470</wp:posOffset>
              </wp:positionV>
              <wp:extent cx="399415" cy="4910455"/>
              <wp:effectExtent l="635" t="4445" r="0" b="0"/>
              <wp:wrapNone/>
              <wp:docPr id="2" name="Text Box 32"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91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A7F" w:rsidRPr="007273F1" w:rsidRDefault="00BA7A7F" w:rsidP="00470A7F">
                          <w:pPr>
                            <w:pStyle w:val="FooterEven"/>
                            <w:jc w:val="center"/>
                            <w:rPr>
                              <w:color w:val="FFFFFF"/>
                            </w:rPr>
                          </w:pPr>
                          <w:r w:rsidRPr="007273F1">
                            <w:rPr>
                              <w:color w:val="FFFFFF"/>
                            </w:rPr>
                            <w:fldChar w:fldCharType="begin"/>
                          </w:r>
                          <w:r w:rsidRPr="007273F1">
                            <w:rPr>
                              <w:color w:val="FFFFFF"/>
                            </w:rPr>
                            <w:instrText xml:space="preserve"> PAGE   \* MERGEFORMAT </w:instrText>
                          </w:r>
                          <w:r w:rsidRPr="007273F1">
                            <w:rPr>
                              <w:color w:val="FFFFFF"/>
                            </w:rPr>
                            <w:fldChar w:fldCharType="separate"/>
                          </w:r>
                          <w:r w:rsidR="00762C05">
                            <w:rPr>
                              <w:noProof/>
                              <w:color w:val="FFFFFF"/>
                            </w:rPr>
                            <w:t>259</w:t>
                          </w:r>
                          <w:r w:rsidRPr="007273F1">
                            <w:rPr>
                              <w:noProof/>
                              <w:color w:val="FFFFF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63" type="#_x0000_t202" alt="Landscape Page Number" style="position:absolute;left:0;text-align:left;margin-left:15.8pt;margin-top:106.1pt;width:31.45pt;height:38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" stroked="f">
              <v:textbox style="layout-flow:vertical">
                <w:txbxContent>
                  <w:p w:rsidR="00470A7F" w:rsidRPr="007273F1" w:rsidRDefault="00BA7A7F" w:rsidP="00470A7F">
                    <w:pPr>
                      <w:pStyle w:val="FooterEven"/>
                      <w:jc w:val="center"/>
                      <w:rPr>
                        <w:color w:val="FFFFFF"/>
                      </w:rPr>
                    </w:pPr>
                    <w:r w:rsidRPr="007273F1">
                      <w:rPr>
                        <w:color w:val="FFFFFF"/>
                      </w:rPr>
                      <w:fldChar w:fldCharType="begin"/>
                    </w:r>
                    <w:r w:rsidRPr="007273F1">
                      <w:rPr>
                        <w:color w:val="FFFFFF"/>
                      </w:rPr>
                      <w:instrText xml:space="preserve"> PAGE   \* MERGEFORMAT </w:instrText>
                    </w:r>
                    <w:r w:rsidRPr="007273F1">
                      <w:rPr>
                        <w:color w:val="FFFFFF"/>
                      </w:rPr>
                      <w:fldChar w:fldCharType="separate"/>
                    </w:r>
                    <w:r w:rsidR="00762C05">
                      <w:rPr>
                        <w:noProof/>
                        <w:color w:val="FFFFFF"/>
                      </w:rPr>
                      <w:t>259</w:t>
                    </w:r>
                    <w:r w:rsidRPr="007273F1">
                      <w:rPr>
                        <w:noProof/>
                        <w:color w:val="FFFFFF"/>
                      </w:rPr>
                      <w:fldChar w:fldCharType="end"/>
                    </w:r>
                  </w:p>
                </w:txbxContent>
              </v:textbox>
              <w10:wrap anchory="margin"/>
            </v:shape>
          </w:pict>
        </mc:Fallback>
      </mc:AlternateConten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Commonwealth Scientific and Industrial Research Organisation</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801FE2">
    <w:pPr>
      <w:pStyle w:val="Footer"/>
      <w:jc w:val="right"/>
      <w:rPr>
        <w:sz w:val="18"/>
      </w:rPr>
    </w:pPr>
    <w:r>
      <w:rPr>
        <w:sz w:val="18"/>
      </w:rPr>
      <w:t>Commonwealth Scientific and Industrial Research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261</w:t>
    </w:r>
    <w:r w:rsidRPr="00801FE2">
      <w:rPr>
        <w:b/>
        <w:noProof/>
        <w:sz w:val="18"/>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266</w:t>
    </w:r>
    <w:r w:rsidRPr="000A0C52">
      <w:rPr>
        <w:noProof/>
        <w:color w:val="FFFFFF"/>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265</w:t>
    </w:r>
    <w:r w:rsidRPr="000A0C52">
      <w:rPr>
        <w:noProof/>
        <w:color w:val="FFFFFF"/>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Geoscience Australia</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801FE2">
    <w:pPr>
      <w:pStyle w:val="Footer"/>
      <w:jc w:val="right"/>
      <w:rPr>
        <w:sz w:val="18"/>
      </w:rPr>
    </w:pPr>
    <w:r>
      <w:rPr>
        <w:sz w:val="18"/>
      </w:rPr>
      <w:t>Geoscience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267</w:t>
    </w:r>
    <w:r w:rsidRPr="00801FE2">
      <w:rPr>
        <w:b/>
        <w:noProof/>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keepLines w:val="0"/>
      <w:spacing w:after="160" w:line="259" w:lineRule="auto"/>
      <w:jc w:val="left"/>
      <w:rPr>
        <w:rFonts w:ascii="Calibri" w:eastAsia="Calibri" w:hAnsi="Calibri"/>
        <w:sz w:val="22"/>
        <w:szCs w:val="22"/>
        <w:lang w:eastAsia="en-US"/>
      </w:rPr>
    </w:pP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288</w:t>
    </w:r>
    <w:r w:rsidRPr="00801FE2">
      <w:rPr>
        <w:b/>
        <w:noProof/>
        <w:sz w:val="18"/>
      </w:rPr>
      <w:fldChar w:fldCharType="end"/>
    </w:r>
    <w:r>
      <w:rPr>
        <w:b/>
        <w:noProof/>
        <w:sz w:val="18"/>
      </w:rPr>
      <w:t xml:space="preserve"> | </w:t>
    </w:r>
    <w:r w:rsidRPr="00230B43">
      <w:rPr>
        <w:sz w:val="18"/>
      </w:rPr>
      <w:t>Geoscience Australia</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801FE2">
    <w:pPr>
      <w:pStyle w:val="Footer"/>
      <w:jc w:val="right"/>
      <w:rPr>
        <w:sz w:val="18"/>
      </w:rPr>
    </w:pPr>
    <w:r>
      <w:rPr>
        <w:sz w:val="18"/>
      </w:rPr>
      <w:t>Geoscience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289</w:t>
    </w:r>
    <w:r w:rsidRPr="00801FE2">
      <w:rPr>
        <w:b/>
        <w:noProof/>
        <w:sz w:val="18"/>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294</w:t>
    </w:r>
    <w:r w:rsidRPr="000A0C52">
      <w:rPr>
        <w:noProof/>
        <w:color w:val="FFFFFF"/>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293</w:t>
    </w:r>
    <w:r w:rsidRPr="000A0C52">
      <w:rPr>
        <w:noProof/>
        <w:color w:val="FFFFFF"/>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IP Australia</w: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801FE2">
    <w:pPr>
      <w:pStyle w:val="Footer"/>
      <w:jc w:val="right"/>
      <w:rPr>
        <w:sz w:val="18"/>
      </w:rPr>
    </w:pPr>
    <w:r>
      <w:rPr>
        <w:sz w:val="18"/>
      </w:rPr>
      <w:t>IP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295</w:t>
    </w:r>
    <w:r w:rsidRPr="00801FE2">
      <w:rPr>
        <w:b/>
        <w:noProof/>
        <w:sz w:val="18"/>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3432B" w:rsidRDefault="00BA7A7F"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000D7E34">
      <w:rPr>
        <w:noProof/>
        <w:sz w:val="18"/>
        <w:szCs w:val="18"/>
      </w:rPr>
      <w:t>vi</w:t>
    </w:r>
    <w:r w:rsidRPr="0003432B">
      <w:rPr>
        <w:sz w:val="18"/>
        <w:szCs w:val="18"/>
      </w:rPr>
      <w:fldChar w:fldCharType="end"/>
    </w:r>
    <w:r w:rsidRPr="0003432B">
      <w:rPr>
        <w:noProof/>
        <w:sz w:val="18"/>
        <w:szCs w:val="18"/>
      </w:rPr>
      <w:t xml:space="preserve"> </w:t>
    </w:r>
    <w:r>
      <w:rPr>
        <w:noProof/>
        <w:sz w:val="18"/>
        <w:szCs w:val="18"/>
      </w:rPr>
      <w:t>| User guide</w: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312</w:t>
    </w:r>
    <w:r w:rsidRPr="00801FE2">
      <w:rPr>
        <w:b/>
        <w:noProof/>
        <w:sz w:val="18"/>
      </w:rPr>
      <w:fldChar w:fldCharType="end"/>
    </w:r>
    <w:r>
      <w:rPr>
        <w:b/>
        <w:noProof/>
        <w:sz w:val="18"/>
      </w:rPr>
      <w:t xml:space="preserve"> | </w:t>
    </w:r>
    <w:r w:rsidRPr="00230B43">
      <w:rPr>
        <w:sz w:val="18"/>
      </w:rPr>
      <w:t>IP Australia</w: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801FE2">
    <w:pPr>
      <w:pStyle w:val="Footer"/>
      <w:jc w:val="right"/>
      <w:rPr>
        <w:sz w:val="18"/>
      </w:rPr>
    </w:pPr>
    <w:r>
      <w:rPr>
        <w:sz w:val="18"/>
      </w:rPr>
      <w:t>IP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313</w:t>
    </w:r>
    <w:r w:rsidRPr="00801FE2">
      <w:rPr>
        <w:b/>
        <w:noProof/>
        <w:sz w:val="18"/>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318</w:t>
    </w:r>
    <w:r w:rsidRPr="000A0C52">
      <w:rPr>
        <w:noProof/>
        <w:color w:val="FFFFFF"/>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317</w:t>
    </w:r>
    <w:r w:rsidRPr="000A0C52">
      <w:rPr>
        <w:noProof/>
        <w:color w:val="FFFFFF"/>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National Offshore Petroleum Safety and Environmental Management Authority</w: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94553A">
    <w:pPr>
      <w:pStyle w:val="Footer"/>
      <w:jc w:val="right"/>
      <w:rPr>
        <w:sz w:val="18"/>
      </w:rPr>
    </w:pPr>
    <w:r>
      <w:rPr>
        <w:sz w:val="18"/>
      </w:rPr>
      <w:t>National Offshore Petroleum Safety and Environmental Management Authority</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319</w:t>
    </w:r>
    <w:r w:rsidRPr="00801FE2">
      <w:rPr>
        <w:b/>
        <w:noProof/>
        <w:sz w:val="18"/>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334</w:t>
    </w:r>
    <w:r w:rsidRPr="00801FE2">
      <w:rPr>
        <w:b/>
        <w:noProof/>
        <w:sz w:val="18"/>
      </w:rPr>
      <w:fldChar w:fldCharType="end"/>
    </w:r>
    <w:r>
      <w:rPr>
        <w:b/>
        <w:noProof/>
        <w:sz w:val="18"/>
      </w:rPr>
      <w:t xml:space="preserve"> | </w:t>
    </w:r>
    <w:r w:rsidRPr="00230B43">
      <w:rPr>
        <w:sz w:val="18"/>
      </w:rPr>
      <w:t>National Offshore Petroleum Safety and Environmental Management Authority</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9013B" w:rsidRDefault="00BA7A7F" w:rsidP="00BA31FF">
    <w:pPr>
      <w:pStyle w:val="Footer"/>
      <w:pBdr>
        <w:top w:val="single" w:sz="4" w:space="1" w:color="auto"/>
      </w:pBdr>
      <w:jc w:val="right"/>
      <w:rPr>
        <w:sz w:val="18"/>
        <w:szCs w:val="18"/>
      </w:rPr>
    </w:pPr>
    <w:r>
      <w:rPr>
        <w:sz w:val="18"/>
        <w:szCs w:val="18"/>
      </w:rPr>
      <w:br/>
      <w:t xml:space="preserve">User Guide | </w:t>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000D7E34">
      <w:rPr>
        <w:noProof/>
        <w:sz w:val="18"/>
        <w:szCs w:val="18"/>
      </w:rPr>
      <w:t>vii</w:t>
    </w:r>
    <w:r w:rsidRPr="00B9013B">
      <w:rPr>
        <w:sz w:val="18"/>
        <w:szCs w:val="18"/>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94553A">
    <w:pPr>
      <w:pStyle w:val="Footer"/>
      <w:jc w:val="right"/>
      <w:rPr>
        <w:sz w:val="18"/>
      </w:rPr>
    </w:pPr>
    <w:r>
      <w:rPr>
        <w:sz w:val="18"/>
      </w:rPr>
      <w:t>National Offshore Petroleum Safety and Environmental Management Authority</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333</w:t>
    </w:r>
    <w:r w:rsidRPr="00801FE2">
      <w:rPr>
        <w:b/>
        <w:noProof/>
        <w:sz w:val="18"/>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A7F" w:rsidRDefault="00BA7A7F">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rFonts w:ascii="Calibri" w:hAnsi="Calibri"/>
        <w:color w:val="FFFFFF"/>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rFonts w:ascii="Calibri" w:hAnsi="Calibri"/>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A7F" w:rsidRDefault="00BA7A7F">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keepLines w:val="0"/>
      <w:spacing w:after="200" w:line="276" w:lineRule="auto"/>
      <w:jc w:val="left"/>
      <w:rPr>
        <w:rFonts w:ascii="Calibri" w:eastAsia="Calibri" w:hAnsi="Calibri" w:cs="Arial"/>
        <w:sz w:val="22"/>
        <w:szCs w:val="22"/>
        <w:lang w:val="en-US" w:eastAsia="en-US"/>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55" w:rsidRDefault="00DC1555" w:rsidP="00DC1555">
    <w:pPr>
      <w:pStyle w:val="Footer"/>
      <w:pBdr>
        <w:top w:val="single" w:sz="4" w:space="1" w:color="auto"/>
      </w:pBdr>
      <w:jc w:val="right"/>
      <w:rPr>
        <w:rFonts w:ascii="Book Antiqua" w:hAnsi="Book Antiqua"/>
        <w:sz w:val="18"/>
      </w:rPr>
    </w:pPr>
  </w:p>
  <w:p w:rsidR="00D86095" w:rsidRPr="00DC1555" w:rsidRDefault="00BA7A7F" w:rsidP="00864FBD">
    <w:pPr>
      <w:pStyle w:val="Footer"/>
      <w:jc w:val="left"/>
      <w:rPr>
        <w:rFonts w:ascii="Book Antiqua" w:hAnsi="Book Antiqua"/>
        <w:sz w:val="18"/>
      </w:rPr>
    </w:pP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1</w:t>
    </w:r>
    <w:r w:rsidRPr="00DC1555">
      <w:rPr>
        <w:b/>
        <w:sz w:val="18"/>
      </w:rPr>
      <w:fldChar w:fldCharType="end"/>
    </w:r>
    <w:r>
      <w:rPr>
        <w:b/>
        <w:noProof/>
        <w:sz w:val="18"/>
      </w:rPr>
      <w:t xml:space="preserve"> | </w:t>
    </w:r>
    <w:r>
      <w:rPr>
        <w:sz w:val="18"/>
      </w:rPr>
      <w:t>Portfolio overview</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55" w:rsidRDefault="00DC1555" w:rsidP="00DC1555">
    <w:pPr>
      <w:pStyle w:val="Footer"/>
      <w:pBdr>
        <w:top w:val="single" w:sz="4" w:space="1" w:color="auto"/>
      </w:pBdr>
      <w:jc w:val="right"/>
      <w:rPr>
        <w:rFonts w:ascii="Book Antiqua" w:hAnsi="Book Antiqua"/>
        <w:sz w:val="18"/>
      </w:rPr>
    </w:pPr>
  </w:p>
  <w:p w:rsidR="00D86095" w:rsidRPr="00DC1555" w:rsidRDefault="00BA7A7F" w:rsidP="004B5DEC">
    <w:pPr>
      <w:pStyle w:val="Footer"/>
      <w:jc w:val="righ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00762C05">
      <w:rPr>
        <w:b/>
        <w:noProof/>
        <w:sz w:val="18"/>
      </w:rPr>
      <w:t>3</w:t>
    </w:r>
    <w:r w:rsidRPr="00DC1555">
      <w:rPr>
        <w:b/>
        <w:sz w:val="18"/>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keepLines w:val="0"/>
      <w:ind w:left="284" w:hanging="284"/>
      <w:rPr>
        <w:rFonts w:eastAsia="Calibri" w:cs="Arial"/>
        <w:sz w:val="22"/>
        <w:szCs w:val="22"/>
        <w:lang w:val="en-US" w:eastAsia="en-US"/>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55" w:rsidRDefault="00DC1555" w:rsidP="00DC1555">
    <w:pPr>
      <w:pStyle w:val="Footer"/>
      <w:pBdr>
        <w:top w:val="single" w:sz="4" w:space="1" w:color="auto"/>
      </w:pBdr>
      <w:jc w:val="right"/>
      <w:rPr>
        <w:rFonts w:ascii="Book Antiqua" w:hAnsi="Book Antiqua"/>
        <w:sz w:val="18"/>
      </w:rPr>
    </w:pPr>
  </w:p>
  <w:p w:rsidR="00D86095" w:rsidRPr="00DC1555" w:rsidRDefault="00BA7A7F" w:rsidP="00864FBD">
    <w:pPr>
      <w:pStyle w:val="Footer"/>
      <w:jc w:val="left"/>
      <w:rPr>
        <w:rFonts w:ascii="Book Antiqua" w:hAnsi="Book Antiqua"/>
        <w:sz w:val="18"/>
      </w:rPr>
    </w:pP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00762C05">
      <w:rPr>
        <w:b/>
        <w:noProof/>
        <w:sz w:val="18"/>
      </w:rPr>
      <w:t>8</w:t>
    </w:r>
    <w:r w:rsidRPr="00DC1555">
      <w:rPr>
        <w:b/>
        <w:sz w:val="18"/>
      </w:rPr>
      <w:fldChar w:fldCharType="end"/>
    </w:r>
    <w:r>
      <w:rPr>
        <w:b/>
        <w:noProof/>
        <w:sz w:val="18"/>
      </w:rPr>
      <w:t xml:space="preserve"> | </w:t>
    </w:r>
    <w:r>
      <w:rPr>
        <w:sz w:val="18"/>
      </w:rPr>
      <w:t>Portfolio overview</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55" w:rsidRDefault="00DC1555" w:rsidP="00DC1555">
    <w:pPr>
      <w:pStyle w:val="Footer"/>
      <w:pBdr>
        <w:top w:val="single" w:sz="4" w:space="1" w:color="auto"/>
      </w:pBdr>
      <w:jc w:val="right"/>
      <w:rPr>
        <w:rFonts w:ascii="Book Antiqua" w:hAnsi="Book Antiqua"/>
        <w:sz w:val="18"/>
      </w:rPr>
    </w:pPr>
  </w:p>
  <w:p w:rsidR="00D86095" w:rsidRPr="00DC1555" w:rsidRDefault="00BA7A7F" w:rsidP="004B5DEC">
    <w:pPr>
      <w:pStyle w:val="Footer"/>
      <w:jc w:val="righ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00762C05">
      <w:rPr>
        <w:b/>
        <w:noProof/>
        <w:sz w:val="18"/>
      </w:rPr>
      <w:t>9</w:t>
    </w:r>
    <w:r w:rsidRPr="00DC1555">
      <w:rPr>
        <w:b/>
        <w:sz w:val="18"/>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keepLines w:val="0"/>
      <w:spacing w:after="200" w:line="276" w:lineRule="auto"/>
      <w:jc w:val="left"/>
      <w:rPr>
        <w:rFonts w:eastAsia="Calibri" w:cs="Arial"/>
        <w:sz w:val="22"/>
        <w:szCs w:val="22"/>
        <w:lang w:val="en-US"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217FB0" w:rsidRDefault="00BA7A7F" w:rsidP="00BC0EE2">
    <w:pPr>
      <w:pStyle w:val="Footer"/>
      <w:rPr>
        <w:color w:val="FFFFFF"/>
      </w:rPr>
    </w:pPr>
    <w:r w:rsidRPr="00217FB0">
      <w:rPr>
        <w:color w:val="FFFFFF"/>
      </w:rPr>
      <w:fldChar w:fldCharType="begin"/>
    </w:r>
    <w:r w:rsidRPr="00217FB0">
      <w:rPr>
        <w:color w:val="FFFFFF"/>
      </w:rPr>
      <w:instrText xml:space="preserve"> PAGE  \* roman  \* MERGEFORMAT </w:instrText>
    </w:r>
    <w:r w:rsidRPr="00217FB0">
      <w:rPr>
        <w:color w:val="FFFFFF"/>
      </w:rPr>
      <w:fldChar w:fldCharType="separate"/>
    </w:r>
    <w:r w:rsidRPr="00217FB0">
      <w:rPr>
        <w:color w:val="FFFFFF"/>
      </w:rPr>
      <w:t>i</w:t>
    </w:r>
    <w:r w:rsidRPr="00217FB0">
      <w:rPr>
        <w:color w:val="FFFFFF"/>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4A35AA" w:rsidRDefault="00BA7A7F" w:rsidP="007E20CF">
    <w:pPr>
      <w:pStyle w:val="Foote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Pr="004A35AA">
      <w:rPr>
        <w:noProof/>
        <w:color w:val="FFFFFF"/>
      </w:rPr>
      <w:t>1</w:t>
    </w:r>
    <w:r w:rsidRPr="004A35AA">
      <w:rPr>
        <w:noProof/>
        <w:color w:val="FFFFF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217FB0" w:rsidRDefault="00BA7A7F" w:rsidP="00BC0EE2">
    <w:pPr>
      <w:pStyle w:val="Footer"/>
      <w:rPr>
        <w:color w:val="FFFFFF"/>
      </w:rPr>
    </w:pPr>
    <w:r w:rsidRPr="00217FB0">
      <w:rPr>
        <w:color w:val="FFFFFF"/>
      </w:rPr>
      <w:fldChar w:fldCharType="begin"/>
    </w:r>
    <w:r w:rsidRPr="00217FB0">
      <w:rPr>
        <w:color w:val="FFFFFF"/>
      </w:rPr>
      <w:instrText xml:space="preserve"> PAGE  \* roman  \* MERGEFORMAT </w:instrText>
    </w:r>
    <w:r w:rsidRPr="00217FB0">
      <w:rPr>
        <w:color w:val="FFFFFF"/>
      </w:rPr>
      <w:fldChar w:fldCharType="separate"/>
    </w:r>
    <w:r w:rsidR="000D7E34">
      <w:rPr>
        <w:noProof/>
        <w:color w:val="FFFFFF"/>
      </w:rPr>
      <w:t>iii</w:t>
    </w:r>
    <w:r w:rsidRPr="00217FB0">
      <w:rPr>
        <w:color w:val="FFFFFF"/>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4A35AA" w:rsidRDefault="00BA7A7F" w:rsidP="007E20CF">
    <w:pPr>
      <w:pStyle w:val="Foote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00762C05">
      <w:rPr>
        <w:noProof/>
        <w:color w:val="FFFFFF"/>
      </w:rPr>
      <w:t>13</w:t>
    </w:r>
    <w:r w:rsidRPr="004A35AA">
      <w:rPr>
        <w:noProof/>
        <w:color w:val="FFFFFF"/>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653FA3" w:rsidRDefault="00D86095" w:rsidP="001A256E">
    <w:pPr>
      <w:pStyle w:val="Footer"/>
      <w:rPr>
        <w:color w:val="FFFFFF"/>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52105A" w:rsidRDefault="00BA7A7F" w:rsidP="0052105A">
    <w:pPr>
      <w:pStyle w:val="Footer"/>
      <w:rPr>
        <w:rFonts w:ascii="Calibri" w:hAnsi="Calibri"/>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00762C05">
      <w:rPr>
        <w:noProof/>
        <w:color w:val="FFFFFF"/>
      </w:rPr>
      <w:t>16</w:t>
    </w:r>
    <w:r w:rsidRPr="0052105A">
      <w:rPr>
        <w:noProof/>
        <w:color w:val="FFFFFF"/>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52105A" w:rsidRDefault="00BA7A7F" w:rsidP="0052105A">
    <w:pPr>
      <w:pStyle w:val="Footer"/>
      <w:rPr>
        <w:rFonts w:ascii="Calibri" w:hAnsi="Calibri"/>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1</w:t>
    </w:r>
    <w:r w:rsidRPr="0052105A">
      <w:rPr>
        <w:noProof/>
        <w:color w:val="FFFFF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keepLines w:val="0"/>
      <w:spacing w:after="200" w:line="276" w:lineRule="auto"/>
      <w:jc w:val="left"/>
      <w:rPr>
        <w:rFonts w:ascii="Calibri" w:eastAsia="Calibri" w:hAnsi="Calibri" w:cs="Arial"/>
        <w:sz w:val="22"/>
        <w:szCs w:val="22"/>
        <w:lang w:val="en-US" w:eastAsia="en-US"/>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801FE2">
      <w:rPr>
        <w:sz w:val="18"/>
      </w:rPr>
      <w:t>Department of Industry, Science, Energy and Resources</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A23BA5">
    <w:pPr>
      <w:pStyle w:val="Footer"/>
      <w:jc w:val="right"/>
      <w:rPr>
        <w:sz w:val="18"/>
      </w:rPr>
    </w:pPr>
    <w:r w:rsidRPr="00801FE2">
      <w:rPr>
        <w:sz w:val="18"/>
      </w:rPr>
      <w:t>Department of Industry, Science, Energy and Resources</w:t>
    </w:r>
    <w:r>
      <w:rPr>
        <w:sz w:val="18"/>
      </w:rPr>
      <w:t xml:space="preserve">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17</w:t>
    </w:r>
    <w:r w:rsidRPr="00801FE2">
      <w:rPr>
        <w:b/>
        <w:noProof/>
        <w:sz w:val="18"/>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36</w:t>
    </w:r>
    <w:r w:rsidRPr="00801FE2">
      <w:rPr>
        <w:b/>
        <w:noProof/>
        <w:sz w:val="18"/>
      </w:rPr>
      <w:fldChar w:fldCharType="end"/>
    </w:r>
    <w:r>
      <w:rPr>
        <w:b/>
        <w:noProof/>
        <w:sz w:val="18"/>
      </w:rPr>
      <w:t xml:space="preserve"> | </w:t>
    </w:r>
    <w:r w:rsidRPr="00801FE2">
      <w:rPr>
        <w:sz w:val="18"/>
      </w:rPr>
      <w:t>Department of Industry, Science, Energy and Resources</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A23BA5">
    <w:pPr>
      <w:pStyle w:val="Footer"/>
      <w:jc w:val="right"/>
      <w:rPr>
        <w:sz w:val="18"/>
      </w:rPr>
    </w:pPr>
    <w:r w:rsidRPr="00801FE2">
      <w:rPr>
        <w:sz w:val="18"/>
      </w:rPr>
      <w:t>Department of Industry, Science, Energy and Resources</w:t>
    </w:r>
    <w:r>
      <w:rPr>
        <w:sz w:val="18"/>
      </w:rPr>
      <w:t xml:space="preserve">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37</w:t>
    </w:r>
    <w:r w:rsidRPr="00801FE2">
      <w:rPr>
        <w:b/>
        <w:noProof/>
        <w:sz w:val="18"/>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keepLines w:val="0"/>
      <w:jc w:val="left"/>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801FE2">
      <w:rPr>
        <w:sz w:val="18"/>
      </w:rPr>
      <w:t>Department of Industry, Science, Energy and Resources</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A23BA5">
    <w:pPr>
      <w:pStyle w:val="Footer"/>
      <w:jc w:val="right"/>
      <w:rPr>
        <w:sz w:val="18"/>
      </w:rPr>
    </w:pPr>
    <w:r w:rsidRPr="00801FE2">
      <w:rPr>
        <w:sz w:val="18"/>
      </w:rPr>
      <w:t>Department of Industry, Science, Energy and Resources</w:t>
    </w:r>
    <w:r>
      <w:rPr>
        <w:sz w:val="18"/>
      </w:rPr>
      <w:t xml:space="preserve">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3432B" w:rsidRDefault="00BA7A7F"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000D7E34">
      <w:rPr>
        <w:noProof/>
        <w:sz w:val="18"/>
        <w:szCs w:val="18"/>
      </w:rPr>
      <w:t>iv</w:t>
    </w:r>
    <w:r w:rsidRPr="0003432B">
      <w:rPr>
        <w:sz w:val="18"/>
        <w:szCs w:val="18"/>
      </w:rPr>
      <w:fldChar w:fldCharType="end"/>
    </w:r>
    <w:r w:rsidRPr="0003432B">
      <w:rPr>
        <w:noProof/>
        <w:sz w:val="18"/>
        <w:szCs w:val="18"/>
      </w:rPr>
      <w:t xml:space="preserve"> </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80</w:t>
    </w:r>
    <w:r w:rsidRPr="00801FE2">
      <w:rPr>
        <w:b/>
        <w:noProof/>
        <w:sz w:val="18"/>
      </w:rPr>
      <w:fldChar w:fldCharType="end"/>
    </w:r>
    <w:r>
      <w:rPr>
        <w:b/>
        <w:noProof/>
        <w:sz w:val="18"/>
      </w:rPr>
      <w:t xml:space="preserve"> | </w:t>
    </w:r>
    <w:r w:rsidRPr="00801FE2">
      <w:rPr>
        <w:sz w:val="18"/>
      </w:rPr>
      <w:t>Department of Industry, Science, Energy and Resources</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A23BA5">
    <w:pPr>
      <w:pStyle w:val="Footer"/>
      <w:jc w:val="right"/>
      <w:rPr>
        <w:sz w:val="18"/>
      </w:rPr>
    </w:pPr>
    <w:r w:rsidRPr="00801FE2">
      <w:rPr>
        <w:sz w:val="18"/>
      </w:rPr>
      <w:t>Department of Industry, Science, Energy and Resources</w:t>
    </w:r>
    <w:r>
      <w:rPr>
        <w:sz w:val="18"/>
      </w:rPr>
      <w:t xml:space="preserve">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81</w:t>
    </w:r>
    <w:r w:rsidRPr="00801FE2">
      <w:rPr>
        <w:b/>
        <w:noProof/>
        <w:sz w:val="18"/>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84</w:t>
    </w:r>
    <w:r w:rsidRPr="000A0C52">
      <w:rPr>
        <w:noProof/>
        <w:color w:val="FFFFFF"/>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83</w:t>
    </w:r>
    <w:r w:rsidRPr="000A0C52">
      <w:rPr>
        <w:noProof/>
        <w:color w:val="FFFFFF"/>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F04D6" w:rsidRDefault="00BA7A7F" w:rsidP="00FB113F">
    <w:pPr>
      <w:pStyle w:val="Footer"/>
      <w:rPr>
        <w:color w:val="FFFFFF"/>
      </w:rPr>
    </w:pPr>
    <w:r w:rsidRPr="000F04D6">
      <w:rPr>
        <w:color w:val="FFFFFF"/>
      </w:rPr>
      <w:fldChar w:fldCharType="begin"/>
    </w:r>
    <w:r w:rsidRPr="000F04D6">
      <w:rPr>
        <w:color w:val="FFFFFF"/>
      </w:rPr>
      <w:instrText xml:space="preserve"> PAGE   \* MERGEFORMAT </w:instrText>
    </w:r>
    <w:r w:rsidRPr="000F04D6">
      <w:rPr>
        <w:color w:val="FFFFFF"/>
      </w:rPr>
      <w:fldChar w:fldCharType="separate"/>
    </w:r>
    <w:r w:rsidR="00762C05">
      <w:rPr>
        <w:noProof/>
        <w:color w:val="FFFFFF"/>
      </w:rPr>
      <w:t>86</w:t>
    </w:r>
    <w:r w:rsidRPr="000F04D6">
      <w:rPr>
        <w:noProof/>
        <w:color w:val="FFFFFF"/>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F04D6" w:rsidRDefault="00BA7A7F" w:rsidP="00FB113F">
    <w:pPr>
      <w:pStyle w:val="Footer"/>
      <w:rPr>
        <w:color w:val="FFFFFF"/>
      </w:rPr>
    </w:pPr>
    <w:r w:rsidRPr="000F04D6">
      <w:rPr>
        <w:color w:val="FFFFFF"/>
      </w:rPr>
      <w:fldChar w:fldCharType="begin"/>
    </w:r>
    <w:r w:rsidRPr="000F04D6">
      <w:rPr>
        <w:color w:val="FFFFFF"/>
      </w:rPr>
      <w:instrText xml:space="preserve"> PAGE   \* MERGEFORMAT </w:instrText>
    </w:r>
    <w:r w:rsidRPr="000F04D6">
      <w:rPr>
        <w:color w:val="FFFFFF"/>
      </w:rPr>
      <w:fldChar w:fldCharType="separate"/>
    </w:r>
    <w:r w:rsidR="00762C05">
      <w:rPr>
        <w:noProof/>
        <w:color w:val="FFFFFF"/>
      </w:rPr>
      <w:t>85</w:t>
    </w:r>
    <w:r w:rsidRPr="000F04D6">
      <w:rPr>
        <w:noProof/>
        <w:color w:val="FFFFFF"/>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Australian Institute of Marine Science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B9013B" w:rsidRDefault="00BA7A7F" w:rsidP="00BA31FF">
    <w:pPr>
      <w:pStyle w:val="Footer"/>
      <w:pBdr>
        <w:top w:val="single" w:sz="4" w:space="1" w:color="auto"/>
      </w:pBdr>
      <w:jc w:val="right"/>
      <w:rPr>
        <w:sz w:val="18"/>
        <w:szCs w:val="18"/>
      </w:rPr>
    </w:pPr>
    <w:r>
      <w:rPr>
        <w:sz w:val="18"/>
        <w:szCs w:val="18"/>
      </w:rPr>
      <w:br/>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i</w:t>
    </w:r>
    <w:r w:rsidRPr="00B9013B">
      <w:rPr>
        <w:sz w:val="18"/>
        <w:szCs w:val="18"/>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801FE2">
    <w:pPr>
      <w:pStyle w:val="Footer"/>
      <w:jc w:val="right"/>
      <w:rPr>
        <w:sz w:val="18"/>
      </w:rPr>
    </w:pPr>
    <w:r w:rsidRPr="009D65B3">
      <w:rPr>
        <w:sz w:val="18"/>
      </w:rPr>
      <w:t xml:space="preserve">Australian Institute of Marine Science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87</w:t>
    </w:r>
    <w:r w:rsidRPr="00801FE2">
      <w:rPr>
        <w:b/>
        <w:noProof/>
        <w:sz w:val="18"/>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104</w:t>
    </w:r>
    <w:r w:rsidRPr="00801FE2">
      <w:rPr>
        <w:b/>
        <w:noProof/>
        <w:sz w:val="18"/>
      </w:rPr>
      <w:fldChar w:fldCharType="end"/>
    </w:r>
    <w:r>
      <w:rPr>
        <w:b/>
        <w:noProof/>
        <w:sz w:val="18"/>
      </w:rPr>
      <w:t xml:space="preserve"> | </w:t>
    </w:r>
    <w:r w:rsidRPr="00230B43">
      <w:rPr>
        <w:sz w:val="18"/>
      </w:rPr>
      <w:t>Australian Institute of Marine Science</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801FE2">
    <w:pPr>
      <w:pStyle w:val="Footer"/>
      <w:jc w:val="right"/>
      <w:rPr>
        <w:sz w:val="18"/>
      </w:rPr>
    </w:pPr>
    <w:r w:rsidRPr="009D65B3">
      <w:rPr>
        <w:sz w:val="18"/>
      </w:rPr>
      <w:t xml:space="preserve">Australian Institute of Marine Science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105</w:t>
    </w:r>
    <w:r w:rsidRPr="00801FE2">
      <w:rPr>
        <w:b/>
        <w:noProof/>
        <w:sz w:val="18"/>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110</w:t>
    </w:r>
    <w:r w:rsidRPr="000A0C52">
      <w:rPr>
        <w:noProof/>
        <w:color w:val="FFFFFF"/>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109</w:t>
    </w:r>
    <w:r w:rsidRPr="000A0C52">
      <w:rPr>
        <w:noProof/>
        <w:color w:val="FFFFFF"/>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Australian Nuclear Science and Technology Organisation</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801FE2">
    <w:pPr>
      <w:pStyle w:val="Footer"/>
      <w:jc w:val="right"/>
      <w:rPr>
        <w:sz w:val="18"/>
      </w:rPr>
    </w:pPr>
    <w:r>
      <w:rPr>
        <w:sz w:val="18"/>
      </w:rPr>
      <w:t>Australian Nuclear Science and Technology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111</w:t>
    </w:r>
    <w:r w:rsidRPr="00801FE2">
      <w:rPr>
        <w:b/>
        <w:noProof/>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134</w:t>
    </w:r>
    <w:r w:rsidRPr="00801FE2">
      <w:rPr>
        <w:b/>
        <w:noProof/>
        <w:sz w:val="18"/>
      </w:rPr>
      <w:fldChar w:fldCharType="end"/>
    </w:r>
    <w:r>
      <w:rPr>
        <w:b/>
        <w:noProof/>
        <w:sz w:val="18"/>
      </w:rPr>
      <w:t xml:space="preserve"> | </w:t>
    </w:r>
    <w:r w:rsidRPr="00230B43">
      <w:rPr>
        <w:sz w:val="18"/>
      </w:rPr>
      <w:t>Australian Nuclear Science and Technology Organisation</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801FE2">
    <w:pPr>
      <w:pStyle w:val="Footer"/>
      <w:jc w:val="right"/>
      <w:rPr>
        <w:sz w:val="18"/>
      </w:rPr>
    </w:pPr>
    <w:r>
      <w:rPr>
        <w:sz w:val="18"/>
      </w:rPr>
      <w:t>Australian Nuclear Science and Technology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135</w:t>
    </w:r>
    <w:r w:rsidRPr="00801FE2">
      <w:rPr>
        <w:b/>
        <w:noProof/>
        <w:sz w:val="18"/>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140</w:t>
    </w:r>
    <w:r w:rsidRPr="000A0C52">
      <w:rPr>
        <w:noProof/>
        <w:color w:val="FFFFFF"/>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0A0C52" w:rsidRDefault="00BA7A7F"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00762C05">
      <w:rPr>
        <w:noProof/>
        <w:color w:val="FFFFFF"/>
      </w:rPr>
      <w:t>139</w:t>
    </w:r>
    <w:r w:rsidRPr="000A0C52">
      <w:rPr>
        <w:noProof/>
        <w:color w:val="FFFFFF"/>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5" w:rsidRDefault="006473A5" w:rsidP="006473A5">
    <w:pPr>
      <w:pStyle w:val="Footer"/>
      <w:pBdr>
        <w:top w:val="single" w:sz="4" w:space="1" w:color="auto"/>
      </w:pBdr>
      <w:jc w:val="left"/>
      <w:rPr>
        <w:sz w:val="18"/>
      </w:rPr>
    </w:pPr>
  </w:p>
  <w:p w:rsidR="00D86095" w:rsidRPr="00801FE2" w:rsidRDefault="00BA7A7F"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Australian Renewable Energy Agency</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51" w:rsidRPr="009D65B3" w:rsidRDefault="003F2051" w:rsidP="003F2051">
    <w:pPr>
      <w:pStyle w:val="Footer"/>
      <w:pBdr>
        <w:top w:val="single" w:sz="4" w:space="1" w:color="auto"/>
      </w:pBdr>
      <w:jc w:val="right"/>
      <w:rPr>
        <w:sz w:val="16"/>
      </w:rPr>
    </w:pPr>
  </w:p>
  <w:p w:rsidR="00D86095" w:rsidRPr="00801FE2" w:rsidRDefault="00BA7A7F" w:rsidP="00801FE2">
    <w:pPr>
      <w:pStyle w:val="Footer"/>
      <w:jc w:val="right"/>
      <w:rPr>
        <w:sz w:val="18"/>
      </w:rPr>
    </w:pPr>
    <w:r>
      <w:rPr>
        <w:sz w:val="18"/>
      </w:rPr>
      <w:t>Australian Renewable Energy Agency</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00762C05">
      <w:rPr>
        <w:b/>
        <w:noProof/>
        <w:sz w:val="18"/>
      </w:rPr>
      <w:t>141</w:t>
    </w:r>
    <w:r w:rsidRPr="00801FE2">
      <w:rPr>
        <w:b/>
        <w:noProof/>
        <w:sz w:val="18"/>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CFE" w:rsidRDefault="00BA7A7F">
      <w:pPr>
        <w:spacing w:after="0" w:line="240" w:lineRule="auto"/>
      </w:pPr>
      <w:r>
        <w:separator/>
      </w:r>
    </w:p>
  </w:footnote>
  <w:footnote w:type="continuationSeparator" w:id="0">
    <w:p w:rsidR="003C6CFE" w:rsidRDefault="00BA7A7F">
      <w:pPr>
        <w:spacing w:after="0" w:line="240" w:lineRule="auto"/>
      </w:pPr>
      <w:r>
        <w:continuationSeparator/>
      </w:r>
    </w:p>
  </w:footnote>
  <w:footnote w:id="1">
    <w:p w:rsidR="00E259DA" w:rsidRDefault="00BA7A7F" w:rsidP="00E259DA">
      <w:pPr>
        <w:pStyle w:val="FootnoteText"/>
      </w:pPr>
      <w:r w:rsidRPr="00FC18AB">
        <w:rPr>
          <w:rStyle w:val="FootnoteReference"/>
        </w:rPr>
        <w:footnoteRef/>
      </w:r>
      <w:r w:rsidRPr="00FC18AB">
        <w:t xml:space="preserve"> </w:t>
      </w:r>
      <w:r w:rsidR="0069197E" w:rsidRPr="0069197E">
        <w:t>Th</w:t>
      </w:r>
      <w:r w:rsidR="005A017B">
        <w:t xml:space="preserve">is figure includes $1.0 billion in </w:t>
      </w:r>
      <w:r w:rsidR="0069197E" w:rsidRPr="0069197E">
        <w:t>industry, energy and emissions reduction programs</w:t>
      </w:r>
      <w:r w:rsidR="005A017B">
        <w:t xml:space="preserve"> </w:t>
      </w:r>
      <w:r w:rsidR="0069197E" w:rsidRPr="0069197E">
        <w:t>as part of the</w:t>
      </w:r>
      <w:r w:rsidR="005A017B">
        <w:t xml:space="preserve"> Government’s $7.1 billion</w:t>
      </w:r>
      <w:r w:rsidR="0069197E" w:rsidRPr="0069197E">
        <w:t xml:space="preserve"> </w:t>
      </w:r>
      <w:r w:rsidR="0069197E" w:rsidRPr="00AB0660">
        <w:rPr>
          <w:i/>
        </w:rPr>
        <w:t>Energy Security and Regional Development Plan</w:t>
      </w:r>
      <w:r w:rsidR="0069197E" w:rsidRPr="0069197E">
        <w:t>. Funding for the</w:t>
      </w:r>
      <w:r w:rsidR="005A017B">
        <w:t xml:space="preserve">se programs is provided in the </w:t>
      </w:r>
      <w:r w:rsidR="0069197E" w:rsidRPr="0069197E">
        <w:t>Infrastructure, Transport, Regional Develop</w:t>
      </w:r>
      <w:r w:rsidR="005A017B">
        <w:t xml:space="preserve">ment and Communications </w:t>
      </w:r>
      <w:r w:rsidR="0069197E" w:rsidRPr="0069197E">
        <w:t>Portfolio Budget Statements.</w:t>
      </w:r>
    </w:p>
  </w:footnote>
  <w:footnote w:id="2">
    <w:p w:rsidR="00152B0F" w:rsidRPr="00F417EB" w:rsidRDefault="00BA7A7F" w:rsidP="00152B0F">
      <w:pPr>
        <w:pStyle w:val="FootnoteText"/>
        <w:keepLines/>
        <w:tabs>
          <w:tab w:val="left" w:pos="0"/>
        </w:tabs>
        <w:ind w:left="0" w:firstLine="0"/>
        <w:rPr>
          <w:szCs w:val="16"/>
          <w:lang w:val="en-US"/>
        </w:rPr>
      </w:pPr>
      <w:r w:rsidRPr="00F417EB">
        <w:rPr>
          <w:rStyle w:val="FootnoteReference"/>
          <w:sz w:val="16"/>
          <w:szCs w:val="16"/>
        </w:rPr>
        <w:footnoteRef/>
      </w:r>
      <w:r w:rsidRPr="00F417EB">
        <w:rPr>
          <w:szCs w:val="16"/>
        </w:rPr>
        <w:t xml:space="preserve"> Note: </w:t>
      </w:r>
      <w:r w:rsidRPr="00F417EB">
        <w:rPr>
          <w:szCs w:val="16"/>
          <w:lang w:val="en-US"/>
        </w:rPr>
        <w:t xml:space="preserve">The territorial sea baseline varies depending upon the shape of the coastline in any given locality. </w:t>
      </w:r>
    </w:p>
    <w:p w:rsidR="00152B0F" w:rsidRPr="00F417EB" w:rsidRDefault="00BA7A7F" w:rsidP="00152B0F">
      <w:pPr>
        <w:pStyle w:val="FootnoteText"/>
        <w:keepLines/>
        <w:tabs>
          <w:tab w:val="left" w:pos="0"/>
        </w:tabs>
        <w:ind w:left="0" w:firstLine="0"/>
        <w:rPr>
          <w:szCs w:val="16"/>
        </w:rPr>
      </w:pPr>
      <w:r w:rsidRPr="00F417EB">
        <w:rPr>
          <w:szCs w:val="16"/>
          <w:lang w:val="en-US"/>
        </w:rPr>
        <w:t xml:space="preserve">See </w:t>
      </w:r>
      <w:hyperlink r:id="rId1" w:history="1">
        <w:r w:rsidRPr="00F417EB">
          <w:rPr>
            <w:rStyle w:val="Hyperlink"/>
            <w:sz w:val="16"/>
            <w:szCs w:val="16"/>
            <w:lang w:val="en-US"/>
          </w:rPr>
          <w:t>http://www.ga.gov.au/scientific-topics/marine/jurisdiction/maritime-boundary-definitions</w:t>
        </w:r>
      </w:hyperlink>
      <w:r w:rsidRPr="00F417EB">
        <w:rPr>
          <w:szCs w:val="16"/>
          <w:lang w:val="en-US"/>
        </w:rPr>
        <w:t xml:space="preserve"> for a comprehensive description and maps.</w:t>
      </w:r>
    </w:p>
  </w:footnote>
  <w:footnote w:id="3">
    <w:p w:rsidR="00152B0F" w:rsidRPr="00F417EB" w:rsidRDefault="00BA7A7F" w:rsidP="00152B0F">
      <w:pPr>
        <w:pStyle w:val="FootnoteText"/>
        <w:keepLines/>
        <w:tabs>
          <w:tab w:val="left" w:pos="0"/>
        </w:tabs>
        <w:ind w:left="0" w:firstLine="0"/>
        <w:rPr>
          <w:color w:val="000000"/>
          <w:szCs w:val="16"/>
        </w:rPr>
      </w:pPr>
      <w:r w:rsidRPr="00F417EB">
        <w:rPr>
          <w:rStyle w:val="FootnoteReference"/>
          <w:sz w:val="16"/>
          <w:szCs w:val="16"/>
        </w:rPr>
        <w:footnoteRef/>
      </w:r>
      <w:r w:rsidRPr="00F417EB">
        <w:rPr>
          <w:szCs w:val="16"/>
        </w:rPr>
        <w:t xml:space="preserve"> </w:t>
      </w:r>
      <w:r w:rsidRPr="00F417EB">
        <w:rPr>
          <w:color w:val="000000"/>
          <w:szCs w:val="16"/>
        </w:rPr>
        <w:t>Currently, only Victoria has conferred powers and functions for the regulation of health and safety and well integrity to NOPSEMA</w:t>
      </w:r>
    </w:p>
    <w:p w:rsidR="00152B0F" w:rsidRDefault="00152B0F" w:rsidP="00152B0F">
      <w:pPr>
        <w:pStyle w:val="FootnoteText"/>
        <w:keepLines/>
        <w:tabs>
          <w:tab w:val="left" w:pos="0"/>
        </w:tabs>
        <w:ind w:left="0" w:firstLine="0"/>
        <w:rPr>
          <w:color w:val="000000"/>
          <w:szCs w:val="16"/>
        </w:rPr>
      </w:pPr>
    </w:p>
    <w:p w:rsidR="00152B0F" w:rsidRDefault="00152B0F" w:rsidP="00152B0F">
      <w:pPr>
        <w:pStyle w:val="FootnoteText"/>
        <w:keepLines/>
        <w:tabs>
          <w:tab w:val="left" w:pos="0"/>
        </w:tabs>
        <w:ind w:left="0" w:firstLine="0"/>
        <w:rPr>
          <w:sz w:val="15"/>
          <w:szCs w:val="15"/>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A7F" w:rsidRDefault="00BA7A7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suppressLineNumbers/>
      <w:spacing w:after="0" w:line="14" w:lineRule="exact"/>
      <w:contextualSpacing/>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02" w:rsidRDefault="00BA7A7F" w:rsidP="00003F02">
    <w:pPr>
      <w:pStyle w:val="HeaderEven"/>
      <w:ind w:left="-113"/>
      <w:rPr>
        <w:rFonts w:ascii="Book Antiqua" w:hAnsi="Book Antiqua"/>
        <w:sz w:val="20"/>
      </w:rPr>
    </w:pPr>
    <w:r w:rsidRPr="00BC36DA">
      <w:rPr>
        <w:rFonts w:ascii="Arial Bold" w:hAnsi="Arial Bold"/>
        <w:b/>
        <w:noProof/>
        <w:position w:val="-10"/>
      </w:rPr>
      <w:drawing>
        <wp:inline distT="0" distB="0" distL="0" distR="0">
          <wp:extent cx="974725" cy="163830"/>
          <wp:effectExtent l="0" t="0" r="0" b="7620"/>
          <wp:docPr id="1124224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80014" name="Picture 6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r>
      <w:t xml:space="preserve">  |  Portfolio Budget Statements</w:t>
    </w:r>
  </w:p>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800ED" w:rsidRDefault="00BA7A7F" w:rsidP="008800ED">
    <w:pPr>
      <w:keepLines w:val="0"/>
      <w:spacing w:after="0" w:line="240" w:lineRule="auto"/>
      <w:jc w:val="right"/>
      <w:rPr>
        <w:rFonts w:ascii="Arial" w:eastAsia="Calibri" w:hAnsi="Arial" w:cs="Arial"/>
        <w:sz w:val="18"/>
        <w:szCs w:val="22"/>
        <w:lang w:val="en-US" w:eastAsia="en-US"/>
      </w:rPr>
    </w:pPr>
    <w:r w:rsidRPr="008800ED">
      <w:rPr>
        <w:rFonts w:ascii="Arial" w:eastAsia="Calibri" w:hAnsi="Arial" w:cs="Arial"/>
        <w:position w:val="-2"/>
        <w:sz w:val="18"/>
        <w:szCs w:val="22"/>
        <w:lang w:val="en-US" w:eastAsia="en-US"/>
      </w:rPr>
      <w:t>Portfolio Budget Statements  |</w:t>
    </w:r>
    <w:r w:rsidRPr="008800ED">
      <w:rPr>
        <w:rFonts w:ascii="Arial" w:eastAsia="Calibri" w:hAnsi="Arial" w:cs="Arial"/>
        <w:sz w:val="18"/>
        <w:szCs w:val="22"/>
        <w:lang w:val="en-US" w:eastAsia="en-US"/>
      </w:rPr>
      <w:t xml:space="preserve">  </w:t>
    </w:r>
    <w:r w:rsidRPr="008800ED">
      <w:rPr>
        <w:rFonts w:ascii="Arial" w:eastAsia="Calibri" w:hAnsi="Arial" w:cs="Arial"/>
        <w:b/>
        <w:noProof/>
        <w:position w:val="-10"/>
        <w:sz w:val="18"/>
        <w:szCs w:val="22"/>
      </w:rPr>
      <w:drawing>
        <wp:inline distT="0" distB="0" distL="0" distR="0">
          <wp:extent cx="974725" cy="163830"/>
          <wp:effectExtent l="0" t="0" r="0" b="7620"/>
          <wp:docPr id="2568625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266474" name="Picture 7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02" w:rsidRDefault="00BA7A7F" w:rsidP="00003F02">
    <w:pPr>
      <w:pStyle w:val="HeaderEven"/>
      <w:ind w:left="-113"/>
      <w:rPr>
        <w:rFonts w:ascii="Book Antiqua" w:hAnsi="Book Antiqua"/>
        <w:sz w:val="20"/>
      </w:rPr>
    </w:pPr>
    <w:r w:rsidRPr="00BC36DA">
      <w:rPr>
        <w:rFonts w:ascii="Arial Bold" w:hAnsi="Arial Bold"/>
        <w:b/>
        <w:noProof/>
        <w:position w:val="-10"/>
      </w:rPr>
      <w:drawing>
        <wp:inline distT="0" distB="0" distL="0" distR="0">
          <wp:extent cx="974725" cy="163830"/>
          <wp:effectExtent l="0" t="0" r="0" b="7620"/>
          <wp:docPr id="19839588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5375" name="Picture 6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r>
      <w:t xml:space="preserve">  |  Portfolio Budget Statements</w:t>
    </w:r>
  </w:p>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suppressLineNumbers/>
      <w:spacing w:after="0" w:line="14" w:lineRule="exact"/>
      <w:contextualSpacing/>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800ED" w:rsidRDefault="00BA7A7F" w:rsidP="008800ED">
    <w:pPr>
      <w:keepLines w:val="0"/>
      <w:spacing w:after="0" w:line="240" w:lineRule="auto"/>
      <w:jc w:val="right"/>
      <w:rPr>
        <w:rFonts w:ascii="Arial" w:eastAsia="Calibri" w:hAnsi="Arial" w:cs="Arial"/>
        <w:sz w:val="18"/>
        <w:szCs w:val="22"/>
        <w:lang w:val="en-US" w:eastAsia="en-US"/>
      </w:rPr>
    </w:pPr>
    <w:r w:rsidRPr="008800ED">
      <w:rPr>
        <w:rFonts w:ascii="Arial" w:eastAsia="Calibri" w:hAnsi="Arial" w:cs="Arial"/>
        <w:position w:val="-2"/>
        <w:sz w:val="18"/>
        <w:szCs w:val="22"/>
        <w:lang w:val="en-US" w:eastAsia="en-US"/>
      </w:rPr>
      <w:t>Portfolio Budget Statements  |</w:t>
    </w:r>
    <w:r w:rsidRPr="008800ED">
      <w:rPr>
        <w:rFonts w:ascii="Arial" w:eastAsia="Calibri" w:hAnsi="Arial" w:cs="Arial"/>
        <w:sz w:val="18"/>
        <w:szCs w:val="22"/>
        <w:lang w:val="en-US" w:eastAsia="en-US"/>
      </w:rPr>
      <w:t xml:space="preserve">  </w:t>
    </w:r>
    <w:r w:rsidRPr="008800ED">
      <w:rPr>
        <w:rFonts w:ascii="Arial" w:eastAsia="Calibri" w:hAnsi="Arial" w:cs="Arial"/>
        <w:b/>
        <w:noProof/>
        <w:position w:val="-10"/>
        <w:sz w:val="18"/>
        <w:szCs w:val="22"/>
      </w:rPr>
      <w:drawing>
        <wp:inline distT="0" distB="0" distL="0" distR="0">
          <wp:extent cx="974725" cy="163830"/>
          <wp:effectExtent l="0" t="0" r="0" b="7620"/>
          <wp:docPr id="17070413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036379" name="Picture 7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02" w:rsidRDefault="00BA7A7F" w:rsidP="00003F02">
    <w:pPr>
      <w:pStyle w:val="HeaderEven"/>
      <w:ind w:left="-113"/>
      <w:rPr>
        <w:rFonts w:ascii="Book Antiqua" w:hAnsi="Book Antiqua"/>
        <w:sz w:val="20"/>
      </w:rPr>
    </w:pPr>
    <w:r w:rsidRPr="00BC36DA">
      <w:rPr>
        <w:rFonts w:ascii="Arial Bold" w:hAnsi="Arial Bold"/>
        <w:b/>
        <w:noProof/>
        <w:position w:val="-10"/>
      </w:rPr>
      <w:drawing>
        <wp:inline distT="0" distB="0" distL="0" distR="0">
          <wp:extent cx="974725" cy="163830"/>
          <wp:effectExtent l="0" t="0" r="0" b="7620"/>
          <wp:docPr id="5312876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71968" name="Picture 6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r>
      <w:t xml:space="preserve">  |  Portfolio Budget Statements</w:t>
    </w:r>
  </w:p>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800ED" w:rsidRDefault="00BA7A7F" w:rsidP="008800ED">
    <w:pPr>
      <w:keepLines w:val="0"/>
      <w:spacing w:after="0" w:line="240" w:lineRule="auto"/>
      <w:jc w:val="right"/>
      <w:rPr>
        <w:rFonts w:ascii="Arial" w:eastAsia="Calibri" w:hAnsi="Arial" w:cs="Arial"/>
        <w:sz w:val="18"/>
        <w:szCs w:val="22"/>
        <w:lang w:val="en-US" w:eastAsia="en-US"/>
      </w:rPr>
    </w:pPr>
    <w:r w:rsidRPr="008800ED">
      <w:rPr>
        <w:rFonts w:ascii="Arial" w:eastAsia="Calibri" w:hAnsi="Arial" w:cs="Arial"/>
        <w:position w:val="-2"/>
        <w:sz w:val="18"/>
        <w:szCs w:val="22"/>
        <w:lang w:val="en-US" w:eastAsia="en-US"/>
      </w:rPr>
      <w:t>Portfolio Budget Statements  |</w:t>
    </w:r>
    <w:r w:rsidRPr="008800ED">
      <w:rPr>
        <w:rFonts w:ascii="Arial" w:eastAsia="Calibri" w:hAnsi="Arial" w:cs="Arial"/>
        <w:sz w:val="18"/>
        <w:szCs w:val="22"/>
        <w:lang w:val="en-US" w:eastAsia="en-US"/>
      </w:rPr>
      <w:t xml:space="preserve">  </w:t>
    </w:r>
    <w:r w:rsidRPr="008800ED">
      <w:rPr>
        <w:rFonts w:ascii="Arial" w:eastAsia="Calibri" w:hAnsi="Arial" w:cs="Arial"/>
        <w:b/>
        <w:noProof/>
        <w:position w:val="-10"/>
        <w:sz w:val="18"/>
        <w:szCs w:val="22"/>
      </w:rPr>
      <w:drawing>
        <wp:inline distT="0" distB="0" distL="0" distR="0">
          <wp:extent cx="974725" cy="163830"/>
          <wp:effectExtent l="0" t="0" r="0" b="7620"/>
          <wp:docPr id="13840505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54389" name="Picture 7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02" w:rsidRDefault="00BA7A7F" w:rsidP="00003F02">
    <w:pPr>
      <w:pStyle w:val="HeaderEven"/>
      <w:ind w:left="-113"/>
      <w:rPr>
        <w:rFonts w:ascii="Book Antiqua" w:hAnsi="Book Antiqua"/>
        <w:sz w:val="20"/>
      </w:rPr>
    </w:pPr>
    <w:r w:rsidRPr="00BC36DA">
      <w:rPr>
        <w:rFonts w:ascii="Arial Bold" w:hAnsi="Arial Bold"/>
        <w:b/>
        <w:noProof/>
        <w:position w:val="-10"/>
      </w:rPr>
      <w:drawing>
        <wp:inline distT="0" distB="0" distL="0" distR="0">
          <wp:extent cx="974725" cy="163830"/>
          <wp:effectExtent l="0" t="0" r="0" b="7620"/>
          <wp:docPr id="563527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41740" name="Picture 6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r>
      <w:t xml:space="preserve">  |  Portfolio Budget Statements</w:t>
    </w:r>
  </w:p>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800ED" w:rsidRDefault="00BA7A7F" w:rsidP="008800ED">
    <w:pPr>
      <w:keepLines w:val="0"/>
      <w:spacing w:after="0" w:line="240" w:lineRule="auto"/>
      <w:jc w:val="right"/>
      <w:rPr>
        <w:rFonts w:ascii="Arial" w:eastAsia="Calibri" w:hAnsi="Arial" w:cs="Arial"/>
        <w:sz w:val="18"/>
        <w:szCs w:val="22"/>
        <w:lang w:val="en-US" w:eastAsia="en-US"/>
      </w:rPr>
    </w:pPr>
    <w:r w:rsidRPr="008800ED">
      <w:rPr>
        <w:rFonts w:ascii="Arial" w:eastAsia="Calibri" w:hAnsi="Arial" w:cs="Arial"/>
        <w:position w:val="-2"/>
        <w:sz w:val="18"/>
        <w:szCs w:val="22"/>
        <w:lang w:val="en-US" w:eastAsia="en-US"/>
      </w:rPr>
      <w:t>Portfolio Budget Statements  |</w:t>
    </w:r>
    <w:r w:rsidRPr="008800ED">
      <w:rPr>
        <w:rFonts w:ascii="Arial" w:eastAsia="Calibri" w:hAnsi="Arial" w:cs="Arial"/>
        <w:sz w:val="18"/>
        <w:szCs w:val="22"/>
        <w:lang w:val="en-US" w:eastAsia="en-US"/>
      </w:rPr>
      <w:t xml:space="preserve">  </w:t>
    </w:r>
    <w:r w:rsidRPr="008800ED">
      <w:rPr>
        <w:rFonts w:ascii="Arial" w:eastAsia="Calibri" w:hAnsi="Arial" w:cs="Arial"/>
        <w:b/>
        <w:noProof/>
        <w:position w:val="-10"/>
        <w:sz w:val="18"/>
        <w:szCs w:val="22"/>
      </w:rPr>
      <w:drawing>
        <wp:inline distT="0" distB="0" distL="0" distR="0">
          <wp:extent cx="974725" cy="163830"/>
          <wp:effectExtent l="0" t="0" r="0" b="7620"/>
          <wp:docPr id="11400816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24834" name="Picture 7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keepLines w:val="0"/>
      <w:suppressLineNumbers/>
      <w:spacing w:after="0" w:line="14" w:lineRule="exact"/>
      <w:contextualSpacing/>
      <w:jc w:val="left"/>
      <w:rPr>
        <w:rFonts w:ascii="Calibri" w:eastAsia="Calibri" w:hAnsi="Calibri"/>
        <w:sz w:val="22"/>
        <w:szCs w:val="22"/>
        <w:lang w:eastAsia="en-US"/>
      </w:rPr>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02" w:rsidRDefault="00BA7A7F" w:rsidP="00003F02">
    <w:pPr>
      <w:pStyle w:val="HeaderEven"/>
      <w:ind w:left="-113"/>
      <w:rPr>
        <w:rFonts w:ascii="Book Antiqua" w:hAnsi="Book Antiqua"/>
        <w:sz w:val="20"/>
      </w:rPr>
    </w:pPr>
    <w:r w:rsidRPr="00BC36DA">
      <w:rPr>
        <w:rFonts w:ascii="Arial Bold" w:hAnsi="Arial Bold"/>
        <w:b/>
        <w:noProof/>
        <w:position w:val="-10"/>
      </w:rPr>
      <w:drawing>
        <wp:inline distT="0" distB="0" distL="0" distR="0">
          <wp:extent cx="974725" cy="163830"/>
          <wp:effectExtent l="0" t="0" r="0" b="7620"/>
          <wp:docPr id="1436242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581726" name="Picture 6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r>
      <w:t xml:space="preserve">  |  Portfolio Budget Statements</w:t>
    </w:r>
  </w:p>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800ED" w:rsidRDefault="00BA7A7F" w:rsidP="008800ED">
    <w:pPr>
      <w:keepLines w:val="0"/>
      <w:spacing w:after="0" w:line="240" w:lineRule="auto"/>
      <w:jc w:val="right"/>
      <w:rPr>
        <w:rFonts w:ascii="Arial" w:eastAsia="Calibri" w:hAnsi="Arial" w:cs="Arial"/>
        <w:sz w:val="18"/>
        <w:szCs w:val="22"/>
        <w:lang w:val="en-US" w:eastAsia="en-US"/>
      </w:rPr>
    </w:pPr>
    <w:r w:rsidRPr="008800ED">
      <w:rPr>
        <w:rFonts w:ascii="Arial" w:eastAsia="Calibri" w:hAnsi="Arial" w:cs="Arial"/>
        <w:position w:val="-2"/>
        <w:sz w:val="18"/>
        <w:szCs w:val="22"/>
        <w:lang w:val="en-US" w:eastAsia="en-US"/>
      </w:rPr>
      <w:t>Portfolio Budget Statements  |</w:t>
    </w:r>
    <w:r w:rsidRPr="008800ED">
      <w:rPr>
        <w:rFonts w:ascii="Arial" w:eastAsia="Calibri" w:hAnsi="Arial" w:cs="Arial"/>
        <w:sz w:val="18"/>
        <w:szCs w:val="22"/>
        <w:lang w:val="en-US" w:eastAsia="en-US"/>
      </w:rPr>
      <w:t xml:space="preserve">  </w:t>
    </w:r>
    <w:r w:rsidRPr="008800ED">
      <w:rPr>
        <w:rFonts w:ascii="Arial" w:eastAsia="Calibri" w:hAnsi="Arial" w:cs="Arial"/>
        <w:b/>
        <w:noProof/>
        <w:position w:val="-10"/>
        <w:sz w:val="18"/>
        <w:szCs w:val="22"/>
      </w:rPr>
      <w:drawing>
        <wp:inline distT="0" distB="0" distL="0" distR="0">
          <wp:extent cx="974725" cy="163830"/>
          <wp:effectExtent l="0" t="0" r="0" b="7620"/>
          <wp:docPr id="16624744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498142" name="Picture 7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45876" w:rsidRDefault="00BA7A7F" w:rsidP="00B45A2C">
    <w:pPr>
      <w:pStyle w:val="Header"/>
      <w:jc w:val="right"/>
    </w:pPr>
    <w:r>
      <w:rPr>
        <w:noProof/>
      </w:rPr>
      <w:drawing>
        <wp:anchor distT="0" distB="0" distL="114300" distR="114300" simplePos="0" relativeHeight="251665408" behindDoc="0" locked="0" layoutInCell="1" allowOverlap="1">
          <wp:simplePos x="0" y="0"/>
          <wp:positionH relativeFrom="column">
            <wp:posOffset>7962582</wp:posOffset>
          </wp:positionH>
          <wp:positionV relativeFrom="paragraph">
            <wp:posOffset>437834</wp:posOffset>
          </wp:positionV>
          <wp:extent cx="989965" cy="168910"/>
          <wp:effectExtent l="0" t="8572" r="0" b="0"/>
          <wp:wrapNone/>
          <wp:docPr id="210070183" name="Picture 1"/>
          <wp:cNvGraphicFramePr/>
          <a:graphic xmlns:a="http://schemas.openxmlformats.org/drawingml/2006/main">
            <a:graphicData uri="http://schemas.openxmlformats.org/drawingml/2006/picture">
              <pic:pic xmlns:pic="http://schemas.openxmlformats.org/drawingml/2006/picture">
                <pic:nvPicPr>
                  <pic:cNvPr id="1424146654"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rot="5400000">
                    <a:off x="0" y="0"/>
                    <a:ext cx="989965" cy="168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8229600</wp:posOffset>
              </wp:positionH>
              <wp:positionV relativeFrom="margin">
                <wp:posOffset>9525</wp:posOffset>
              </wp:positionV>
              <wp:extent cx="400050" cy="4911725"/>
              <wp:effectExtent l="0" t="0" r="0" b="3175"/>
              <wp:wrapNone/>
              <wp:docPr id="492579345" name="Text Box 15"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B81" w:rsidRDefault="00BA7A7F" w:rsidP="000A4A24">
                          <w:pPr>
                            <w:pStyle w:val="HeaderEven"/>
                            <w:keepLines/>
                            <w:rPr>
                              <w:rStyle w:val="FramedHeader"/>
                              <w:color w:val="000000"/>
                              <w:lang w:val="en-US"/>
                            </w:rPr>
                          </w:pPr>
                          <w:r>
                            <w:rPr>
                              <w:rFonts w:cs="Arial"/>
                              <w:position w:val="-2"/>
                            </w:rPr>
                            <w:t xml:space="preserve">  </w:t>
                          </w:r>
                          <w:r>
                            <w:rPr>
                              <w:rFonts w:cs="Arial"/>
                              <w:position w:val="-2"/>
                            </w:rPr>
                            <w:tab/>
                          </w:r>
                          <w:r>
                            <w:rPr>
                              <w:rFonts w:cs="Arial"/>
                              <w:position w:val="-2"/>
                            </w:rPr>
                            <w:tab/>
                            <w:t xml:space="preserve">    | Portfolio Budget Statements </w:t>
                          </w:r>
                        </w:p>
                      </w:txbxContent>
                    </wps:txbx>
                    <wps:bodyPr rot="0" vert="vert"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60" type="#_x0000_t202" alt="Landscape Odd Header" style="position:absolute;left:0;text-align:left;margin-left:9in;margin-top:.75pt;width:31.5pt;height:38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" stroked="f">
              <v:textbox style="layout-flow:vertical">
                <w:txbxContent>
                  <w:p w:rsidR="00AF4B81" w:rsidRDefault="00BA7A7F" w:rsidP="000A4A24">
                    <w:pPr>
                      <w:pStyle w:val="HeaderEven"/>
                      <w:keepLines/>
                      <w:rPr>
                        <w:rStyle w:val="FramedHeader"/>
                        <w:color w:val="000000"/>
                        <w:lang w:val="en-US"/>
                      </w:rPr>
                    </w:pPr>
                    <w:r>
                      <w:rPr>
                        <w:rFonts w:cs="Arial"/>
                        <w:position w:val="-2"/>
                      </w:rPr>
                      <w:t xml:space="preserve">  </w:t>
                    </w:r>
                    <w:r>
                      <w:rPr>
                        <w:rFonts w:cs="Arial"/>
                        <w:position w:val="-2"/>
                      </w:rPr>
                      <w:tab/>
                    </w:r>
                    <w:r>
                      <w:rPr>
                        <w:rFonts w:cs="Arial"/>
                        <w:position w:val="-2"/>
                      </w:rPr>
                      <w:tab/>
                      <w:t xml:space="preserve">    | Portfolio Budget Statements </w:t>
                    </w:r>
                  </w:p>
                </w:txbxContent>
              </v:textbox>
              <w10:wrap anchory="margin"/>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keepLines w:val="0"/>
      <w:suppressLineNumbers/>
      <w:spacing w:after="0" w:line="14" w:lineRule="exact"/>
      <w:contextualSpacing/>
      <w:jc w:val="left"/>
      <w:rPr>
        <w:rFonts w:ascii="Calibri" w:eastAsia="Calibri" w:hAnsi="Calibri"/>
        <w:sz w:val="22"/>
        <w:szCs w:val="22"/>
        <w:lang w:eastAsia="en-US"/>
      </w:rPr>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45876" w:rsidRDefault="00BA7A7F" w:rsidP="00B45A2C">
    <w:pPr>
      <w:pStyle w:val="Header"/>
      <w:jc w:val="right"/>
    </w:pPr>
    <w:r>
      <w:rPr>
        <w:noProof/>
      </w:rPr>
      <w:drawing>
        <wp:anchor distT="0" distB="0" distL="114300" distR="114300" simplePos="0" relativeHeight="251664384" behindDoc="0" locked="0" layoutInCell="1" allowOverlap="1">
          <wp:simplePos x="0" y="0"/>
          <wp:positionH relativeFrom="column">
            <wp:posOffset>7966392</wp:posOffset>
          </wp:positionH>
          <wp:positionV relativeFrom="paragraph">
            <wp:posOffset>4358958</wp:posOffset>
          </wp:positionV>
          <wp:extent cx="990000" cy="169200"/>
          <wp:effectExtent l="0" t="8572" r="0" b="0"/>
          <wp:wrapNone/>
          <wp:docPr id="1868487885" name="Picture 1"/>
          <wp:cNvGraphicFramePr/>
          <a:graphic xmlns:a="http://schemas.openxmlformats.org/drawingml/2006/main">
            <a:graphicData uri="http://schemas.openxmlformats.org/drawingml/2006/picture">
              <pic:pic xmlns:pic="http://schemas.openxmlformats.org/drawingml/2006/picture">
                <pic:nvPicPr>
                  <pic:cNvPr id="1372175615"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rot="5400000">
                    <a:off x="0" y="0"/>
                    <a:ext cx="990000" cy="16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8229600</wp:posOffset>
              </wp:positionH>
              <wp:positionV relativeFrom="margin">
                <wp:posOffset>47625</wp:posOffset>
              </wp:positionV>
              <wp:extent cx="400050" cy="4911725"/>
              <wp:effectExtent l="0" t="0" r="0" b="3175"/>
              <wp:wrapNone/>
              <wp:docPr id="948909436" name="Text Box 15"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B81" w:rsidRPr="0037161F" w:rsidRDefault="00BA7A7F" w:rsidP="0037161F">
                          <w:pPr>
                            <w:pStyle w:val="HeaderEven"/>
                            <w:keepLines/>
                            <w:ind w:firstLine="720"/>
                            <w:jc w:val="right"/>
                            <w:rPr>
                              <w:rStyle w:val="FramedHeader"/>
                              <w:color w:val="000000"/>
                              <w:lang w:val="en-US"/>
                            </w:rPr>
                          </w:pPr>
                          <w:r w:rsidRPr="0037161F">
                            <w:rPr>
                              <w:rFonts w:cs="Arial"/>
                              <w:position w:val="-2"/>
                            </w:rPr>
                            <w:t>Portfolio Budget Statements</w:t>
                          </w:r>
                          <w:r>
                            <w:rPr>
                              <w:rFonts w:cs="Arial"/>
                              <w:position w:val="-2"/>
                            </w:rPr>
                            <w:t xml:space="preserve"> |</w:t>
                          </w:r>
                          <w:r>
                            <w:rPr>
                              <w:rFonts w:cs="Arial"/>
                              <w:position w:val="-2"/>
                            </w:rPr>
                            <w:tab/>
                            <w:t xml:space="preserve">  </w:t>
                          </w:r>
                          <w:r>
                            <w:rPr>
                              <w:rFonts w:cs="Arial"/>
                              <w:position w:val="-2"/>
                            </w:rPr>
                            <w:tab/>
                            <w:t xml:space="preserve">    </w:t>
                          </w:r>
                          <w:r>
                            <w:rPr>
                              <w:rFonts w:cs="Arial"/>
                              <w:position w:val="-2"/>
                            </w:rPr>
                            <w:tab/>
                          </w:r>
                          <w:r w:rsidRPr="0037161F">
                            <w:rPr>
                              <w:rFonts w:cs="Arial"/>
                              <w:position w:val="-2"/>
                            </w:rPr>
                            <w:t xml:space="preserve">  </w:t>
                          </w:r>
                        </w:p>
                      </w:txbxContent>
                    </wps:txbx>
                    <wps:bodyPr rot="0" vert="vert"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alt="Landscape Odd Header" style="position:absolute;left:0;text-align:left;margin-left:9in;margin-top:3.75pt;width:31.5pt;height:3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" stroked="f">
              <v:textbox style="layout-flow:vertical">
                <w:txbxContent>
                  <w:p w:rsidR="00AF4B81" w:rsidRPr="0037161F" w:rsidRDefault="00BA7A7F" w:rsidP="0037161F">
                    <w:pPr>
                      <w:pStyle w:val="HeaderEven"/>
                      <w:keepLines/>
                      <w:ind w:firstLine="720"/>
                      <w:jc w:val="right"/>
                      <w:rPr>
                        <w:rStyle w:val="FramedHeader"/>
                        <w:color w:val="000000"/>
                        <w:lang w:val="en-US"/>
                      </w:rPr>
                    </w:pPr>
                    <w:r w:rsidRPr="0037161F">
                      <w:rPr>
                        <w:rFonts w:cs="Arial"/>
                        <w:position w:val="-2"/>
                      </w:rPr>
                      <w:t>Portfolio Budget Statements</w:t>
                    </w:r>
                    <w:r>
                      <w:rPr>
                        <w:rFonts w:cs="Arial"/>
                        <w:position w:val="-2"/>
                      </w:rPr>
                      <w:t xml:space="preserve"> |</w:t>
                    </w:r>
                    <w:r>
                      <w:rPr>
                        <w:rFonts w:cs="Arial"/>
                        <w:position w:val="-2"/>
                      </w:rPr>
                      <w:tab/>
                      <w:t xml:space="preserve">  </w:t>
                    </w:r>
                    <w:r>
                      <w:rPr>
                        <w:rFonts w:cs="Arial"/>
                        <w:position w:val="-2"/>
                      </w:rPr>
                      <w:tab/>
                      <w:t xml:space="preserve">    </w:t>
                    </w:r>
                    <w:r>
                      <w:rPr>
                        <w:rFonts w:cs="Arial"/>
                        <w:position w:val="-2"/>
                      </w:rPr>
                      <w:tab/>
                    </w:r>
                    <w:r w:rsidRPr="0037161F">
                      <w:rPr>
                        <w:rFonts w:cs="Arial"/>
                        <w:position w:val="-2"/>
                      </w:rPr>
                      <w:t xml:space="preserve">  </w:t>
                    </w:r>
                  </w:p>
                </w:txbxContent>
              </v:textbox>
              <w10:wrap anchory="margin"/>
            </v:shape>
          </w:pict>
        </mc:Fallback>
      </mc:AlternateConten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02" w:rsidRDefault="00BA7A7F" w:rsidP="00003F02">
    <w:pPr>
      <w:pStyle w:val="HeaderEven"/>
      <w:ind w:left="-113"/>
    </w:pPr>
    <w:r w:rsidRPr="00BC36DA">
      <w:rPr>
        <w:rFonts w:ascii="Arial Bold" w:hAnsi="Arial Bold"/>
        <w:b/>
        <w:noProof/>
        <w:position w:val="-10"/>
      </w:rPr>
      <w:drawing>
        <wp:inline distT="0" distB="0" distL="0" distR="0">
          <wp:extent cx="974725" cy="163830"/>
          <wp:effectExtent l="0" t="0" r="0" b="7620"/>
          <wp:docPr id="1601314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66751" name="Picture 6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r>
      <w:t xml:space="preserve">  |  Portfolio Budget Statements</w:t>
    </w:r>
  </w:p>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800ED" w:rsidRDefault="00BA7A7F" w:rsidP="008800ED">
    <w:pPr>
      <w:keepLines w:val="0"/>
      <w:spacing w:after="0" w:line="240" w:lineRule="auto"/>
      <w:jc w:val="right"/>
      <w:rPr>
        <w:rFonts w:ascii="Arial" w:eastAsia="Calibri" w:hAnsi="Arial" w:cs="Arial"/>
        <w:sz w:val="18"/>
        <w:szCs w:val="22"/>
        <w:lang w:val="en-US" w:eastAsia="en-US"/>
      </w:rPr>
    </w:pPr>
    <w:r w:rsidRPr="008800ED">
      <w:rPr>
        <w:rFonts w:ascii="Arial" w:eastAsia="Calibri" w:hAnsi="Arial" w:cs="Arial"/>
        <w:position w:val="-2"/>
        <w:sz w:val="18"/>
        <w:szCs w:val="22"/>
        <w:lang w:val="en-US" w:eastAsia="en-US"/>
      </w:rPr>
      <w:t>Portfolio Budget Statements  |</w:t>
    </w:r>
    <w:r w:rsidRPr="008800ED">
      <w:rPr>
        <w:rFonts w:ascii="Arial" w:eastAsia="Calibri" w:hAnsi="Arial" w:cs="Arial"/>
        <w:sz w:val="18"/>
        <w:szCs w:val="22"/>
        <w:lang w:val="en-US" w:eastAsia="en-US"/>
      </w:rPr>
      <w:t xml:space="preserve">  </w:t>
    </w:r>
    <w:r w:rsidRPr="008800ED">
      <w:rPr>
        <w:rFonts w:ascii="Arial" w:eastAsia="Calibri" w:hAnsi="Arial" w:cs="Arial"/>
        <w:b/>
        <w:noProof/>
        <w:position w:val="-10"/>
        <w:sz w:val="18"/>
        <w:szCs w:val="22"/>
      </w:rPr>
      <w:drawing>
        <wp:inline distT="0" distB="0" distL="0" distR="0">
          <wp:extent cx="974725" cy="163830"/>
          <wp:effectExtent l="0" t="0" r="0" b="7620"/>
          <wp:docPr id="15167445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57502" name="Picture 7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keepLines w:val="0"/>
      <w:spacing w:after="160" w:line="259" w:lineRule="auto"/>
      <w:jc w:val="left"/>
      <w:rPr>
        <w:rFonts w:ascii="Calibri" w:eastAsia="Calibri" w:hAnsi="Calibri"/>
        <w:sz w:val="22"/>
        <w:szCs w:val="22"/>
        <w:lang w:eastAsia="en-US"/>
      </w:rPr>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02" w:rsidRDefault="00BA7A7F" w:rsidP="00003F02">
    <w:pPr>
      <w:pStyle w:val="HeaderEven"/>
      <w:ind w:left="-113"/>
      <w:rPr>
        <w:rFonts w:ascii="Book Antiqua" w:hAnsi="Book Antiqua"/>
        <w:sz w:val="20"/>
      </w:rPr>
    </w:pPr>
    <w:r w:rsidRPr="00BC36DA">
      <w:rPr>
        <w:rFonts w:ascii="Arial Bold" w:hAnsi="Arial Bold"/>
        <w:b/>
        <w:noProof/>
        <w:position w:val="-10"/>
      </w:rPr>
      <w:drawing>
        <wp:inline distT="0" distB="0" distL="0" distR="0">
          <wp:extent cx="974725" cy="163830"/>
          <wp:effectExtent l="0" t="0" r="0" b="7620"/>
          <wp:docPr id="1749591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3606" name="Picture 6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r>
      <w:t xml:space="preserve">  |  Portfolio Budget Statements</w:t>
    </w:r>
  </w:p>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800ED" w:rsidRDefault="00BA7A7F" w:rsidP="008800ED">
    <w:pPr>
      <w:keepLines w:val="0"/>
      <w:spacing w:after="0" w:line="240" w:lineRule="auto"/>
      <w:jc w:val="right"/>
      <w:rPr>
        <w:rFonts w:ascii="Arial" w:eastAsia="Calibri" w:hAnsi="Arial" w:cs="Arial"/>
        <w:sz w:val="18"/>
        <w:szCs w:val="22"/>
        <w:lang w:val="en-US" w:eastAsia="en-US"/>
      </w:rPr>
    </w:pPr>
    <w:r w:rsidRPr="008800ED">
      <w:rPr>
        <w:rFonts w:ascii="Arial" w:eastAsia="Calibri" w:hAnsi="Arial" w:cs="Arial"/>
        <w:position w:val="-2"/>
        <w:sz w:val="18"/>
        <w:szCs w:val="22"/>
        <w:lang w:val="en-US" w:eastAsia="en-US"/>
      </w:rPr>
      <w:t>Portfolio Budget Statements  |</w:t>
    </w:r>
    <w:r w:rsidRPr="008800ED">
      <w:rPr>
        <w:rFonts w:ascii="Arial" w:eastAsia="Calibri" w:hAnsi="Arial" w:cs="Arial"/>
        <w:sz w:val="18"/>
        <w:szCs w:val="22"/>
        <w:lang w:val="en-US" w:eastAsia="en-US"/>
      </w:rPr>
      <w:t xml:space="preserve">  </w:t>
    </w:r>
    <w:r w:rsidRPr="008800ED">
      <w:rPr>
        <w:rFonts w:ascii="Arial" w:eastAsia="Calibri" w:hAnsi="Arial" w:cs="Arial"/>
        <w:b/>
        <w:noProof/>
        <w:position w:val="-10"/>
        <w:sz w:val="18"/>
        <w:szCs w:val="22"/>
      </w:rPr>
      <w:drawing>
        <wp:inline distT="0" distB="0" distL="0" distR="0">
          <wp:extent cx="974725" cy="163830"/>
          <wp:effectExtent l="0" t="0" r="0" b="7620"/>
          <wp:docPr id="34228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44154" name="Picture 7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pP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02" w:rsidRDefault="00BA7A7F" w:rsidP="00003F02">
    <w:pPr>
      <w:pStyle w:val="HeaderEven"/>
      <w:ind w:left="-113"/>
      <w:rPr>
        <w:rFonts w:ascii="Book Antiqua" w:hAnsi="Book Antiqua"/>
        <w:sz w:val="20"/>
      </w:rPr>
    </w:pPr>
    <w:r w:rsidRPr="00BC36DA">
      <w:rPr>
        <w:rFonts w:ascii="Arial Bold" w:hAnsi="Arial Bold"/>
        <w:b/>
        <w:noProof/>
        <w:position w:val="-10"/>
      </w:rPr>
      <w:drawing>
        <wp:inline distT="0" distB="0" distL="0" distR="0">
          <wp:extent cx="974725" cy="163830"/>
          <wp:effectExtent l="0" t="0" r="0" b="7620"/>
          <wp:docPr id="21133969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582081" name="Picture 6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r>
      <w:t xml:space="preserve">  |  Portfolio Budget Statements</w:t>
    </w:r>
  </w:p>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800ED" w:rsidRDefault="00BA7A7F" w:rsidP="008800ED">
    <w:pPr>
      <w:keepLines w:val="0"/>
      <w:spacing w:after="0" w:line="240" w:lineRule="auto"/>
      <w:jc w:val="right"/>
      <w:rPr>
        <w:rFonts w:ascii="Arial" w:eastAsia="Calibri" w:hAnsi="Arial" w:cs="Arial"/>
        <w:sz w:val="18"/>
        <w:szCs w:val="22"/>
        <w:lang w:val="en-US" w:eastAsia="en-US"/>
      </w:rPr>
    </w:pPr>
    <w:r w:rsidRPr="008800ED">
      <w:rPr>
        <w:rFonts w:ascii="Arial" w:eastAsia="Calibri" w:hAnsi="Arial" w:cs="Arial"/>
        <w:position w:val="-2"/>
        <w:sz w:val="18"/>
        <w:szCs w:val="22"/>
        <w:lang w:val="en-US" w:eastAsia="en-US"/>
      </w:rPr>
      <w:t>Portfolio Budget Statements  |</w:t>
    </w:r>
    <w:r w:rsidRPr="008800ED">
      <w:rPr>
        <w:rFonts w:ascii="Arial" w:eastAsia="Calibri" w:hAnsi="Arial" w:cs="Arial"/>
        <w:sz w:val="18"/>
        <w:szCs w:val="22"/>
        <w:lang w:val="en-US" w:eastAsia="en-US"/>
      </w:rPr>
      <w:t xml:space="preserve">  </w:t>
    </w:r>
    <w:r w:rsidRPr="008800ED">
      <w:rPr>
        <w:rFonts w:ascii="Arial" w:eastAsia="Calibri" w:hAnsi="Arial" w:cs="Arial"/>
        <w:b/>
        <w:noProof/>
        <w:position w:val="-10"/>
        <w:sz w:val="18"/>
        <w:szCs w:val="22"/>
      </w:rPr>
      <w:drawing>
        <wp:inline distT="0" distB="0" distL="0" distR="0">
          <wp:extent cx="974725" cy="163830"/>
          <wp:effectExtent l="0" t="0" r="0" b="7620"/>
          <wp:docPr id="8947804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56590" name="Picture 7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02" w:rsidRDefault="00BA7A7F" w:rsidP="00003F02">
    <w:pPr>
      <w:pStyle w:val="HeaderEven"/>
      <w:ind w:left="-113"/>
      <w:rPr>
        <w:rFonts w:ascii="Book Antiqua" w:hAnsi="Book Antiqua"/>
        <w:sz w:val="20"/>
      </w:rPr>
    </w:pPr>
    <w:r w:rsidRPr="00BC36DA">
      <w:rPr>
        <w:rFonts w:ascii="Arial Bold" w:hAnsi="Arial Bold"/>
        <w:b/>
        <w:noProof/>
        <w:position w:val="-10"/>
      </w:rPr>
      <w:drawing>
        <wp:inline distT="0" distB="0" distL="0" distR="0">
          <wp:extent cx="974725" cy="163830"/>
          <wp:effectExtent l="0" t="0" r="0" b="7620"/>
          <wp:docPr id="1043658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6472" name="Picture 6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r>
      <w:t xml:space="preserve">  |  Portfolio Budget Statements</w:t>
    </w:r>
  </w:p>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pP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800ED" w:rsidRDefault="00BA7A7F" w:rsidP="008800ED">
    <w:pPr>
      <w:keepLines w:val="0"/>
      <w:spacing w:after="0" w:line="240" w:lineRule="auto"/>
      <w:jc w:val="right"/>
      <w:rPr>
        <w:rFonts w:ascii="Arial" w:eastAsia="Calibri" w:hAnsi="Arial" w:cs="Arial"/>
        <w:sz w:val="18"/>
        <w:szCs w:val="22"/>
        <w:lang w:val="en-US" w:eastAsia="en-US"/>
      </w:rPr>
    </w:pPr>
    <w:r w:rsidRPr="008800ED">
      <w:rPr>
        <w:rFonts w:ascii="Arial" w:eastAsia="Calibri" w:hAnsi="Arial" w:cs="Arial"/>
        <w:position w:val="-2"/>
        <w:sz w:val="18"/>
        <w:szCs w:val="22"/>
        <w:lang w:val="en-US" w:eastAsia="en-US"/>
      </w:rPr>
      <w:t>Portfolio Budget Statements  |</w:t>
    </w:r>
    <w:r w:rsidRPr="008800ED">
      <w:rPr>
        <w:rFonts w:ascii="Arial" w:eastAsia="Calibri" w:hAnsi="Arial" w:cs="Arial"/>
        <w:sz w:val="18"/>
        <w:szCs w:val="22"/>
        <w:lang w:val="en-US" w:eastAsia="en-US"/>
      </w:rPr>
      <w:t xml:space="preserve">  </w:t>
    </w:r>
    <w:r w:rsidRPr="008800ED">
      <w:rPr>
        <w:rFonts w:ascii="Arial" w:eastAsia="Calibri" w:hAnsi="Arial" w:cs="Arial"/>
        <w:b/>
        <w:noProof/>
        <w:position w:val="-10"/>
        <w:sz w:val="18"/>
        <w:szCs w:val="22"/>
      </w:rPr>
      <w:drawing>
        <wp:inline distT="0" distB="0" distL="0" distR="0">
          <wp:extent cx="974725" cy="163830"/>
          <wp:effectExtent l="0" t="0" r="0" b="7620"/>
          <wp:docPr id="20955982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45934" name="Picture 7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A7F" w:rsidRDefault="00BA7A7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796488">
    <w:pPr>
      <w:pStyle w:val="ContentsHead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A7F" w:rsidRDefault="00BA7A7F">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keepLines w:val="0"/>
      <w:spacing w:after="200" w:line="276" w:lineRule="auto"/>
      <w:jc w:val="left"/>
      <w:rPr>
        <w:rFonts w:ascii="Calibri" w:eastAsia="Calibri" w:hAnsi="Calibri" w:cs="Arial"/>
        <w:sz w:val="22"/>
        <w:szCs w:val="22"/>
        <w:lang w:val="en-US" w:eastAsia="en-US"/>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rPr>
        <w:i w:val="0"/>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rPr>
        <w:i w:val="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keepLines w:val="0"/>
      <w:ind w:left="284" w:hanging="284"/>
      <w:rPr>
        <w:rFonts w:eastAsia="Calibri" w:cs="Arial"/>
        <w:sz w:val="22"/>
        <w:szCs w:val="22"/>
        <w:lang w:val="en-US" w:eastAsia="en-US"/>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02" w:rsidRDefault="00BA7A7F" w:rsidP="00003F02">
    <w:pPr>
      <w:pStyle w:val="HeaderEven"/>
      <w:ind w:left="-113"/>
    </w:pPr>
    <w:r w:rsidRPr="00BC36DA">
      <w:rPr>
        <w:rFonts w:ascii="Arial Bold" w:hAnsi="Arial Bold"/>
        <w:b/>
        <w:noProof/>
        <w:position w:val="-10"/>
      </w:rPr>
      <w:drawing>
        <wp:inline distT="0" distB="0" distL="0" distR="0">
          <wp:extent cx="974725" cy="163830"/>
          <wp:effectExtent l="0" t="0" r="0" b="7620"/>
          <wp:docPr id="1019030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313598" name="Picture 6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r>
      <w:t xml:space="preserve">  |  Portfolio Budget Statements</w:t>
    </w:r>
  </w:p>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800ED" w:rsidRDefault="00BA7A7F" w:rsidP="008800ED">
    <w:pPr>
      <w:keepLines w:val="0"/>
      <w:spacing w:after="0" w:line="240" w:lineRule="auto"/>
      <w:jc w:val="right"/>
      <w:rPr>
        <w:rFonts w:ascii="Arial" w:eastAsia="Calibri" w:hAnsi="Arial" w:cs="Arial"/>
        <w:sz w:val="18"/>
        <w:szCs w:val="22"/>
        <w:lang w:val="en-US" w:eastAsia="en-US"/>
      </w:rPr>
    </w:pPr>
    <w:r w:rsidRPr="008800ED">
      <w:rPr>
        <w:rFonts w:ascii="Arial" w:eastAsia="Calibri" w:hAnsi="Arial" w:cs="Arial"/>
        <w:position w:val="-2"/>
        <w:sz w:val="18"/>
        <w:szCs w:val="22"/>
        <w:lang w:val="en-US" w:eastAsia="en-US"/>
      </w:rPr>
      <w:t>Portfolio Budget Statements  |</w:t>
    </w:r>
    <w:r w:rsidRPr="008800ED">
      <w:rPr>
        <w:rFonts w:ascii="Arial" w:eastAsia="Calibri" w:hAnsi="Arial" w:cs="Arial"/>
        <w:sz w:val="18"/>
        <w:szCs w:val="22"/>
        <w:lang w:val="en-US" w:eastAsia="en-US"/>
      </w:rPr>
      <w:t xml:space="preserve">  </w:t>
    </w:r>
    <w:r w:rsidRPr="008800ED">
      <w:rPr>
        <w:rFonts w:ascii="Arial" w:eastAsia="Calibri" w:hAnsi="Arial" w:cs="Arial"/>
        <w:b/>
        <w:noProof/>
        <w:position w:val="-10"/>
        <w:sz w:val="18"/>
        <w:szCs w:val="22"/>
      </w:rPr>
      <w:drawing>
        <wp:inline distT="0" distB="0" distL="0" distR="0">
          <wp:extent cx="974725" cy="163830"/>
          <wp:effectExtent l="0" t="0" r="0" b="7620"/>
          <wp:docPr id="1137628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15018" name="Picture 7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keepLines w:val="0"/>
      <w:spacing w:after="200" w:line="276" w:lineRule="auto"/>
      <w:jc w:val="left"/>
      <w:rPr>
        <w:rFonts w:eastAsia="Calibri" w:cs="Arial"/>
        <w:sz w:val="22"/>
        <w:szCs w:val="22"/>
        <w:lang w:val="en-US" w:eastAsia="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suppressLineNumbers/>
      <w:spacing w:after="0" w:line="14" w:lineRule="exact"/>
      <w:contextualSpacing/>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BA7A7F" w:rsidP="00C05EC2">
    <w:pPr>
      <w:pStyle w:val="Header"/>
      <w:rPr>
        <w:i w:val="0"/>
        <w:color w:val="FFFFFF"/>
      </w:rPr>
    </w:pPr>
    <w:r w:rsidRPr="00BF0CC8">
      <w:rPr>
        <w:i w:val="0"/>
        <w:color w:val="FFFFFF"/>
      </w:rPr>
      <w:t>This page is intentionally blank</w:t>
    </w:r>
  </w:p>
  <w:p w:rsidR="00BF0CC8" w:rsidRPr="00BF0CC8" w:rsidRDefault="00BF0CC8" w:rsidP="00C05EC2">
    <w:pPr>
      <w:pStyle w:val="Header"/>
      <w:rPr>
        <w:i w:val="0"/>
        <w:color w:val="FFFFFF"/>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BA7A7F" w:rsidP="00C05EC2">
    <w:pPr>
      <w:pStyle w:val="Header"/>
      <w:rPr>
        <w:i w:val="0"/>
        <w:color w:val="FFFFFF"/>
      </w:rPr>
    </w:pPr>
    <w:r w:rsidRPr="00BF0CC8">
      <w:rPr>
        <w:i w:val="0"/>
        <w:color w:val="FFFFFF"/>
      </w:rPr>
      <w:t>This page is intentionally blank</w:t>
    </w:r>
  </w:p>
  <w:p w:rsidR="00BF0CC8" w:rsidRPr="00BF0CC8" w:rsidRDefault="00BF0CC8" w:rsidP="00C05EC2">
    <w:pPr>
      <w:pStyle w:val="Header"/>
      <w:rPr>
        <w:i w:val="0"/>
        <w:color w:val="FFFFFF"/>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suppressLineNumbers/>
      <w:spacing w:after="0" w:line="14" w:lineRule="exact"/>
      <w:contextualSpacing/>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rPr>
        <w:i w:val="0"/>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C05EC2">
    <w:pPr>
      <w:pStyle w:val="Header"/>
      <w:rPr>
        <w:i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keepLines w:val="0"/>
      <w:spacing w:after="200" w:line="276" w:lineRule="auto"/>
      <w:jc w:val="left"/>
      <w:rPr>
        <w:rFonts w:ascii="Calibri" w:eastAsia="Calibri" w:hAnsi="Calibri" w:cs="Arial"/>
        <w:sz w:val="22"/>
        <w:szCs w:val="22"/>
        <w:lang w:val="en-US" w:eastAsia="en-US"/>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rsidP="00A9102A">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02" w:rsidRDefault="00BA7A7F" w:rsidP="00003F02">
    <w:pPr>
      <w:pStyle w:val="HeaderEven"/>
      <w:ind w:left="-113"/>
      <w:rPr>
        <w:rFonts w:ascii="Book Antiqua" w:hAnsi="Book Antiqua"/>
        <w:sz w:val="20"/>
      </w:rPr>
    </w:pPr>
    <w:r w:rsidRPr="00BC36DA">
      <w:rPr>
        <w:rFonts w:ascii="Arial Bold" w:hAnsi="Arial Bold"/>
        <w:b/>
        <w:noProof/>
        <w:position w:val="-10"/>
      </w:rPr>
      <w:drawing>
        <wp:inline distT="0" distB="0" distL="0" distR="0">
          <wp:extent cx="974725" cy="163830"/>
          <wp:effectExtent l="0" t="0" r="0" b="7620"/>
          <wp:docPr id="9441077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542465" name="Picture 6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r>
      <w:t xml:space="preserve">  |  Portfolio Budget Statements</w:t>
    </w:r>
  </w:p>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800ED" w:rsidRDefault="00BA7A7F" w:rsidP="008800ED">
    <w:pPr>
      <w:keepLines w:val="0"/>
      <w:spacing w:after="0" w:line="240" w:lineRule="auto"/>
      <w:jc w:val="right"/>
      <w:rPr>
        <w:rFonts w:ascii="Arial" w:eastAsia="Calibri" w:hAnsi="Arial" w:cs="Arial"/>
        <w:sz w:val="18"/>
        <w:szCs w:val="22"/>
        <w:lang w:val="en-US" w:eastAsia="en-US"/>
      </w:rPr>
    </w:pPr>
    <w:r w:rsidRPr="008800ED">
      <w:rPr>
        <w:rFonts w:ascii="Arial" w:eastAsia="Calibri" w:hAnsi="Arial" w:cs="Arial"/>
        <w:position w:val="-2"/>
        <w:sz w:val="18"/>
        <w:szCs w:val="22"/>
        <w:lang w:val="en-US" w:eastAsia="en-US"/>
      </w:rPr>
      <w:t>Portfolio Budget Statements  |</w:t>
    </w:r>
    <w:r w:rsidRPr="008800ED">
      <w:rPr>
        <w:rFonts w:ascii="Arial" w:eastAsia="Calibri" w:hAnsi="Arial" w:cs="Arial"/>
        <w:sz w:val="18"/>
        <w:szCs w:val="22"/>
        <w:lang w:val="en-US" w:eastAsia="en-US"/>
      </w:rPr>
      <w:t xml:space="preserve">  </w:t>
    </w:r>
    <w:r w:rsidRPr="008800ED">
      <w:rPr>
        <w:rFonts w:ascii="Arial" w:eastAsia="Calibri" w:hAnsi="Arial" w:cs="Arial"/>
        <w:b/>
        <w:noProof/>
        <w:position w:val="-10"/>
        <w:sz w:val="18"/>
        <w:szCs w:val="22"/>
      </w:rPr>
      <w:drawing>
        <wp:inline distT="0" distB="0" distL="0" distR="0">
          <wp:extent cx="974725" cy="163830"/>
          <wp:effectExtent l="0" t="0" r="0" b="7620"/>
          <wp:docPr id="15198476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73016" name="Picture 7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keepLines w:val="0"/>
      <w:jc w:val="left"/>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02" w:rsidRDefault="00BA7A7F" w:rsidP="00003F02">
    <w:pPr>
      <w:pStyle w:val="HeaderEven"/>
      <w:ind w:left="-113"/>
      <w:rPr>
        <w:rFonts w:ascii="Book Antiqua" w:hAnsi="Book Antiqua"/>
        <w:sz w:val="20"/>
      </w:rPr>
    </w:pPr>
    <w:r w:rsidRPr="00BC36DA">
      <w:rPr>
        <w:rFonts w:ascii="Arial Bold" w:hAnsi="Arial Bold"/>
        <w:b/>
        <w:noProof/>
        <w:position w:val="-10"/>
      </w:rPr>
      <w:drawing>
        <wp:inline distT="0" distB="0" distL="0" distR="0">
          <wp:extent cx="974725" cy="163830"/>
          <wp:effectExtent l="0" t="0" r="0" b="7620"/>
          <wp:docPr id="15105418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78769" name="Picture 6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r>
      <w:t xml:space="preserve">  |  Portfolio Budget Statements</w:t>
    </w:r>
  </w:p>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800ED" w:rsidRDefault="00BA7A7F" w:rsidP="008800ED">
    <w:pPr>
      <w:keepLines w:val="0"/>
      <w:spacing w:after="0" w:line="240" w:lineRule="auto"/>
      <w:jc w:val="right"/>
      <w:rPr>
        <w:rFonts w:ascii="Arial" w:eastAsia="Calibri" w:hAnsi="Arial" w:cs="Arial"/>
        <w:sz w:val="18"/>
        <w:szCs w:val="22"/>
        <w:lang w:val="en-US" w:eastAsia="en-US"/>
      </w:rPr>
    </w:pPr>
    <w:r w:rsidRPr="008800ED">
      <w:rPr>
        <w:rFonts w:ascii="Arial" w:eastAsia="Calibri" w:hAnsi="Arial" w:cs="Arial"/>
        <w:position w:val="-2"/>
        <w:sz w:val="18"/>
        <w:szCs w:val="22"/>
        <w:lang w:val="en-US" w:eastAsia="en-US"/>
      </w:rPr>
      <w:t>Portfolio Budget Statements  |</w:t>
    </w:r>
    <w:r w:rsidRPr="008800ED">
      <w:rPr>
        <w:rFonts w:ascii="Arial" w:eastAsia="Calibri" w:hAnsi="Arial" w:cs="Arial"/>
        <w:sz w:val="18"/>
        <w:szCs w:val="22"/>
        <w:lang w:val="en-US" w:eastAsia="en-US"/>
      </w:rPr>
      <w:t xml:space="preserve">  </w:t>
    </w:r>
    <w:r w:rsidRPr="008800ED">
      <w:rPr>
        <w:rFonts w:ascii="Arial" w:eastAsia="Calibri" w:hAnsi="Arial" w:cs="Arial"/>
        <w:b/>
        <w:noProof/>
        <w:position w:val="-10"/>
        <w:sz w:val="18"/>
        <w:szCs w:val="22"/>
      </w:rPr>
      <w:drawing>
        <wp:inline distT="0" distB="0" distL="0" distR="0">
          <wp:extent cx="974725" cy="163830"/>
          <wp:effectExtent l="0" t="0" r="0" b="7620"/>
          <wp:docPr id="3764337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28438" name="Picture 7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suppressLineNumbers/>
      <w:spacing w:after="0" w:line="14" w:lineRule="exact"/>
      <w:contextualSpacing/>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02" w:rsidRDefault="00BA7A7F" w:rsidP="00003F02">
    <w:pPr>
      <w:pStyle w:val="HeaderEven"/>
      <w:ind w:left="-113"/>
      <w:rPr>
        <w:rFonts w:ascii="Book Antiqua" w:hAnsi="Book Antiqua"/>
        <w:sz w:val="20"/>
      </w:rPr>
    </w:pPr>
    <w:r w:rsidRPr="00BC36DA">
      <w:rPr>
        <w:rFonts w:ascii="Arial Bold" w:hAnsi="Arial Bold"/>
        <w:b/>
        <w:noProof/>
        <w:position w:val="-10"/>
      </w:rPr>
      <w:drawing>
        <wp:inline distT="0" distB="0" distL="0" distR="0">
          <wp:extent cx="974725" cy="163830"/>
          <wp:effectExtent l="0" t="0" r="0" b="7620"/>
          <wp:docPr id="7642435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94106" name="Picture 6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r>
      <w:t xml:space="preserve">  |  Portfolio Budget Statements</w:t>
    </w:r>
  </w:p>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800ED" w:rsidRDefault="00BA7A7F" w:rsidP="008800ED">
    <w:pPr>
      <w:keepLines w:val="0"/>
      <w:spacing w:after="0" w:line="240" w:lineRule="auto"/>
      <w:jc w:val="right"/>
      <w:rPr>
        <w:rFonts w:ascii="Arial" w:eastAsia="Calibri" w:hAnsi="Arial" w:cs="Arial"/>
        <w:sz w:val="18"/>
        <w:szCs w:val="22"/>
        <w:lang w:val="en-US" w:eastAsia="en-US"/>
      </w:rPr>
    </w:pPr>
    <w:r w:rsidRPr="008800ED">
      <w:rPr>
        <w:rFonts w:ascii="Arial" w:eastAsia="Calibri" w:hAnsi="Arial" w:cs="Arial"/>
        <w:position w:val="-2"/>
        <w:sz w:val="18"/>
        <w:szCs w:val="22"/>
        <w:lang w:val="en-US" w:eastAsia="en-US"/>
      </w:rPr>
      <w:t>Portfolio Budget Statements  |</w:t>
    </w:r>
    <w:r w:rsidRPr="008800ED">
      <w:rPr>
        <w:rFonts w:ascii="Arial" w:eastAsia="Calibri" w:hAnsi="Arial" w:cs="Arial"/>
        <w:sz w:val="18"/>
        <w:szCs w:val="22"/>
        <w:lang w:val="en-US" w:eastAsia="en-US"/>
      </w:rPr>
      <w:t xml:space="preserve">  </w:t>
    </w:r>
    <w:r w:rsidRPr="008800ED">
      <w:rPr>
        <w:rFonts w:ascii="Arial" w:eastAsia="Calibri" w:hAnsi="Arial" w:cs="Arial"/>
        <w:b/>
        <w:noProof/>
        <w:position w:val="-10"/>
        <w:sz w:val="18"/>
        <w:szCs w:val="22"/>
      </w:rPr>
      <w:drawing>
        <wp:inline distT="0" distB="0" distL="0" distR="0">
          <wp:extent cx="974725" cy="163830"/>
          <wp:effectExtent l="0" t="0" r="0" b="7620"/>
          <wp:docPr id="4118633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632702" name="Picture 7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pPr>
      <w:suppressLineNumbers/>
      <w:spacing w:after="0" w:line="14" w:lineRule="exact"/>
      <w:contextualSpacing/>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02" w:rsidRDefault="00BA7A7F" w:rsidP="00003F02">
    <w:pPr>
      <w:pStyle w:val="HeaderEven"/>
      <w:ind w:left="-113"/>
      <w:rPr>
        <w:rFonts w:ascii="Book Antiqua" w:hAnsi="Book Antiqua"/>
        <w:sz w:val="20"/>
      </w:rPr>
    </w:pPr>
    <w:r w:rsidRPr="00BC36DA">
      <w:rPr>
        <w:rFonts w:ascii="Arial Bold" w:hAnsi="Arial Bold"/>
        <w:b/>
        <w:noProof/>
        <w:position w:val="-10"/>
      </w:rPr>
      <w:drawing>
        <wp:inline distT="0" distB="0" distL="0" distR="0">
          <wp:extent cx="974725" cy="163830"/>
          <wp:effectExtent l="0" t="0" r="0" b="7620"/>
          <wp:docPr id="77730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85143" name="Picture 6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r>
      <w:t xml:space="preserve">  |  Portfolio Budget Statements</w:t>
    </w:r>
  </w:p>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800ED" w:rsidRDefault="00BA7A7F" w:rsidP="008800ED">
    <w:pPr>
      <w:keepLines w:val="0"/>
      <w:spacing w:after="0" w:line="240" w:lineRule="auto"/>
      <w:jc w:val="right"/>
      <w:rPr>
        <w:rFonts w:ascii="Arial" w:eastAsia="Calibri" w:hAnsi="Arial" w:cs="Arial"/>
        <w:sz w:val="18"/>
        <w:szCs w:val="22"/>
        <w:lang w:val="en-US" w:eastAsia="en-US"/>
      </w:rPr>
    </w:pPr>
    <w:r w:rsidRPr="008800ED">
      <w:rPr>
        <w:rFonts w:ascii="Arial" w:eastAsia="Calibri" w:hAnsi="Arial" w:cs="Arial"/>
        <w:position w:val="-2"/>
        <w:sz w:val="18"/>
        <w:szCs w:val="22"/>
        <w:lang w:val="en-US" w:eastAsia="en-US"/>
      </w:rPr>
      <w:t>Portfolio Budget Statements  |</w:t>
    </w:r>
    <w:r w:rsidRPr="008800ED">
      <w:rPr>
        <w:rFonts w:ascii="Arial" w:eastAsia="Calibri" w:hAnsi="Arial" w:cs="Arial"/>
        <w:sz w:val="18"/>
        <w:szCs w:val="22"/>
        <w:lang w:val="en-US" w:eastAsia="en-US"/>
      </w:rPr>
      <w:t xml:space="preserve">  </w:t>
    </w:r>
    <w:r w:rsidRPr="008800ED">
      <w:rPr>
        <w:rFonts w:ascii="Arial" w:eastAsia="Calibri" w:hAnsi="Arial" w:cs="Arial"/>
        <w:b/>
        <w:noProof/>
        <w:position w:val="-10"/>
        <w:sz w:val="18"/>
        <w:szCs w:val="22"/>
      </w:rPr>
      <w:drawing>
        <wp:inline distT="0" distB="0" distL="0" distR="0">
          <wp:extent cx="974725" cy="163830"/>
          <wp:effectExtent l="0" t="0" r="0" b="7620"/>
          <wp:docPr id="1769612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865379" name="Picture 7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02" w:rsidRDefault="00BA7A7F" w:rsidP="00003F02">
    <w:pPr>
      <w:pStyle w:val="HeaderEven"/>
      <w:ind w:left="-113"/>
      <w:rPr>
        <w:rFonts w:ascii="Book Antiqua" w:hAnsi="Book Antiqua"/>
        <w:sz w:val="20"/>
      </w:rPr>
    </w:pPr>
    <w:r w:rsidRPr="00BC36DA">
      <w:rPr>
        <w:rFonts w:ascii="Arial Bold" w:hAnsi="Arial Bold"/>
        <w:b/>
        <w:noProof/>
        <w:position w:val="-10"/>
      </w:rPr>
      <w:drawing>
        <wp:inline distT="0" distB="0" distL="0" distR="0">
          <wp:extent cx="974725" cy="163830"/>
          <wp:effectExtent l="0" t="0" r="0" b="7620"/>
          <wp:docPr id="992239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671299" name="Picture 6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r>
      <w:t xml:space="preserve">  |  Portfolio Budget Statements</w:t>
    </w:r>
  </w:p>
  <w:p w:rsidR="00D86095" w:rsidRPr="00003F02" w:rsidRDefault="00D86095" w:rsidP="00003F02">
    <w:pPr>
      <w:keepLines w:val="0"/>
      <w:spacing w:after="200" w:line="276" w:lineRule="auto"/>
      <w:jc w:val="left"/>
      <w:rPr>
        <w:rFonts w:ascii="Calibri" w:eastAsia="Calibri" w:hAnsi="Calibri" w:cs="Arial"/>
        <w:sz w:val="22"/>
        <w:szCs w:val="22"/>
        <w:lang w:val="en-US" w:eastAsia="en-US"/>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Pr="008800ED" w:rsidRDefault="00BA7A7F" w:rsidP="008800ED">
    <w:pPr>
      <w:keepLines w:val="0"/>
      <w:spacing w:after="0" w:line="240" w:lineRule="auto"/>
      <w:jc w:val="right"/>
      <w:rPr>
        <w:rFonts w:ascii="Arial" w:eastAsia="Calibri" w:hAnsi="Arial" w:cs="Arial"/>
        <w:sz w:val="18"/>
        <w:szCs w:val="22"/>
        <w:lang w:val="en-US" w:eastAsia="en-US"/>
      </w:rPr>
    </w:pPr>
    <w:r w:rsidRPr="008800ED">
      <w:rPr>
        <w:rFonts w:ascii="Arial" w:eastAsia="Calibri" w:hAnsi="Arial" w:cs="Arial"/>
        <w:position w:val="-2"/>
        <w:sz w:val="18"/>
        <w:szCs w:val="22"/>
        <w:lang w:val="en-US" w:eastAsia="en-US"/>
      </w:rPr>
      <w:t>Portfolio Budget Statements  |</w:t>
    </w:r>
    <w:r w:rsidRPr="008800ED">
      <w:rPr>
        <w:rFonts w:ascii="Arial" w:eastAsia="Calibri" w:hAnsi="Arial" w:cs="Arial"/>
        <w:sz w:val="18"/>
        <w:szCs w:val="22"/>
        <w:lang w:val="en-US" w:eastAsia="en-US"/>
      </w:rPr>
      <w:t xml:space="preserve">  </w:t>
    </w:r>
    <w:r w:rsidRPr="008800ED">
      <w:rPr>
        <w:rFonts w:ascii="Arial" w:eastAsia="Calibri" w:hAnsi="Arial" w:cs="Arial"/>
        <w:b/>
        <w:noProof/>
        <w:position w:val="-10"/>
        <w:sz w:val="18"/>
        <w:szCs w:val="22"/>
      </w:rPr>
      <w:drawing>
        <wp:inline distT="0" distB="0" distL="0" distR="0">
          <wp:extent cx="974725" cy="163830"/>
          <wp:effectExtent l="0" t="0" r="0" b="7620"/>
          <wp:docPr id="12724415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32794" name="Picture 7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4725" cy="163830"/>
                  </a:xfrm>
                  <a:prstGeom prst="rect">
                    <a:avLst/>
                  </a:prstGeom>
                  <a:noFill/>
                  <a:ln>
                    <a:noFill/>
                  </a:ln>
                </pic:spPr>
              </pic:pic>
            </a:graphicData>
          </a:graphic>
        </wp:inline>
      </w:drawing>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95" w:rsidRDefault="00D86095">
    <w:pPr>
      <w:keepLines w:val="0"/>
      <w:spacing w:after="200" w:line="276" w:lineRule="auto"/>
      <w:jc w:val="left"/>
      <w:rPr>
        <w:rFonts w:ascii="Calibri" w:eastAsia="Calibri" w:hAnsi="Calibri" w:cs="Arial"/>
        <w:sz w:val="22"/>
        <w:szCs w:val="22"/>
        <w:lang w:val="en-US" w:eastAsia="en-US"/>
      </w:rPr>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74" w:rsidRDefault="002532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46F"/>
    <w:multiLevelType w:val="hybridMultilevel"/>
    <w:tmpl w:val="78F82DB0"/>
    <w:lvl w:ilvl="0" w:tplc="2772C70A">
      <w:start w:val="1"/>
      <w:numFmt w:val="lowerLetter"/>
      <w:lvlText w:val="(%1)"/>
      <w:lvlJc w:val="left"/>
      <w:pPr>
        <w:ind w:left="360" w:hanging="360"/>
      </w:pPr>
      <w:rPr>
        <w:rFonts w:hint="default"/>
      </w:rPr>
    </w:lvl>
    <w:lvl w:ilvl="1" w:tplc="7E6A3AD0">
      <w:start w:val="1"/>
      <w:numFmt w:val="lowerLetter"/>
      <w:lvlText w:val="%2."/>
      <w:lvlJc w:val="left"/>
      <w:pPr>
        <w:ind w:left="1080" w:hanging="360"/>
      </w:pPr>
    </w:lvl>
    <w:lvl w:ilvl="2" w:tplc="8CC01932" w:tentative="1">
      <w:start w:val="1"/>
      <w:numFmt w:val="lowerRoman"/>
      <w:lvlText w:val="%3."/>
      <w:lvlJc w:val="right"/>
      <w:pPr>
        <w:ind w:left="1800" w:hanging="180"/>
      </w:pPr>
    </w:lvl>
    <w:lvl w:ilvl="3" w:tplc="F70E5F2E" w:tentative="1">
      <w:start w:val="1"/>
      <w:numFmt w:val="decimal"/>
      <w:lvlText w:val="%4."/>
      <w:lvlJc w:val="left"/>
      <w:pPr>
        <w:ind w:left="2520" w:hanging="360"/>
      </w:pPr>
    </w:lvl>
    <w:lvl w:ilvl="4" w:tplc="EBDAA088" w:tentative="1">
      <w:start w:val="1"/>
      <w:numFmt w:val="lowerLetter"/>
      <w:lvlText w:val="%5."/>
      <w:lvlJc w:val="left"/>
      <w:pPr>
        <w:ind w:left="3240" w:hanging="360"/>
      </w:pPr>
    </w:lvl>
    <w:lvl w:ilvl="5" w:tplc="291A4380" w:tentative="1">
      <w:start w:val="1"/>
      <w:numFmt w:val="lowerRoman"/>
      <w:lvlText w:val="%6."/>
      <w:lvlJc w:val="right"/>
      <w:pPr>
        <w:ind w:left="3960" w:hanging="180"/>
      </w:pPr>
    </w:lvl>
    <w:lvl w:ilvl="6" w:tplc="EC4A97E0" w:tentative="1">
      <w:start w:val="1"/>
      <w:numFmt w:val="decimal"/>
      <w:lvlText w:val="%7."/>
      <w:lvlJc w:val="left"/>
      <w:pPr>
        <w:ind w:left="4680" w:hanging="360"/>
      </w:pPr>
    </w:lvl>
    <w:lvl w:ilvl="7" w:tplc="020866D2" w:tentative="1">
      <w:start w:val="1"/>
      <w:numFmt w:val="lowerLetter"/>
      <w:lvlText w:val="%8."/>
      <w:lvlJc w:val="left"/>
      <w:pPr>
        <w:ind w:left="5400" w:hanging="360"/>
      </w:pPr>
    </w:lvl>
    <w:lvl w:ilvl="8" w:tplc="DE089C4A" w:tentative="1">
      <w:start w:val="1"/>
      <w:numFmt w:val="lowerRoman"/>
      <w:lvlText w:val="%9."/>
      <w:lvlJc w:val="right"/>
      <w:pPr>
        <w:ind w:left="6120" w:hanging="180"/>
      </w:pPr>
    </w:lvl>
  </w:abstractNum>
  <w:abstractNum w:abstractNumId="1" w15:restartNumberingAfterBreak="0">
    <w:nsid w:val="00A730BF"/>
    <w:multiLevelType w:val="hybridMultilevel"/>
    <w:tmpl w:val="117E8080"/>
    <w:lvl w:ilvl="0" w:tplc="56845A12">
      <w:start w:val="1"/>
      <w:numFmt w:val="lowerLetter"/>
      <w:lvlText w:val="(%1)"/>
      <w:lvlJc w:val="left"/>
      <w:pPr>
        <w:ind w:left="360" w:hanging="360"/>
      </w:pPr>
    </w:lvl>
    <w:lvl w:ilvl="1" w:tplc="CFBE56AC">
      <w:start w:val="1"/>
      <w:numFmt w:val="lowerLetter"/>
      <w:lvlText w:val="%2."/>
      <w:lvlJc w:val="left"/>
      <w:pPr>
        <w:ind w:left="1080" w:hanging="360"/>
      </w:pPr>
    </w:lvl>
    <w:lvl w:ilvl="2" w:tplc="7FB241FE">
      <w:start w:val="1"/>
      <w:numFmt w:val="lowerRoman"/>
      <w:lvlText w:val="%3."/>
      <w:lvlJc w:val="right"/>
      <w:pPr>
        <w:ind w:left="1800" w:hanging="180"/>
      </w:pPr>
    </w:lvl>
    <w:lvl w:ilvl="3" w:tplc="FE7C6BAC">
      <w:start w:val="1"/>
      <w:numFmt w:val="decimal"/>
      <w:lvlText w:val="%4."/>
      <w:lvlJc w:val="left"/>
      <w:pPr>
        <w:ind w:left="2520" w:hanging="360"/>
      </w:pPr>
    </w:lvl>
    <w:lvl w:ilvl="4" w:tplc="44E44F5E">
      <w:start w:val="1"/>
      <w:numFmt w:val="lowerLetter"/>
      <w:lvlText w:val="%5."/>
      <w:lvlJc w:val="left"/>
      <w:pPr>
        <w:ind w:left="3240" w:hanging="360"/>
      </w:pPr>
    </w:lvl>
    <w:lvl w:ilvl="5" w:tplc="5434A248">
      <w:start w:val="1"/>
      <w:numFmt w:val="lowerRoman"/>
      <w:lvlText w:val="%6."/>
      <w:lvlJc w:val="right"/>
      <w:pPr>
        <w:ind w:left="3960" w:hanging="180"/>
      </w:pPr>
    </w:lvl>
    <w:lvl w:ilvl="6" w:tplc="12547AAC">
      <w:start w:val="1"/>
      <w:numFmt w:val="decimal"/>
      <w:lvlText w:val="%7."/>
      <w:lvlJc w:val="left"/>
      <w:pPr>
        <w:ind w:left="4680" w:hanging="360"/>
      </w:pPr>
    </w:lvl>
    <w:lvl w:ilvl="7" w:tplc="B4DE4F68">
      <w:start w:val="1"/>
      <w:numFmt w:val="lowerLetter"/>
      <w:lvlText w:val="%8."/>
      <w:lvlJc w:val="left"/>
      <w:pPr>
        <w:ind w:left="5400" w:hanging="360"/>
      </w:pPr>
    </w:lvl>
    <w:lvl w:ilvl="8" w:tplc="D31A21BC">
      <w:start w:val="1"/>
      <w:numFmt w:val="lowerRoman"/>
      <w:lvlText w:val="%9."/>
      <w:lvlJc w:val="right"/>
      <w:pPr>
        <w:ind w:left="6120" w:hanging="180"/>
      </w:pPr>
    </w:lvl>
  </w:abstractNum>
  <w:abstractNum w:abstractNumId="2" w15:restartNumberingAfterBreak="0">
    <w:nsid w:val="00F0175C"/>
    <w:multiLevelType w:val="hybridMultilevel"/>
    <w:tmpl w:val="9544E9AC"/>
    <w:lvl w:ilvl="0" w:tplc="3C143448">
      <w:start w:val="1"/>
      <w:numFmt w:val="lowerLetter"/>
      <w:lvlText w:val="(%1)"/>
      <w:lvlJc w:val="left"/>
      <w:pPr>
        <w:ind w:left="360" w:hanging="360"/>
      </w:pPr>
      <w:rPr>
        <w:rFonts w:hint="default"/>
      </w:rPr>
    </w:lvl>
    <w:lvl w:ilvl="1" w:tplc="1908AD1E" w:tentative="1">
      <w:start w:val="1"/>
      <w:numFmt w:val="lowerLetter"/>
      <w:lvlText w:val="%2."/>
      <w:lvlJc w:val="left"/>
      <w:pPr>
        <w:ind w:left="1080" w:hanging="360"/>
      </w:pPr>
    </w:lvl>
    <w:lvl w:ilvl="2" w:tplc="07301012" w:tentative="1">
      <w:start w:val="1"/>
      <w:numFmt w:val="lowerRoman"/>
      <w:lvlText w:val="%3."/>
      <w:lvlJc w:val="right"/>
      <w:pPr>
        <w:ind w:left="1800" w:hanging="180"/>
      </w:pPr>
    </w:lvl>
    <w:lvl w:ilvl="3" w:tplc="C6C4D288" w:tentative="1">
      <w:start w:val="1"/>
      <w:numFmt w:val="decimal"/>
      <w:lvlText w:val="%4."/>
      <w:lvlJc w:val="left"/>
      <w:pPr>
        <w:ind w:left="2520" w:hanging="360"/>
      </w:pPr>
    </w:lvl>
    <w:lvl w:ilvl="4" w:tplc="232EFD4E" w:tentative="1">
      <w:start w:val="1"/>
      <w:numFmt w:val="lowerLetter"/>
      <w:lvlText w:val="%5."/>
      <w:lvlJc w:val="left"/>
      <w:pPr>
        <w:ind w:left="3240" w:hanging="360"/>
      </w:pPr>
    </w:lvl>
    <w:lvl w:ilvl="5" w:tplc="329E21E4" w:tentative="1">
      <w:start w:val="1"/>
      <w:numFmt w:val="lowerRoman"/>
      <w:lvlText w:val="%6."/>
      <w:lvlJc w:val="right"/>
      <w:pPr>
        <w:ind w:left="3960" w:hanging="180"/>
      </w:pPr>
    </w:lvl>
    <w:lvl w:ilvl="6" w:tplc="98EE86DC" w:tentative="1">
      <w:start w:val="1"/>
      <w:numFmt w:val="decimal"/>
      <w:lvlText w:val="%7."/>
      <w:lvlJc w:val="left"/>
      <w:pPr>
        <w:ind w:left="4680" w:hanging="360"/>
      </w:pPr>
    </w:lvl>
    <w:lvl w:ilvl="7" w:tplc="2BCEFE0E" w:tentative="1">
      <w:start w:val="1"/>
      <w:numFmt w:val="lowerLetter"/>
      <w:lvlText w:val="%8."/>
      <w:lvlJc w:val="left"/>
      <w:pPr>
        <w:ind w:left="5400" w:hanging="360"/>
      </w:pPr>
    </w:lvl>
    <w:lvl w:ilvl="8" w:tplc="04EAC164" w:tentative="1">
      <w:start w:val="1"/>
      <w:numFmt w:val="lowerRoman"/>
      <w:lvlText w:val="%9."/>
      <w:lvlJc w:val="right"/>
      <w:pPr>
        <w:ind w:left="6120" w:hanging="180"/>
      </w:pPr>
    </w:lvl>
  </w:abstractNum>
  <w:abstractNum w:abstractNumId="3" w15:restartNumberingAfterBreak="0">
    <w:nsid w:val="02A70C26"/>
    <w:multiLevelType w:val="hybridMultilevel"/>
    <w:tmpl w:val="AA18EF34"/>
    <w:lvl w:ilvl="0" w:tplc="783E7084">
      <w:start w:val="1"/>
      <w:numFmt w:val="bullet"/>
      <w:lvlText w:val=""/>
      <w:lvlJc w:val="left"/>
      <w:pPr>
        <w:ind w:left="720" w:hanging="360"/>
      </w:pPr>
      <w:rPr>
        <w:rFonts w:ascii="Symbol" w:hAnsi="Symbol" w:hint="default"/>
        <w:color w:val="auto"/>
      </w:rPr>
    </w:lvl>
    <w:lvl w:ilvl="1" w:tplc="D1A2D2AC">
      <w:start w:val="1"/>
      <w:numFmt w:val="bullet"/>
      <w:lvlText w:val="o"/>
      <w:lvlJc w:val="left"/>
      <w:pPr>
        <w:ind w:left="1440" w:hanging="360"/>
      </w:pPr>
      <w:rPr>
        <w:rFonts w:ascii="Courier New" w:hAnsi="Courier New" w:cs="Courier New" w:hint="default"/>
      </w:rPr>
    </w:lvl>
    <w:lvl w:ilvl="2" w:tplc="C8F4C9F2">
      <w:start w:val="1"/>
      <w:numFmt w:val="bullet"/>
      <w:lvlText w:val=""/>
      <w:lvlJc w:val="left"/>
      <w:pPr>
        <w:ind w:left="2160" w:hanging="360"/>
      </w:pPr>
      <w:rPr>
        <w:rFonts w:ascii="Wingdings" w:hAnsi="Wingdings" w:hint="default"/>
      </w:rPr>
    </w:lvl>
    <w:lvl w:ilvl="3" w:tplc="DF14B970">
      <w:start w:val="1"/>
      <w:numFmt w:val="bullet"/>
      <w:lvlText w:val=""/>
      <w:lvlJc w:val="left"/>
      <w:pPr>
        <w:ind w:left="2880" w:hanging="360"/>
      </w:pPr>
      <w:rPr>
        <w:rFonts w:ascii="Symbol" w:hAnsi="Symbol" w:hint="default"/>
      </w:rPr>
    </w:lvl>
    <w:lvl w:ilvl="4" w:tplc="80303266">
      <w:start w:val="1"/>
      <w:numFmt w:val="bullet"/>
      <w:lvlText w:val="o"/>
      <w:lvlJc w:val="left"/>
      <w:pPr>
        <w:ind w:left="3600" w:hanging="360"/>
      </w:pPr>
      <w:rPr>
        <w:rFonts w:ascii="Courier New" w:hAnsi="Courier New" w:cs="Courier New" w:hint="default"/>
      </w:rPr>
    </w:lvl>
    <w:lvl w:ilvl="5" w:tplc="02F6F254">
      <w:start w:val="1"/>
      <w:numFmt w:val="bullet"/>
      <w:lvlText w:val=""/>
      <w:lvlJc w:val="left"/>
      <w:pPr>
        <w:ind w:left="4320" w:hanging="360"/>
      </w:pPr>
      <w:rPr>
        <w:rFonts w:ascii="Wingdings" w:hAnsi="Wingdings" w:hint="default"/>
      </w:rPr>
    </w:lvl>
    <w:lvl w:ilvl="6" w:tplc="00D686EE">
      <w:start w:val="1"/>
      <w:numFmt w:val="bullet"/>
      <w:lvlText w:val=""/>
      <w:lvlJc w:val="left"/>
      <w:pPr>
        <w:ind w:left="5040" w:hanging="360"/>
      </w:pPr>
      <w:rPr>
        <w:rFonts w:ascii="Symbol" w:hAnsi="Symbol" w:hint="default"/>
      </w:rPr>
    </w:lvl>
    <w:lvl w:ilvl="7" w:tplc="B77ECEB4">
      <w:start w:val="1"/>
      <w:numFmt w:val="bullet"/>
      <w:lvlText w:val="o"/>
      <w:lvlJc w:val="left"/>
      <w:pPr>
        <w:ind w:left="5760" w:hanging="360"/>
      </w:pPr>
      <w:rPr>
        <w:rFonts w:ascii="Courier New" w:hAnsi="Courier New" w:cs="Courier New" w:hint="default"/>
      </w:rPr>
    </w:lvl>
    <w:lvl w:ilvl="8" w:tplc="4E2AF868">
      <w:start w:val="1"/>
      <w:numFmt w:val="bullet"/>
      <w:lvlText w:val=""/>
      <w:lvlJc w:val="left"/>
      <w:pPr>
        <w:ind w:left="6480" w:hanging="360"/>
      </w:pPr>
      <w:rPr>
        <w:rFonts w:ascii="Wingdings" w:hAnsi="Wingdings" w:hint="default"/>
      </w:rPr>
    </w:lvl>
  </w:abstractNum>
  <w:abstractNum w:abstractNumId="4" w15:restartNumberingAfterBreak="0">
    <w:nsid w:val="03493B48"/>
    <w:multiLevelType w:val="hybridMultilevel"/>
    <w:tmpl w:val="E16442C2"/>
    <w:lvl w:ilvl="0" w:tplc="BA2E2E68">
      <w:start w:val="1"/>
      <w:numFmt w:val="lowerLetter"/>
      <w:lvlText w:val="(%1)"/>
      <w:lvlJc w:val="left"/>
      <w:pPr>
        <w:ind w:left="360" w:hanging="360"/>
      </w:pPr>
      <w:rPr>
        <w:rFonts w:ascii="Arial" w:hAnsi="Arial" w:cs="Times New Roman" w:hint="default"/>
        <w:vertAlign w:val="baseline"/>
      </w:rPr>
    </w:lvl>
    <w:lvl w:ilvl="1" w:tplc="D714A782">
      <w:start w:val="1"/>
      <w:numFmt w:val="lowerLetter"/>
      <w:lvlText w:val="%2."/>
      <w:lvlJc w:val="left"/>
      <w:pPr>
        <w:ind w:left="1080" w:hanging="360"/>
      </w:pPr>
    </w:lvl>
    <w:lvl w:ilvl="2" w:tplc="D32003F0">
      <w:start w:val="1"/>
      <w:numFmt w:val="lowerRoman"/>
      <w:lvlText w:val="%3."/>
      <w:lvlJc w:val="right"/>
      <w:pPr>
        <w:ind w:left="1800" w:hanging="180"/>
      </w:pPr>
    </w:lvl>
    <w:lvl w:ilvl="3" w:tplc="707E0144">
      <w:start w:val="1"/>
      <w:numFmt w:val="decimal"/>
      <w:lvlText w:val="%4."/>
      <w:lvlJc w:val="left"/>
      <w:pPr>
        <w:ind w:left="2520" w:hanging="360"/>
      </w:pPr>
    </w:lvl>
    <w:lvl w:ilvl="4" w:tplc="081A4708">
      <w:start w:val="1"/>
      <w:numFmt w:val="lowerLetter"/>
      <w:lvlText w:val="%5."/>
      <w:lvlJc w:val="left"/>
      <w:pPr>
        <w:ind w:left="3240" w:hanging="360"/>
      </w:pPr>
    </w:lvl>
    <w:lvl w:ilvl="5" w:tplc="85FCB748">
      <w:start w:val="1"/>
      <w:numFmt w:val="lowerRoman"/>
      <w:lvlText w:val="%6."/>
      <w:lvlJc w:val="right"/>
      <w:pPr>
        <w:ind w:left="3960" w:hanging="180"/>
      </w:pPr>
    </w:lvl>
    <w:lvl w:ilvl="6" w:tplc="B93CE10E">
      <w:start w:val="1"/>
      <w:numFmt w:val="decimal"/>
      <w:lvlText w:val="%7."/>
      <w:lvlJc w:val="left"/>
      <w:pPr>
        <w:ind w:left="4680" w:hanging="360"/>
      </w:pPr>
    </w:lvl>
    <w:lvl w:ilvl="7" w:tplc="8FAC43BE">
      <w:start w:val="1"/>
      <w:numFmt w:val="lowerLetter"/>
      <w:lvlText w:val="%8."/>
      <w:lvlJc w:val="left"/>
      <w:pPr>
        <w:ind w:left="5400" w:hanging="360"/>
      </w:pPr>
    </w:lvl>
    <w:lvl w:ilvl="8" w:tplc="5A0298E2">
      <w:start w:val="1"/>
      <w:numFmt w:val="lowerRoman"/>
      <w:lvlText w:val="%9."/>
      <w:lvlJc w:val="right"/>
      <w:pPr>
        <w:ind w:left="6120" w:hanging="180"/>
      </w:pPr>
    </w:lvl>
  </w:abstractNum>
  <w:abstractNum w:abstractNumId="5" w15:restartNumberingAfterBreak="0">
    <w:nsid w:val="03D70645"/>
    <w:multiLevelType w:val="hybridMultilevel"/>
    <w:tmpl w:val="4CC2253C"/>
    <w:lvl w:ilvl="0" w:tplc="1C4611FA">
      <w:start w:val="1"/>
      <w:numFmt w:val="bullet"/>
      <w:lvlText w:val=""/>
      <w:lvlJc w:val="left"/>
      <w:pPr>
        <w:ind w:left="720" w:hanging="360"/>
      </w:pPr>
      <w:rPr>
        <w:rFonts w:ascii="Symbol" w:hAnsi="Symbol" w:hint="default"/>
      </w:rPr>
    </w:lvl>
    <w:lvl w:ilvl="1" w:tplc="226A9774" w:tentative="1">
      <w:start w:val="1"/>
      <w:numFmt w:val="bullet"/>
      <w:lvlText w:val="o"/>
      <w:lvlJc w:val="left"/>
      <w:pPr>
        <w:ind w:left="1440" w:hanging="360"/>
      </w:pPr>
      <w:rPr>
        <w:rFonts w:ascii="Courier New" w:hAnsi="Courier New" w:cs="Courier New" w:hint="default"/>
      </w:rPr>
    </w:lvl>
    <w:lvl w:ilvl="2" w:tplc="CB586548" w:tentative="1">
      <w:start w:val="1"/>
      <w:numFmt w:val="bullet"/>
      <w:lvlText w:val=""/>
      <w:lvlJc w:val="left"/>
      <w:pPr>
        <w:ind w:left="2160" w:hanging="360"/>
      </w:pPr>
      <w:rPr>
        <w:rFonts w:ascii="Wingdings" w:hAnsi="Wingdings" w:hint="default"/>
      </w:rPr>
    </w:lvl>
    <w:lvl w:ilvl="3" w:tplc="EA58BE3A" w:tentative="1">
      <w:start w:val="1"/>
      <w:numFmt w:val="bullet"/>
      <w:lvlText w:val=""/>
      <w:lvlJc w:val="left"/>
      <w:pPr>
        <w:ind w:left="2880" w:hanging="360"/>
      </w:pPr>
      <w:rPr>
        <w:rFonts w:ascii="Symbol" w:hAnsi="Symbol" w:hint="default"/>
      </w:rPr>
    </w:lvl>
    <w:lvl w:ilvl="4" w:tplc="4960587A" w:tentative="1">
      <w:start w:val="1"/>
      <w:numFmt w:val="bullet"/>
      <w:lvlText w:val="o"/>
      <w:lvlJc w:val="left"/>
      <w:pPr>
        <w:ind w:left="3600" w:hanging="360"/>
      </w:pPr>
      <w:rPr>
        <w:rFonts w:ascii="Courier New" w:hAnsi="Courier New" w:cs="Courier New" w:hint="default"/>
      </w:rPr>
    </w:lvl>
    <w:lvl w:ilvl="5" w:tplc="CAD01704" w:tentative="1">
      <w:start w:val="1"/>
      <w:numFmt w:val="bullet"/>
      <w:lvlText w:val=""/>
      <w:lvlJc w:val="left"/>
      <w:pPr>
        <w:ind w:left="4320" w:hanging="360"/>
      </w:pPr>
      <w:rPr>
        <w:rFonts w:ascii="Wingdings" w:hAnsi="Wingdings" w:hint="default"/>
      </w:rPr>
    </w:lvl>
    <w:lvl w:ilvl="6" w:tplc="4086CBF4" w:tentative="1">
      <w:start w:val="1"/>
      <w:numFmt w:val="bullet"/>
      <w:lvlText w:val=""/>
      <w:lvlJc w:val="left"/>
      <w:pPr>
        <w:ind w:left="5040" w:hanging="360"/>
      </w:pPr>
      <w:rPr>
        <w:rFonts w:ascii="Symbol" w:hAnsi="Symbol" w:hint="default"/>
      </w:rPr>
    </w:lvl>
    <w:lvl w:ilvl="7" w:tplc="DDCC8498" w:tentative="1">
      <w:start w:val="1"/>
      <w:numFmt w:val="bullet"/>
      <w:lvlText w:val="o"/>
      <w:lvlJc w:val="left"/>
      <w:pPr>
        <w:ind w:left="5760" w:hanging="360"/>
      </w:pPr>
      <w:rPr>
        <w:rFonts w:ascii="Courier New" w:hAnsi="Courier New" w:cs="Courier New" w:hint="default"/>
      </w:rPr>
    </w:lvl>
    <w:lvl w:ilvl="8" w:tplc="1D5C9D6A" w:tentative="1">
      <w:start w:val="1"/>
      <w:numFmt w:val="bullet"/>
      <w:lvlText w:val=""/>
      <w:lvlJc w:val="left"/>
      <w:pPr>
        <w:ind w:left="6480" w:hanging="360"/>
      </w:pPr>
      <w:rPr>
        <w:rFonts w:ascii="Wingdings" w:hAnsi="Wingdings" w:hint="default"/>
      </w:rPr>
    </w:lvl>
  </w:abstractNum>
  <w:abstractNum w:abstractNumId="6" w15:restartNumberingAfterBreak="0">
    <w:nsid w:val="05D57632"/>
    <w:multiLevelType w:val="hybridMultilevel"/>
    <w:tmpl w:val="F5847D16"/>
    <w:lvl w:ilvl="0" w:tplc="F4E0FF7C">
      <w:start w:val="1"/>
      <w:numFmt w:val="bullet"/>
      <w:lvlText w:val=""/>
      <w:lvlJc w:val="left"/>
      <w:pPr>
        <w:ind w:left="720" w:hanging="360"/>
      </w:pPr>
      <w:rPr>
        <w:rFonts w:ascii="Symbol" w:hAnsi="Symbol" w:hint="default"/>
      </w:rPr>
    </w:lvl>
    <w:lvl w:ilvl="1" w:tplc="BDA4BD02" w:tentative="1">
      <w:start w:val="1"/>
      <w:numFmt w:val="bullet"/>
      <w:lvlText w:val="o"/>
      <w:lvlJc w:val="left"/>
      <w:pPr>
        <w:ind w:left="1440" w:hanging="360"/>
      </w:pPr>
      <w:rPr>
        <w:rFonts w:ascii="Courier New" w:hAnsi="Courier New" w:cs="Courier New" w:hint="default"/>
      </w:rPr>
    </w:lvl>
    <w:lvl w:ilvl="2" w:tplc="73D67836" w:tentative="1">
      <w:start w:val="1"/>
      <w:numFmt w:val="bullet"/>
      <w:lvlText w:val=""/>
      <w:lvlJc w:val="left"/>
      <w:pPr>
        <w:ind w:left="2160" w:hanging="360"/>
      </w:pPr>
      <w:rPr>
        <w:rFonts w:ascii="Wingdings" w:hAnsi="Wingdings" w:hint="default"/>
      </w:rPr>
    </w:lvl>
    <w:lvl w:ilvl="3" w:tplc="285CC9DE" w:tentative="1">
      <w:start w:val="1"/>
      <w:numFmt w:val="bullet"/>
      <w:lvlText w:val=""/>
      <w:lvlJc w:val="left"/>
      <w:pPr>
        <w:ind w:left="2880" w:hanging="360"/>
      </w:pPr>
      <w:rPr>
        <w:rFonts w:ascii="Symbol" w:hAnsi="Symbol" w:hint="default"/>
      </w:rPr>
    </w:lvl>
    <w:lvl w:ilvl="4" w:tplc="E00CC5C0" w:tentative="1">
      <w:start w:val="1"/>
      <w:numFmt w:val="bullet"/>
      <w:lvlText w:val="o"/>
      <w:lvlJc w:val="left"/>
      <w:pPr>
        <w:ind w:left="3600" w:hanging="360"/>
      </w:pPr>
      <w:rPr>
        <w:rFonts w:ascii="Courier New" w:hAnsi="Courier New" w:cs="Courier New" w:hint="default"/>
      </w:rPr>
    </w:lvl>
    <w:lvl w:ilvl="5" w:tplc="F72CEC92" w:tentative="1">
      <w:start w:val="1"/>
      <w:numFmt w:val="bullet"/>
      <w:lvlText w:val=""/>
      <w:lvlJc w:val="left"/>
      <w:pPr>
        <w:ind w:left="4320" w:hanging="360"/>
      </w:pPr>
      <w:rPr>
        <w:rFonts w:ascii="Wingdings" w:hAnsi="Wingdings" w:hint="default"/>
      </w:rPr>
    </w:lvl>
    <w:lvl w:ilvl="6" w:tplc="4A66AC62" w:tentative="1">
      <w:start w:val="1"/>
      <w:numFmt w:val="bullet"/>
      <w:lvlText w:val=""/>
      <w:lvlJc w:val="left"/>
      <w:pPr>
        <w:ind w:left="5040" w:hanging="360"/>
      </w:pPr>
      <w:rPr>
        <w:rFonts w:ascii="Symbol" w:hAnsi="Symbol" w:hint="default"/>
      </w:rPr>
    </w:lvl>
    <w:lvl w:ilvl="7" w:tplc="DC9E54E6" w:tentative="1">
      <w:start w:val="1"/>
      <w:numFmt w:val="bullet"/>
      <w:lvlText w:val="o"/>
      <w:lvlJc w:val="left"/>
      <w:pPr>
        <w:ind w:left="5760" w:hanging="360"/>
      </w:pPr>
      <w:rPr>
        <w:rFonts w:ascii="Courier New" w:hAnsi="Courier New" w:cs="Courier New" w:hint="default"/>
      </w:rPr>
    </w:lvl>
    <w:lvl w:ilvl="8" w:tplc="63B828CE" w:tentative="1">
      <w:start w:val="1"/>
      <w:numFmt w:val="bullet"/>
      <w:lvlText w:val=""/>
      <w:lvlJc w:val="left"/>
      <w:pPr>
        <w:ind w:left="6480" w:hanging="360"/>
      </w:pPr>
      <w:rPr>
        <w:rFonts w:ascii="Wingdings" w:hAnsi="Wingdings" w:hint="default"/>
      </w:rPr>
    </w:lvl>
  </w:abstractNum>
  <w:abstractNum w:abstractNumId="7" w15:restartNumberingAfterBreak="0">
    <w:nsid w:val="091A5DCB"/>
    <w:multiLevelType w:val="hybridMultilevel"/>
    <w:tmpl w:val="E416D33A"/>
    <w:lvl w:ilvl="0" w:tplc="B58C3C32">
      <w:start w:val="1"/>
      <w:numFmt w:val="bullet"/>
      <w:lvlText w:val=""/>
      <w:lvlJc w:val="left"/>
      <w:pPr>
        <w:ind w:left="360" w:hanging="360"/>
      </w:pPr>
      <w:rPr>
        <w:rFonts w:ascii="Symbol" w:hAnsi="Symbol" w:hint="default"/>
      </w:rPr>
    </w:lvl>
    <w:lvl w:ilvl="1" w:tplc="AA143208">
      <w:start w:val="1"/>
      <w:numFmt w:val="bullet"/>
      <w:lvlText w:val="o"/>
      <w:lvlJc w:val="left"/>
      <w:pPr>
        <w:ind w:left="1080" w:hanging="360"/>
      </w:pPr>
      <w:rPr>
        <w:rFonts w:ascii="Courier New" w:hAnsi="Courier New" w:cs="Courier New" w:hint="default"/>
      </w:rPr>
    </w:lvl>
    <w:lvl w:ilvl="2" w:tplc="D75EF356">
      <w:start w:val="1"/>
      <w:numFmt w:val="bullet"/>
      <w:lvlText w:val=""/>
      <w:lvlJc w:val="left"/>
      <w:pPr>
        <w:ind w:left="1800" w:hanging="360"/>
      </w:pPr>
      <w:rPr>
        <w:rFonts w:ascii="Wingdings" w:hAnsi="Wingdings" w:hint="default"/>
      </w:rPr>
    </w:lvl>
    <w:lvl w:ilvl="3" w:tplc="F05EF33E">
      <w:start w:val="1"/>
      <w:numFmt w:val="bullet"/>
      <w:lvlText w:val=""/>
      <w:lvlJc w:val="left"/>
      <w:pPr>
        <w:ind w:left="2520" w:hanging="360"/>
      </w:pPr>
      <w:rPr>
        <w:rFonts w:ascii="Symbol" w:hAnsi="Symbol" w:hint="default"/>
      </w:rPr>
    </w:lvl>
    <w:lvl w:ilvl="4" w:tplc="4B02104E">
      <w:start w:val="1"/>
      <w:numFmt w:val="bullet"/>
      <w:lvlText w:val="o"/>
      <w:lvlJc w:val="left"/>
      <w:pPr>
        <w:ind w:left="3240" w:hanging="360"/>
      </w:pPr>
      <w:rPr>
        <w:rFonts w:ascii="Courier New" w:hAnsi="Courier New" w:cs="Courier New" w:hint="default"/>
      </w:rPr>
    </w:lvl>
    <w:lvl w:ilvl="5" w:tplc="CC42A912">
      <w:start w:val="1"/>
      <w:numFmt w:val="bullet"/>
      <w:lvlText w:val=""/>
      <w:lvlJc w:val="left"/>
      <w:pPr>
        <w:ind w:left="3960" w:hanging="360"/>
      </w:pPr>
      <w:rPr>
        <w:rFonts w:ascii="Wingdings" w:hAnsi="Wingdings" w:hint="default"/>
      </w:rPr>
    </w:lvl>
    <w:lvl w:ilvl="6" w:tplc="96385634">
      <w:start w:val="1"/>
      <w:numFmt w:val="bullet"/>
      <w:lvlText w:val=""/>
      <w:lvlJc w:val="left"/>
      <w:pPr>
        <w:ind w:left="4680" w:hanging="360"/>
      </w:pPr>
      <w:rPr>
        <w:rFonts w:ascii="Symbol" w:hAnsi="Symbol" w:hint="default"/>
      </w:rPr>
    </w:lvl>
    <w:lvl w:ilvl="7" w:tplc="93885BF4">
      <w:start w:val="1"/>
      <w:numFmt w:val="bullet"/>
      <w:lvlText w:val="o"/>
      <w:lvlJc w:val="left"/>
      <w:pPr>
        <w:ind w:left="5400" w:hanging="360"/>
      </w:pPr>
      <w:rPr>
        <w:rFonts w:ascii="Courier New" w:hAnsi="Courier New" w:cs="Courier New" w:hint="default"/>
      </w:rPr>
    </w:lvl>
    <w:lvl w:ilvl="8" w:tplc="06E0FF42">
      <w:start w:val="1"/>
      <w:numFmt w:val="bullet"/>
      <w:lvlText w:val=""/>
      <w:lvlJc w:val="left"/>
      <w:pPr>
        <w:ind w:left="6120" w:hanging="360"/>
      </w:pPr>
      <w:rPr>
        <w:rFonts w:ascii="Wingdings" w:hAnsi="Wingdings" w:hint="default"/>
      </w:rPr>
    </w:lvl>
  </w:abstractNum>
  <w:abstractNum w:abstractNumId="8" w15:restartNumberingAfterBreak="0">
    <w:nsid w:val="09E53C17"/>
    <w:multiLevelType w:val="hybridMultilevel"/>
    <w:tmpl w:val="1EBA163C"/>
    <w:lvl w:ilvl="0" w:tplc="663EEB64">
      <w:start w:val="1"/>
      <w:numFmt w:val="bullet"/>
      <w:lvlText w:val=""/>
      <w:lvlJc w:val="left"/>
      <w:pPr>
        <w:ind w:left="720" w:hanging="360"/>
      </w:pPr>
      <w:rPr>
        <w:rFonts w:ascii="Symbol" w:hAnsi="Symbol" w:hint="default"/>
        <w:sz w:val="22"/>
      </w:rPr>
    </w:lvl>
    <w:lvl w:ilvl="1" w:tplc="F85EB702">
      <w:start w:val="1"/>
      <w:numFmt w:val="bullet"/>
      <w:lvlText w:val="o"/>
      <w:lvlJc w:val="left"/>
      <w:pPr>
        <w:ind w:left="1440" w:hanging="360"/>
      </w:pPr>
      <w:rPr>
        <w:rFonts w:ascii="Courier New" w:hAnsi="Courier New" w:cs="Courier New" w:hint="default"/>
      </w:rPr>
    </w:lvl>
    <w:lvl w:ilvl="2" w:tplc="43C8B190">
      <w:start w:val="1"/>
      <w:numFmt w:val="bullet"/>
      <w:lvlText w:val=""/>
      <w:lvlJc w:val="left"/>
      <w:pPr>
        <w:ind w:left="2160" w:hanging="360"/>
      </w:pPr>
      <w:rPr>
        <w:rFonts w:ascii="Wingdings" w:hAnsi="Wingdings" w:hint="default"/>
      </w:rPr>
    </w:lvl>
    <w:lvl w:ilvl="3" w:tplc="8F7E74CE">
      <w:start w:val="1"/>
      <w:numFmt w:val="bullet"/>
      <w:lvlText w:val=""/>
      <w:lvlJc w:val="left"/>
      <w:pPr>
        <w:ind w:left="2880" w:hanging="360"/>
      </w:pPr>
      <w:rPr>
        <w:rFonts w:ascii="Symbol" w:hAnsi="Symbol" w:hint="default"/>
      </w:rPr>
    </w:lvl>
    <w:lvl w:ilvl="4" w:tplc="806C3A6E">
      <w:start w:val="1"/>
      <w:numFmt w:val="bullet"/>
      <w:lvlText w:val="o"/>
      <w:lvlJc w:val="left"/>
      <w:pPr>
        <w:ind w:left="3600" w:hanging="360"/>
      </w:pPr>
      <w:rPr>
        <w:rFonts w:ascii="Courier New" w:hAnsi="Courier New" w:cs="Courier New" w:hint="default"/>
      </w:rPr>
    </w:lvl>
    <w:lvl w:ilvl="5" w:tplc="049E6A44">
      <w:start w:val="1"/>
      <w:numFmt w:val="bullet"/>
      <w:lvlText w:val=""/>
      <w:lvlJc w:val="left"/>
      <w:pPr>
        <w:ind w:left="4320" w:hanging="360"/>
      </w:pPr>
      <w:rPr>
        <w:rFonts w:ascii="Wingdings" w:hAnsi="Wingdings" w:hint="default"/>
      </w:rPr>
    </w:lvl>
    <w:lvl w:ilvl="6" w:tplc="38B2559C">
      <w:start w:val="1"/>
      <w:numFmt w:val="bullet"/>
      <w:lvlText w:val=""/>
      <w:lvlJc w:val="left"/>
      <w:pPr>
        <w:ind w:left="5040" w:hanging="360"/>
      </w:pPr>
      <w:rPr>
        <w:rFonts w:ascii="Symbol" w:hAnsi="Symbol" w:hint="default"/>
      </w:rPr>
    </w:lvl>
    <w:lvl w:ilvl="7" w:tplc="A38EF682">
      <w:start w:val="1"/>
      <w:numFmt w:val="bullet"/>
      <w:lvlText w:val="o"/>
      <w:lvlJc w:val="left"/>
      <w:pPr>
        <w:ind w:left="5760" w:hanging="360"/>
      </w:pPr>
      <w:rPr>
        <w:rFonts w:ascii="Courier New" w:hAnsi="Courier New" w:cs="Courier New" w:hint="default"/>
      </w:rPr>
    </w:lvl>
    <w:lvl w:ilvl="8" w:tplc="5E4CFF0E">
      <w:start w:val="1"/>
      <w:numFmt w:val="bullet"/>
      <w:lvlText w:val=""/>
      <w:lvlJc w:val="left"/>
      <w:pPr>
        <w:ind w:left="6480" w:hanging="360"/>
      </w:pPr>
      <w:rPr>
        <w:rFonts w:ascii="Wingdings" w:hAnsi="Wingdings" w:hint="default"/>
      </w:rPr>
    </w:lvl>
  </w:abstractNum>
  <w:abstractNum w:abstractNumId="9" w15:restartNumberingAfterBreak="0">
    <w:nsid w:val="09EA3D40"/>
    <w:multiLevelType w:val="multilevel"/>
    <w:tmpl w:val="EF6E1616"/>
    <w:lvl w:ilvl="0">
      <w:numFmt w:val="bullet"/>
      <w:lvlText w:val="·"/>
      <w:lvlJc w:val="left"/>
      <w:pPr>
        <w:tabs>
          <w:tab w:val="left" w:pos="216"/>
        </w:tabs>
        <w:ind w:left="0" w:firstLine="0"/>
      </w:pPr>
      <w:rPr>
        <w:rFonts w:ascii="Symbol" w:eastAsia="Symbol" w:hAnsi="Symbol"/>
        <w:color w:val="000000"/>
        <w:spacing w:val="0"/>
        <w:w w:val="100"/>
        <w:sz w:val="20"/>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A1F013D"/>
    <w:multiLevelType w:val="hybridMultilevel"/>
    <w:tmpl w:val="704ED1F2"/>
    <w:lvl w:ilvl="0" w:tplc="5066DDAC">
      <w:start w:val="1"/>
      <w:numFmt w:val="bullet"/>
      <w:lvlText w:val=""/>
      <w:lvlJc w:val="left"/>
      <w:pPr>
        <w:ind w:left="720" w:hanging="360"/>
      </w:pPr>
      <w:rPr>
        <w:rFonts w:ascii="Symbol" w:hAnsi="Symbol" w:hint="default"/>
      </w:rPr>
    </w:lvl>
    <w:lvl w:ilvl="1" w:tplc="D21874CE">
      <w:start w:val="1"/>
      <w:numFmt w:val="bullet"/>
      <w:lvlText w:val="o"/>
      <w:lvlJc w:val="left"/>
      <w:pPr>
        <w:ind w:left="1440" w:hanging="360"/>
      </w:pPr>
      <w:rPr>
        <w:rFonts w:ascii="Courier New" w:hAnsi="Courier New" w:cs="Courier New" w:hint="default"/>
      </w:rPr>
    </w:lvl>
    <w:lvl w:ilvl="2" w:tplc="90A6C7E6">
      <w:start w:val="1"/>
      <w:numFmt w:val="bullet"/>
      <w:lvlText w:val=""/>
      <w:lvlJc w:val="left"/>
      <w:pPr>
        <w:ind w:left="2160" w:hanging="360"/>
      </w:pPr>
      <w:rPr>
        <w:rFonts w:ascii="Wingdings" w:hAnsi="Wingdings" w:hint="default"/>
      </w:rPr>
    </w:lvl>
    <w:lvl w:ilvl="3" w:tplc="35AA2DD6">
      <w:start w:val="1"/>
      <w:numFmt w:val="bullet"/>
      <w:lvlText w:val=""/>
      <w:lvlJc w:val="left"/>
      <w:pPr>
        <w:ind w:left="2880" w:hanging="360"/>
      </w:pPr>
      <w:rPr>
        <w:rFonts w:ascii="Symbol" w:hAnsi="Symbol" w:hint="default"/>
      </w:rPr>
    </w:lvl>
    <w:lvl w:ilvl="4" w:tplc="DFA45748">
      <w:start w:val="1"/>
      <w:numFmt w:val="bullet"/>
      <w:lvlText w:val="o"/>
      <w:lvlJc w:val="left"/>
      <w:pPr>
        <w:ind w:left="3600" w:hanging="360"/>
      </w:pPr>
      <w:rPr>
        <w:rFonts w:ascii="Courier New" w:hAnsi="Courier New" w:cs="Courier New" w:hint="default"/>
      </w:rPr>
    </w:lvl>
    <w:lvl w:ilvl="5" w:tplc="C6F2DAE2">
      <w:start w:val="1"/>
      <w:numFmt w:val="bullet"/>
      <w:lvlText w:val=""/>
      <w:lvlJc w:val="left"/>
      <w:pPr>
        <w:ind w:left="4320" w:hanging="360"/>
      </w:pPr>
      <w:rPr>
        <w:rFonts w:ascii="Wingdings" w:hAnsi="Wingdings" w:hint="default"/>
      </w:rPr>
    </w:lvl>
    <w:lvl w:ilvl="6" w:tplc="BA447114">
      <w:start w:val="1"/>
      <w:numFmt w:val="bullet"/>
      <w:lvlText w:val=""/>
      <w:lvlJc w:val="left"/>
      <w:pPr>
        <w:ind w:left="5040" w:hanging="360"/>
      </w:pPr>
      <w:rPr>
        <w:rFonts w:ascii="Symbol" w:hAnsi="Symbol" w:hint="default"/>
      </w:rPr>
    </w:lvl>
    <w:lvl w:ilvl="7" w:tplc="6A580FA0">
      <w:start w:val="1"/>
      <w:numFmt w:val="bullet"/>
      <w:lvlText w:val="o"/>
      <w:lvlJc w:val="left"/>
      <w:pPr>
        <w:ind w:left="5760" w:hanging="360"/>
      </w:pPr>
      <w:rPr>
        <w:rFonts w:ascii="Courier New" w:hAnsi="Courier New" w:cs="Courier New" w:hint="default"/>
      </w:rPr>
    </w:lvl>
    <w:lvl w:ilvl="8" w:tplc="EA9042D8">
      <w:start w:val="1"/>
      <w:numFmt w:val="bullet"/>
      <w:lvlText w:val=""/>
      <w:lvlJc w:val="left"/>
      <w:pPr>
        <w:ind w:left="6480" w:hanging="360"/>
      </w:pPr>
      <w:rPr>
        <w:rFonts w:ascii="Wingdings" w:hAnsi="Wingdings" w:hint="default"/>
      </w:rPr>
    </w:lvl>
  </w:abstractNum>
  <w:abstractNum w:abstractNumId="11" w15:restartNumberingAfterBreak="0">
    <w:nsid w:val="0A557A29"/>
    <w:multiLevelType w:val="hybridMultilevel"/>
    <w:tmpl w:val="5A1AF91E"/>
    <w:lvl w:ilvl="0" w:tplc="F400369E">
      <w:start w:val="1"/>
      <w:numFmt w:val="bullet"/>
      <w:lvlText w:val=""/>
      <w:lvlJc w:val="left"/>
      <w:pPr>
        <w:ind w:left="360" w:hanging="360"/>
      </w:pPr>
      <w:rPr>
        <w:rFonts w:ascii="Symbol" w:hAnsi="Symbol" w:hint="default"/>
      </w:rPr>
    </w:lvl>
    <w:lvl w:ilvl="1" w:tplc="C61A8302">
      <w:start w:val="1"/>
      <w:numFmt w:val="bullet"/>
      <w:lvlText w:val="o"/>
      <w:lvlJc w:val="left"/>
      <w:pPr>
        <w:ind w:left="1080" w:hanging="360"/>
      </w:pPr>
      <w:rPr>
        <w:rFonts w:ascii="Courier New" w:hAnsi="Courier New" w:cs="Courier New" w:hint="default"/>
      </w:rPr>
    </w:lvl>
    <w:lvl w:ilvl="2" w:tplc="733EB51C">
      <w:start w:val="1"/>
      <w:numFmt w:val="bullet"/>
      <w:lvlText w:val=""/>
      <w:lvlJc w:val="left"/>
      <w:pPr>
        <w:ind w:left="1800" w:hanging="360"/>
      </w:pPr>
      <w:rPr>
        <w:rFonts w:ascii="Wingdings" w:hAnsi="Wingdings" w:hint="default"/>
      </w:rPr>
    </w:lvl>
    <w:lvl w:ilvl="3" w:tplc="803AC1F4">
      <w:start w:val="1"/>
      <w:numFmt w:val="bullet"/>
      <w:lvlText w:val=""/>
      <w:lvlJc w:val="left"/>
      <w:pPr>
        <w:ind w:left="2520" w:hanging="360"/>
      </w:pPr>
      <w:rPr>
        <w:rFonts w:ascii="Symbol" w:hAnsi="Symbol" w:hint="default"/>
      </w:rPr>
    </w:lvl>
    <w:lvl w:ilvl="4" w:tplc="2FE81D68">
      <w:start w:val="1"/>
      <w:numFmt w:val="bullet"/>
      <w:lvlText w:val="o"/>
      <w:lvlJc w:val="left"/>
      <w:pPr>
        <w:ind w:left="3240" w:hanging="360"/>
      </w:pPr>
      <w:rPr>
        <w:rFonts w:ascii="Courier New" w:hAnsi="Courier New" w:cs="Courier New" w:hint="default"/>
      </w:rPr>
    </w:lvl>
    <w:lvl w:ilvl="5" w:tplc="A3707EFE">
      <w:start w:val="1"/>
      <w:numFmt w:val="bullet"/>
      <w:lvlText w:val=""/>
      <w:lvlJc w:val="left"/>
      <w:pPr>
        <w:ind w:left="3960" w:hanging="360"/>
      </w:pPr>
      <w:rPr>
        <w:rFonts w:ascii="Wingdings" w:hAnsi="Wingdings" w:hint="default"/>
      </w:rPr>
    </w:lvl>
    <w:lvl w:ilvl="6" w:tplc="72A6AF46">
      <w:start w:val="1"/>
      <w:numFmt w:val="bullet"/>
      <w:lvlText w:val=""/>
      <w:lvlJc w:val="left"/>
      <w:pPr>
        <w:ind w:left="4680" w:hanging="360"/>
      </w:pPr>
      <w:rPr>
        <w:rFonts w:ascii="Symbol" w:hAnsi="Symbol" w:hint="default"/>
      </w:rPr>
    </w:lvl>
    <w:lvl w:ilvl="7" w:tplc="BDBA2336">
      <w:start w:val="1"/>
      <w:numFmt w:val="bullet"/>
      <w:lvlText w:val="o"/>
      <w:lvlJc w:val="left"/>
      <w:pPr>
        <w:ind w:left="5400" w:hanging="360"/>
      </w:pPr>
      <w:rPr>
        <w:rFonts w:ascii="Courier New" w:hAnsi="Courier New" w:cs="Courier New" w:hint="default"/>
      </w:rPr>
    </w:lvl>
    <w:lvl w:ilvl="8" w:tplc="32069D58">
      <w:start w:val="1"/>
      <w:numFmt w:val="bullet"/>
      <w:lvlText w:val=""/>
      <w:lvlJc w:val="left"/>
      <w:pPr>
        <w:ind w:left="6120" w:hanging="360"/>
      </w:pPr>
      <w:rPr>
        <w:rFonts w:ascii="Wingdings" w:hAnsi="Wingdings" w:hint="default"/>
      </w:rPr>
    </w:lvl>
  </w:abstractNum>
  <w:abstractNum w:abstractNumId="12" w15:restartNumberingAfterBreak="0">
    <w:nsid w:val="0AD36315"/>
    <w:multiLevelType w:val="multilevel"/>
    <w:tmpl w:val="938A7C9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DC91D19"/>
    <w:multiLevelType w:val="hybridMultilevel"/>
    <w:tmpl w:val="AA18EF34"/>
    <w:lvl w:ilvl="0" w:tplc="18B8B618">
      <w:start w:val="1"/>
      <w:numFmt w:val="bullet"/>
      <w:lvlText w:val=""/>
      <w:lvlJc w:val="left"/>
      <w:pPr>
        <w:ind w:left="1211" w:hanging="360"/>
      </w:pPr>
      <w:rPr>
        <w:rFonts w:ascii="Symbol" w:hAnsi="Symbol" w:hint="default"/>
        <w:color w:val="auto"/>
      </w:rPr>
    </w:lvl>
    <w:lvl w:ilvl="1" w:tplc="3E747AB4">
      <w:start w:val="1"/>
      <w:numFmt w:val="bullet"/>
      <w:lvlText w:val="o"/>
      <w:lvlJc w:val="left"/>
      <w:pPr>
        <w:ind w:left="1440" w:hanging="360"/>
      </w:pPr>
      <w:rPr>
        <w:rFonts w:ascii="Courier New" w:hAnsi="Courier New" w:cs="Courier New" w:hint="default"/>
      </w:rPr>
    </w:lvl>
    <w:lvl w:ilvl="2" w:tplc="D6786FEE">
      <w:start w:val="1"/>
      <w:numFmt w:val="bullet"/>
      <w:lvlText w:val=""/>
      <w:lvlJc w:val="left"/>
      <w:pPr>
        <w:ind w:left="2160" w:hanging="360"/>
      </w:pPr>
      <w:rPr>
        <w:rFonts w:ascii="Wingdings" w:hAnsi="Wingdings" w:hint="default"/>
      </w:rPr>
    </w:lvl>
    <w:lvl w:ilvl="3" w:tplc="995E17C2">
      <w:start w:val="1"/>
      <w:numFmt w:val="bullet"/>
      <w:lvlText w:val=""/>
      <w:lvlJc w:val="left"/>
      <w:pPr>
        <w:ind w:left="2880" w:hanging="360"/>
      </w:pPr>
      <w:rPr>
        <w:rFonts w:ascii="Symbol" w:hAnsi="Symbol" w:hint="default"/>
      </w:rPr>
    </w:lvl>
    <w:lvl w:ilvl="4" w:tplc="EBD027BC">
      <w:start w:val="1"/>
      <w:numFmt w:val="bullet"/>
      <w:lvlText w:val="o"/>
      <w:lvlJc w:val="left"/>
      <w:pPr>
        <w:ind w:left="3600" w:hanging="360"/>
      </w:pPr>
      <w:rPr>
        <w:rFonts w:ascii="Courier New" w:hAnsi="Courier New" w:cs="Courier New" w:hint="default"/>
      </w:rPr>
    </w:lvl>
    <w:lvl w:ilvl="5" w:tplc="B31A75AA">
      <w:start w:val="1"/>
      <w:numFmt w:val="bullet"/>
      <w:lvlText w:val=""/>
      <w:lvlJc w:val="left"/>
      <w:pPr>
        <w:ind w:left="4320" w:hanging="360"/>
      </w:pPr>
      <w:rPr>
        <w:rFonts w:ascii="Wingdings" w:hAnsi="Wingdings" w:hint="default"/>
      </w:rPr>
    </w:lvl>
    <w:lvl w:ilvl="6" w:tplc="5E18367E">
      <w:start w:val="1"/>
      <w:numFmt w:val="bullet"/>
      <w:lvlText w:val=""/>
      <w:lvlJc w:val="left"/>
      <w:pPr>
        <w:ind w:left="5040" w:hanging="360"/>
      </w:pPr>
      <w:rPr>
        <w:rFonts w:ascii="Symbol" w:hAnsi="Symbol" w:hint="default"/>
      </w:rPr>
    </w:lvl>
    <w:lvl w:ilvl="7" w:tplc="F8D0DABC">
      <w:start w:val="1"/>
      <w:numFmt w:val="bullet"/>
      <w:lvlText w:val="o"/>
      <w:lvlJc w:val="left"/>
      <w:pPr>
        <w:ind w:left="5760" w:hanging="360"/>
      </w:pPr>
      <w:rPr>
        <w:rFonts w:ascii="Courier New" w:hAnsi="Courier New" w:cs="Courier New" w:hint="default"/>
      </w:rPr>
    </w:lvl>
    <w:lvl w:ilvl="8" w:tplc="E8E09D1C">
      <w:start w:val="1"/>
      <w:numFmt w:val="bullet"/>
      <w:lvlText w:val=""/>
      <w:lvlJc w:val="left"/>
      <w:pPr>
        <w:ind w:left="6480" w:hanging="360"/>
      </w:pPr>
      <w:rPr>
        <w:rFonts w:ascii="Wingdings" w:hAnsi="Wingdings" w:hint="default"/>
      </w:rPr>
    </w:lvl>
  </w:abstractNum>
  <w:abstractNum w:abstractNumId="14" w15:restartNumberingAfterBreak="0">
    <w:nsid w:val="0E225CF2"/>
    <w:multiLevelType w:val="hybridMultilevel"/>
    <w:tmpl w:val="06BA79CE"/>
    <w:lvl w:ilvl="0" w:tplc="5EA073C4">
      <w:start w:val="1"/>
      <w:numFmt w:val="lowerLetter"/>
      <w:lvlText w:val="(%1)"/>
      <w:lvlJc w:val="left"/>
      <w:pPr>
        <w:ind w:left="720" w:hanging="360"/>
      </w:pPr>
      <w:rPr>
        <w:rFonts w:ascii="Book Antiqua" w:hAnsi="Book Antiqua" w:hint="default"/>
        <w:sz w:val="20"/>
        <w:szCs w:val="20"/>
      </w:rPr>
    </w:lvl>
    <w:lvl w:ilvl="1" w:tplc="C63EC444" w:tentative="1">
      <w:start w:val="1"/>
      <w:numFmt w:val="lowerLetter"/>
      <w:lvlText w:val="%2."/>
      <w:lvlJc w:val="left"/>
      <w:pPr>
        <w:ind w:left="1440" w:hanging="360"/>
      </w:pPr>
    </w:lvl>
    <w:lvl w:ilvl="2" w:tplc="F612D292" w:tentative="1">
      <w:start w:val="1"/>
      <w:numFmt w:val="lowerRoman"/>
      <w:lvlText w:val="%3."/>
      <w:lvlJc w:val="right"/>
      <w:pPr>
        <w:ind w:left="2160" w:hanging="180"/>
      </w:pPr>
    </w:lvl>
    <w:lvl w:ilvl="3" w:tplc="B86C74BE" w:tentative="1">
      <w:start w:val="1"/>
      <w:numFmt w:val="decimal"/>
      <w:lvlText w:val="%4."/>
      <w:lvlJc w:val="left"/>
      <w:pPr>
        <w:ind w:left="2880" w:hanging="360"/>
      </w:pPr>
    </w:lvl>
    <w:lvl w:ilvl="4" w:tplc="236E764C" w:tentative="1">
      <w:start w:val="1"/>
      <w:numFmt w:val="lowerLetter"/>
      <w:lvlText w:val="%5."/>
      <w:lvlJc w:val="left"/>
      <w:pPr>
        <w:ind w:left="3600" w:hanging="360"/>
      </w:pPr>
    </w:lvl>
    <w:lvl w:ilvl="5" w:tplc="C8F84764" w:tentative="1">
      <w:start w:val="1"/>
      <w:numFmt w:val="lowerRoman"/>
      <w:lvlText w:val="%6."/>
      <w:lvlJc w:val="right"/>
      <w:pPr>
        <w:ind w:left="4320" w:hanging="180"/>
      </w:pPr>
    </w:lvl>
    <w:lvl w:ilvl="6" w:tplc="52E216EE" w:tentative="1">
      <w:start w:val="1"/>
      <w:numFmt w:val="decimal"/>
      <w:lvlText w:val="%7."/>
      <w:lvlJc w:val="left"/>
      <w:pPr>
        <w:ind w:left="5040" w:hanging="360"/>
      </w:pPr>
    </w:lvl>
    <w:lvl w:ilvl="7" w:tplc="EA10FFE2" w:tentative="1">
      <w:start w:val="1"/>
      <w:numFmt w:val="lowerLetter"/>
      <w:lvlText w:val="%8."/>
      <w:lvlJc w:val="left"/>
      <w:pPr>
        <w:ind w:left="5760" w:hanging="360"/>
      </w:pPr>
    </w:lvl>
    <w:lvl w:ilvl="8" w:tplc="16A05D10" w:tentative="1">
      <w:start w:val="1"/>
      <w:numFmt w:val="lowerRoman"/>
      <w:lvlText w:val="%9."/>
      <w:lvlJc w:val="right"/>
      <w:pPr>
        <w:ind w:left="6480" w:hanging="180"/>
      </w:pPr>
    </w:lvl>
  </w:abstractNum>
  <w:abstractNum w:abstractNumId="15" w15:restartNumberingAfterBreak="0">
    <w:nsid w:val="0EC96647"/>
    <w:multiLevelType w:val="hybridMultilevel"/>
    <w:tmpl w:val="23D27B5E"/>
    <w:lvl w:ilvl="0" w:tplc="04020E76">
      <w:start w:val="1"/>
      <w:numFmt w:val="lowerLetter"/>
      <w:lvlText w:val="(%1)"/>
      <w:lvlJc w:val="left"/>
      <w:pPr>
        <w:ind w:left="360" w:hanging="360"/>
      </w:pPr>
      <w:rPr>
        <w:rFonts w:ascii="Arial" w:hAnsi="Arial" w:cs="Arial" w:hint="default"/>
        <w:sz w:val="16"/>
        <w:szCs w:val="16"/>
      </w:rPr>
    </w:lvl>
    <w:lvl w:ilvl="1" w:tplc="1B5C07F0" w:tentative="1">
      <w:start w:val="1"/>
      <w:numFmt w:val="lowerLetter"/>
      <w:lvlText w:val="%2."/>
      <w:lvlJc w:val="left"/>
      <w:pPr>
        <w:ind w:left="1080" w:hanging="360"/>
      </w:pPr>
    </w:lvl>
    <w:lvl w:ilvl="2" w:tplc="BCDA884C" w:tentative="1">
      <w:start w:val="1"/>
      <w:numFmt w:val="lowerRoman"/>
      <w:lvlText w:val="%3."/>
      <w:lvlJc w:val="right"/>
      <w:pPr>
        <w:ind w:left="1800" w:hanging="180"/>
      </w:pPr>
    </w:lvl>
    <w:lvl w:ilvl="3" w:tplc="501CB338" w:tentative="1">
      <w:start w:val="1"/>
      <w:numFmt w:val="decimal"/>
      <w:lvlText w:val="%4."/>
      <w:lvlJc w:val="left"/>
      <w:pPr>
        <w:ind w:left="2520" w:hanging="360"/>
      </w:pPr>
    </w:lvl>
    <w:lvl w:ilvl="4" w:tplc="F1E6A776" w:tentative="1">
      <w:start w:val="1"/>
      <w:numFmt w:val="lowerLetter"/>
      <w:lvlText w:val="%5."/>
      <w:lvlJc w:val="left"/>
      <w:pPr>
        <w:ind w:left="3240" w:hanging="360"/>
      </w:pPr>
    </w:lvl>
    <w:lvl w:ilvl="5" w:tplc="C8C4A89A" w:tentative="1">
      <w:start w:val="1"/>
      <w:numFmt w:val="lowerRoman"/>
      <w:lvlText w:val="%6."/>
      <w:lvlJc w:val="right"/>
      <w:pPr>
        <w:ind w:left="3960" w:hanging="180"/>
      </w:pPr>
    </w:lvl>
    <w:lvl w:ilvl="6" w:tplc="88C2E54E" w:tentative="1">
      <w:start w:val="1"/>
      <w:numFmt w:val="decimal"/>
      <w:lvlText w:val="%7."/>
      <w:lvlJc w:val="left"/>
      <w:pPr>
        <w:ind w:left="4680" w:hanging="360"/>
      </w:pPr>
    </w:lvl>
    <w:lvl w:ilvl="7" w:tplc="8CECC46A" w:tentative="1">
      <w:start w:val="1"/>
      <w:numFmt w:val="lowerLetter"/>
      <w:lvlText w:val="%8."/>
      <w:lvlJc w:val="left"/>
      <w:pPr>
        <w:ind w:left="5400" w:hanging="360"/>
      </w:pPr>
    </w:lvl>
    <w:lvl w:ilvl="8" w:tplc="A81E2AA0" w:tentative="1">
      <w:start w:val="1"/>
      <w:numFmt w:val="lowerRoman"/>
      <w:lvlText w:val="%9."/>
      <w:lvlJc w:val="right"/>
      <w:pPr>
        <w:ind w:left="6120" w:hanging="180"/>
      </w:pPr>
    </w:lvl>
  </w:abstractNum>
  <w:abstractNum w:abstractNumId="16" w15:restartNumberingAfterBreak="0">
    <w:nsid w:val="0F9D2638"/>
    <w:multiLevelType w:val="hybridMultilevel"/>
    <w:tmpl w:val="DD3268EE"/>
    <w:lvl w:ilvl="0" w:tplc="EC1C7CBE">
      <w:start w:val="1"/>
      <w:numFmt w:val="bullet"/>
      <w:lvlText w:val=""/>
      <w:lvlJc w:val="left"/>
      <w:pPr>
        <w:ind w:left="360" w:hanging="360"/>
      </w:pPr>
      <w:rPr>
        <w:rFonts w:ascii="Symbol" w:hAnsi="Symbol" w:hint="default"/>
      </w:rPr>
    </w:lvl>
    <w:lvl w:ilvl="1" w:tplc="2B8C02D6">
      <w:start w:val="1"/>
      <w:numFmt w:val="bullet"/>
      <w:lvlText w:val="o"/>
      <w:lvlJc w:val="left"/>
      <w:pPr>
        <w:ind w:left="1080" w:hanging="360"/>
      </w:pPr>
      <w:rPr>
        <w:rFonts w:ascii="Courier New" w:hAnsi="Courier New" w:cs="Courier New" w:hint="default"/>
      </w:rPr>
    </w:lvl>
    <w:lvl w:ilvl="2" w:tplc="3362A1C8">
      <w:start w:val="1"/>
      <w:numFmt w:val="bullet"/>
      <w:lvlText w:val=""/>
      <w:lvlJc w:val="left"/>
      <w:pPr>
        <w:ind w:left="1800" w:hanging="360"/>
      </w:pPr>
      <w:rPr>
        <w:rFonts w:ascii="Wingdings" w:hAnsi="Wingdings" w:hint="default"/>
      </w:rPr>
    </w:lvl>
    <w:lvl w:ilvl="3" w:tplc="EF74D2A0">
      <w:start w:val="1"/>
      <w:numFmt w:val="bullet"/>
      <w:lvlText w:val=""/>
      <w:lvlJc w:val="left"/>
      <w:pPr>
        <w:ind w:left="2520" w:hanging="360"/>
      </w:pPr>
      <w:rPr>
        <w:rFonts w:ascii="Symbol" w:hAnsi="Symbol" w:hint="default"/>
      </w:rPr>
    </w:lvl>
    <w:lvl w:ilvl="4" w:tplc="F4FE676E">
      <w:start w:val="1"/>
      <w:numFmt w:val="bullet"/>
      <w:lvlText w:val="o"/>
      <w:lvlJc w:val="left"/>
      <w:pPr>
        <w:ind w:left="3240" w:hanging="360"/>
      </w:pPr>
      <w:rPr>
        <w:rFonts w:ascii="Courier New" w:hAnsi="Courier New" w:cs="Courier New" w:hint="default"/>
      </w:rPr>
    </w:lvl>
    <w:lvl w:ilvl="5" w:tplc="44221D7E">
      <w:start w:val="1"/>
      <w:numFmt w:val="bullet"/>
      <w:lvlText w:val=""/>
      <w:lvlJc w:val="left"/>
      <w:pPr>
        <w:ind w:left="3960" w:hanging="360"/>
      </w:pPr>
      <w:rPr>
        <w:rFonts w:ascii="Wingdings" w:hAnsi="Wingdings" w:hint="default"/>
      </w:rPr>
    </w:lvl>
    <w:lvl w:ilvl="6" w:tplc="DE6459A2">
      <w:start w:val="1"/>
      <w:numFmt w:val="bullet"/>
      <w:lvlText w:val=""/>
      <w:lvlJc w:val="left"/>
      <w:pPr>
        <w:ind w:left="4680" w:hanging="360"/>
      </w:pPr>
      <w:rPr>
        <w:rFonts w:ascii="Symbol" w:hAnsi="Symbol" w:hint="default"/>
      </w:rPr>
    </w:lvl>
    <w:lvl w:ilvl="7" w:tplc="F5F2D496">
      <w:start w:val="1"/>
      <w:numFmt w:val="bullet"/>
      <w:lvlText w:val="o"/>
      <w:lvlJc w:val="left"/>
      <w:pPr>
        <w:ind w:left="5400" w:hanging="360"/>
      </w:pPr>
      <w:rPr>
        <w:rFonts w:ascii="Courier New" w:hAnsi="Courier New" w:cs="Courier New" w:hint="default"/>
      </w:rPr>
    </w:lvl>
    <w:lvl w:ilvl="8" w:tplc="FC829082">
      <w:start w:val="1"/>
      <w:numFmt w:val="bullet"/>
      <w:lvlText w:val=""/>
      <w:lvlJc w:val="left"/>
      <w:pPr>
        <w:ind w:left="6120" w:hanging="360"/>
      </w:pPr>
      <w:rPr>
        <w:rFonts w:ascii="Wingdings" w:hAnsi="Wingdings" w:hint="default"/>
      </w:rPr>
    </w:lvl>
  </w:abstractNum>
  <w:abstractNum w:abstractNumId="17" w15:restartNumberingAfterBreak="0">
    <w:nsid w:val="0FA5680C"/>
    <w:multiLevelType w:val="hybridMultilevel"/>
    <w:tmpl w:val="F58E050E"/>
    <w:lvl w:ilvl="0" w:tplc="E174A846">
      <w:start w:val="1"/>
      <w:numFmt w:val="lowerLetter"/>
      <w:lvlText w:val="(%1)"/>
      <w:lvlJc w:val="left"/>
      <w:pPr>
        <w:ind w:left="720" w:hanging="360"/>
      </w:pPr>
      <w:rPr>
        <w:rFonts w:hint="default"/>
      </w:rPr>
    </w:lvl>
    <w:lvl w:ilvl="1" w:tplc="3426EA4C" w:tentative="1">
      <w:start w:val="1"/>
      <w:numFmt w:val="lowerLetter"/>
      <w:lvlText w:val="%2."/>
      <w:lvlJc w:val="left"/>
      <w:pPr>
        <w:ind w:left="1440" w:hanging="360"/>
      </w:pPr>
    </w:lvl>
    <w:lvl w:ilvl="2" w:tplc="24D6849A" w:tentative="1">
      <w:start w:val="1"/>
      <w:numFmt w:val="lowerRoman"/>
      <w:lvlText w:val="%3."/>
      <w:lvlJc w:val="right"/>
      <w:pPr>
        <w:ind w:left="2160" w:hanging="180"/>
      </w:pPr>
    </w:lvl>
    <w:lvl w:ilvl="3" w:tplc="9FF8547A" w:tentative="1">
      <w:start w:val="1"/>
      <w:numFmt w:val="decimal"/>
      <w:lvlText w:val="%4."/>
      <w:lvlJc w:val="left"/>
      <w:pPr>
        <w:ind w:left="2880" w:hanging="360"/>
      </w:pPr>
    </w:lvl>
    <w:lvl w:ilvl="4" w:tplc="629C99EA" w:tentative="1">
      <w:start w:val="1"/>
      <w:numFmt w:val="lowerLetter"/>
      <w:lvlText w:val="%5."/>
      <w:lvlJc w:val="left"/>
      <w:pPr>
        <w:ind w:left="3600" w:hanging="360"/>
      </w:pPr>
    </w:lvl>
    <w:lvl w:ilvl="5" w:tplc="228E179A" w:tentative="1">
      <w:start w:val="1"/>
      <w:numFmt w:val="lowerRoman"/>
      <w:lvlText w:val="%6."/>
      <w:lvlJc w:val="right"/>
      <w:pPr>
        <w:ind w:left="4320" w:hanging="180"/>
      </w:pPr>
    </w:lvl>
    <w:lvl w:ilvl="6" w:tplc="DE9A38F4" w:tentative="1">
      <w:start w:val="1"/>
      <w:numFmt w:val="decimal"/>
      <w:lvlText w:val="%7."/>
      <w:lvlJc w:val="left"/>
      <w:pPr>
        <w:ind w:left="5040" w:hanging="360"/>
      </w:pPr>
    </w:lvl>
    <w:lvl w:ilvl="7" w:tplc="7A0CB9CA" w:tentative="1">
      <w:start w:val="1"/>
      <w:numFmt w:val="lowerLetter"/>
      <w:lvlText w:val="%8."/>
      <w:lvlJc w:val="left"/>
      <w:pPr>
        <w:ind w:left="5760" w:hanging="360"/>
      </w:pPr>
    </w:lvl>
    <w:lvl w:ilvl="8" w:tplc="F3B0686A" w:tentative="1">
      <w:start w:val="1"/>
      <w:numFmt w:val="lowerRoman"/>
      <w:lvlText w:val="%9."/>
      <w:lvlJc w:val="right"/>
      <w:pPr>
        <w:ind w:left="6480" w:hanging="180"/>
      </w:pPr>
    </w:lvl>
  </w:abstractNum>
  <w:abstractNum w:abstractNumId="18" w15:restartNumberingAfterBreak="0">
    <w:nsid w:val="13E53B10"/>
    <w:multiLevelType w:val="hybridMultilevel"/>
    <w:tmpl w:val="C9F20640"/>
    <w:lvl w:ilvl="0" w:tplc="F738E8D2">
      <w:start w:val="1"/>
      <w:numFmt w:val="lowerLetter"/>
      <w:lvlText w:val="(%1)"/>
      <w:lvlJc w:val="left"/>
      <w:pPr>
        <w:ind w:left="360" w:hanging="360"/>
      </w:pPr>
    </w:lvl>
    <w:lvl w:ilvl="1" w:tplc="3CD8ACC0">
      <w:start w:val="1"/>
      <w:numFmt w:val="lowerLetter"/>
      <w:lvlText w:val="%2."/>
      <w:lvlJc w:val="left"/>
      <w:pPr>
        <w:ind w:left="1080" w:hanging="360"/>
      </w:pPr>
    </w:lvl>
    <w:lvl w:ilvl="2" w:tplc="E13AF5A4">
      <w:start w:val="1"/>
      <w:numFmt w:val="lowerRoman"/>
      <w:lvlText w:val="%3."/>
      <w:lvlJc w:val="right"/>
      <w:pPr>
        <w:ind w:left="1800" w:hanging="180"/>
      </w:pPr>
    </w:lvl>
    <w:lvl w:ilvl="3" w:tplc="253A89CE">
      <w:start w:val="1"/>
      <w:numFmt w:val="decimal"/>
      <w:lvlText w:val="%4."/>
      <w:lvlJc w:val="left"/>
      <w:pPr>
        <w:ind w:left="2520" w:hanging="360"/>
      </w:pPr>
    </w:lvl>
    <w:lvl w:ilvl="4" w:tplc="4A02925A">
      <w:start w:val="1"/>
      <w:numFmt w:val="lowerLetter"/>
      <w:lvlText w:val="%5."/>
      <w:lvlJc w:val="left"/>
      <w:pPr>
        <w:ind w:left="3240" w:hanging="360"/>
      </w:pPr>
    </w:lvl>
    <w:lvl w:ilvl="5" w:tplc="348A185C">
      <w:start w:val="1"/>
      <w:numFmt w:val="lowerRoman"/>
      <w:lvlText w:val="%6."/>
      <w:lvlJc w:val="right"/>
      <w:pPr>
        <w:ind w:left="3960" w:hanging="180"/>
      </w:pPr>
    </w:lvl>
    <w:lvl w:ilvl="6" w:tplc="E5F2F888">
      <w:start w:val="1"/>
      <w:numFmt w:val="decimal"/>
      <w:lvlText w:val="%7."/>
      <w:lvlJc w:val="left"/>
      <w:pPr>
        <w:ind w:left="4680" w:hanging="360"/>
      </w:pPr>
    </w:lvl>
    <w:lvl w:ilvl="7" w:tplc="3FB8FBFE">
      <w:start w:val="1"/>
      <w:numFmt w:val="lowerLetter"/>
      <w:lvlText w:val="%8."/>
      <w:lvlJc w:val="left"/>
      <w:pPr>
        <w:ind w:left="5400" w:hanging="360"/>
      </w:pPr>
    </w:lvl>
    <w:lvl w:ilvl="8" w:tplc="CEBC894C">
      <w:start w:val="1"/>
      <w:numFmt w:val="lowerRoman"/>
      <w:lvlText w:val="%9."/>
      <w:lvlJc w:val="right"/>
      <w:pPr>
        <w:ind w:left="6120" w:hanging="180"/>
      </w:pPr>
    </w:lvl>
  </w:abstractNum>
  <w:abstractNum w:abstractNumId="19" w15:restartNumberingAfterBreak="0">
    <w:nsid w:val="145410C1"/>
    <w:multiLevelType w:val="hybridMultilevel"/>
    <w:tmpl w:val="CC3CC3F0"/>
    <w:lvl w:ilvl="0" w:tplc="EE945C9E">
      <w:start w:val="1"/>
      <w:numFmt w:val="bullet"/>
      <w:lvlText w:val=""/>
      <w:lvlJc w:val="left"/>
      <w:pPr>
        <w:ind w:left="720" w:hanging="360"/>
      </w:pPr>
      <w:rPr>
        <w:rFonts w:ascii="Symbol" w:hAnsi="Symbol" w:hint="default"/>
      </w:rPr>
    </w:lvl>
    <w:lvl w:ilvl="1" w:tplc="7438E710" w:tentative="1">
      <w:start w:val="1"/>
      <w:numFmt w:val="bullet"/>
      <w:lvlText w:val="o"/>
      <w:lvlJc w:val="left"/>
      <w:pPr>
        <w:ind w:left="1440" w:hanging="360"/>
      </w:pPr>
      <w:rPr>
        <w:rFonts w:ascii="Courier New" w:hAnsi="Courier New" w:cs="Courier New" w:hint="default"/>
      </w:rPr>
    </w:lvl>
    <w:lvl w:ilvl="2" w:tplc="D53E56B4" w:tentative="1">
      <w:start w:val="1"/>
      <w:numFmt w:val="bullet"/>
      <w:lvlText w:val=""/>
      <w:lvlJc w:val="left"/>
      <w:pPr>
        <w:ind w:left="2160" w:hanging="360"/>
      </w:pPr>
      <w:rPr>
        <w:rFonts w:ascii="Wingdings" w:hAnsi="Wingdings" w:hint="default"/>
      </w:rPr>
    </w:lvl>
    <w:lvl w:ilvl="3" w:tplc="8C342282" w:tentative="1">
      <w:start w:val="1"/>
      <w:numFmt w:val="bullet"/>
      <w:lvlText w:val=""/>
      <w:lvlJc w:val="left"/>
      <w:pPr>
        <w:ind w:left="2880" w:hanging="360"/>
      </w:pPr>
      <w:rPr>
        <w:rFonts w:ascii="Symbol" w:hAnsi="Symbol" w:hint="default"/>
      </w:rPr>
    </w:lvl>
    <w:lvl w:ilvl="4" w:tplc="347CC4AC" w:tentative="1">
      <w:start w:val="1"/>
      <w:numFmt w:val="bullet"/>
      <w:lvlText w:val="o"/>
      <w:lvlJc w:val="left"/>
      <w:pPr>
        <w:ind w:left="3600" w:hanging="360"/>
      </w:pPr>
      <w:rPr>
        <w:rFonts w:ascii="Courier New" w:hAnsi="Courier New" w:cs="Courier New" w:hint="default"/>
      </w:rPr>
    </w:lvl>
    <w:lvl w:ilvl="5" w:tplc="B3CABF6A" w:tentative="1">
      <w:start w:val="1"/>
      <w:numFmt w:val="bullet"/>
      <w:lvlText w:val=""/>
      <w:lvlJc w:val="left"/>
      <w:pPr>
        <w:ind w:left="4320" w:hanging="360"/>
      </w:pPr>
      <w:rPr>
        <w:rFonts w:ascii="Wingdings" w:hAnsi="Wingdings" w:hint="default"/>
      </w:rPr>
    </w:lvl>
    <w:lvl w:ilvl="6" w:tplc="B548234C" w:tentative="1">
      <w:start w:val="1"/>
      <w:numFmt w:val="bullet"/>
      <w:lvlText w:val=""/>
      <w:lvlJc w:val="left"/>
      <w:pPr>
        <w:ind w:left="5040" w:hanging="360"/>
      </w:pPr>
      <w:rPr>
        <w:rFonts w:ascii="Symbol" w:hAnsi="Symbol" w:hint="default"/>
      </w:rPr>
    </w:lvl>
    <w:lvl w:ilvl="7" w:tplc="8918C040" w:tentative="1">
      <w:start w:val="1"/>
      <w:numFmt w:val="bullet"/>
      <w:lvlText w:val="o"/>
      <w:lvlJc w:val="left"/>
      <w:pPr>
        <w:ind w:left="5760" w:hanging="360"/>
      </w:pPr>
      <w:rPr>
        <w:rFonts w:ascii="Courier New" w:hAnsi="Courier New" w:cs="Courier New" w:hint="default"/>
      </w:rPr>
    </w:lvl>
    <w:lvl w:ilvl="8" w:tplc="FEE432CE" w:tentative="1">
      <w:start w:val="1"/>
      <w:numFmt w:val="bullet"/>
      <w:lvlText w:val=""/>
      <w:lvlJc w:val="left"/>
      <w:pPr>
        <w:ind w:left="6480" w:hanging="360"/>
      </w:pPr>
      <w:rPr>
        <w:rFonts w:ascii="Wingdings" w:hAnsi="Wingdings" w:hint="default"/>
      </w:rPr>
    </w:lvl>
  </w:abstractNum>
  <w:abstractNum w:abstractNumId="20" w15:restartNumberingAfterBreak="0">
    <w:nsid w:val="14C577E8"/>
    <w:multiLevelType w:val="hybridMultilevel"/>
    <w:tmpl w:val="BB10EAC4"/>
    <w:lvl w:ilvl="0" w:tplc="0BD43592">
      <w:start w:val="1"/>
      <w:numFmt w:val="bullet"/>
      <w:lvlText w:val=""/>
      <w:lvlJc w:val="left"/>
      <w:pPr>
        <w:ind w:left="720" w:hanging="360"/>
      </w:pPr>
      <w:rPr>
        <w:rFonts w:ascii="Symbol" w:hAnsi="Symbol" w:hint="default"/>
      </w:rPr>
    </w:lvl>
    <w:lvl w:ilvl="1" w:tplc="98AC9B22">
      <w:start w:val="1"/>
      <w:numFmt w:val="bullet"/>
      <w:lvlText w:val="o"/>
      <w:lvlJc w:val="left"/>
      <w:pPr>
        <w:ind w:left="1440" w:hanging="360"/>
      </w:pPr>
      <w:rPr>
        <w:rFonts w:ascii="Courier New" w:hAnsi="Courier New" w:cs="Courier New" w:hint="default"/>
      </w:rPr>
    </w:lvl>
    <w:lvl w:ilvl="2" w:tplc="FA3EE162">
      <w:start w:val="1"/>
      <w:numFmt w:val="bullet"/>
      <w:lvlText w:val=""/>
      <w:lvlJc w:val="left"/>
      <w:pPr>
        <w:ind w:left="2160" w:hanging="360"/>
      </w:pPr>
      <w:rPr>
        <w:rFonts w:ascii="Wingdings" w:hAnsi="Wingdings" w:hint="default"/>
      </w:rPr>
    </w:lvl>
    <w:lvl w:ilvl="3" w:tplc="F964F806">
      <w:start w:val="1"/>
      <w:numFmt w:val="bullet"/>
      <w:lvlText w:val=""/>
      <w:lvlJc w:val="left"/>
      <w:pPr>
        <w:ind w:left="2880" w:hanging="360"/>
      </w:pPr>
      <w:rPr>
        <w:rFonts w:ascii="Symbol" w:hAnsi="Symbol" w:hint="default"/>
      </w:rPr>
    </w:lvl>
    <w:lvl w:ilvl="4" w:tplc="8CF875C2">
      <w:start w:val="1"/>
      <w:numFmt w:val="bullet"/>
      <w:lvlText w:val="o"/>
      <w:lvlJc w:val="left"/>
      <w:pPr>
        <w:ind w:left="3600" w:hanging="360"/>
      </w:pPr>
      <w:rPr>
        <w:rFonts w:ascii="Courier New" w:hAnsi="Courier New" w:cs="Courier New" w:hint="default"/>
      </w:rPr>
    </w:lvl>
    <w:lvl w:ilvl="5" w:tplc="08701228">
      <w:start w:val="1"/>
      <w:numFmt w:val="bullet"/>
      <w:lvlText w:val=""/>
      <w:lvlJc w:val="left"/>
      <w:pPr>
        <w:ind w:left="4320" w:hanging="360"/>
      </w:pPr>
      <w:rPr>
        <w:rFonts w:ascii="Wingdings" w:hAnsi="Wingdings" w:hint="default"/>
      </w:rPr>
    </w:lvl>
    <w:lvl w:ilvl="6" w:tplc="DD9E85EE">
      <w:start w:val="1"/>
      <w:numFmt w:val="bullet"/>
      <w:lvlText w:val=""/>
      <w:lvlJc w:val="left"/>
      <w:pPr>
        <w:ind w:left="5040" w:hanging="360"/>
      </w:pPr>
      <w:rPr>
        <w:rFonts w:ascii="Symbol" w:hAnsi="Symbol" w:hint="default"/>
      </w:rPr>
    </w:lvl>
    <w:lvl w:ilvl="7" w:tplc="8BFA8122">
      <w:start w:val="1"/>
      <w:numFmt w:val="bullet"/>
      <w:lvlText w:val="o"/>
      <w:lvlJc w:val="left"/>
      <w:pPr>
        <w:ind w:left="5760" w:hanging="360"/>
      </w:pPr>
      <w:rPr>
        <w:rFonts w:ascii="Courier New" w:hAnsi="Courier New" w:cs="Courier New" w:hint="default"/>
      </w:rPr>
    </w:lvl>
    <w:lvl w:ilvl="8" w:tplc="8B828840">
      <w:start w:val="1"/>
      <w:numFmt w:val="bullet"/>
      <w:lvlText w:val=""/>
      <w:lvlJc w:val="left"/>
      <w:pPr>
        <w:ind w:left="6480" w:hanging="360"/>
      </w:pPr>
      <w:rPr>
        <w:rFonts w:ascii="Wingdings" w:hAnsi="Wingdings" w:hint="default"/>
      </w:rPr>
    </w:lvl>
  </w:abstractNum>
  <w:abstractNum w:abstractNumId="21" w15:restartNumberingAfterBreak="0">
    <w:nsid w:val="18CB4F96"/>
    <w:multiLevelType w:val="hybridMultilevel"/>
    <w:tmpl w:val="DBE81772"/>
    <w:lvl w:ilvl="0" w:tplc="2E18DDE6">
      <w:start w:val="1"/>
      <w:numFmt w:val="bullet"/>
      <w:lvlText w:val=""/>
      <w:lvlJc w:val="left"/>
      <w:pPr>
        <w:ind w:left="720" w:hanging="360"/>
      </w:pPr>
      <w:rPr>
        <w:rFonts w:ascii="Symbol" w:hAnsi="Symbol" w:hint="default"/>
        <w:color w:val="auto"/>
      </w:rPr>
    </w:lvl>
    <w:lvl w:ilvl="1" w:tplc="81949280">
      <w:start w:val="1"/>
      <w:numFmt w:val="bullet"/>
      <w:lvlText w:val="o"/>
      <w:lvlJc w:val="left"/>
      <w:pPr>
        <w:ind w:left="1440" w:hanging="360"/>
      </w:pPr>
      <w:rPr>
        <w:rFonts w:ascii="Courier New" w:hAnsi="Courier New" w:cs="Courier New" w:hint="default"/>
      </w:rPr>
    </w:lvl>
    <w:lvl w:ilvl="2" w:tplc="9EC6C316">
      <w:start w:val="1"/>
      <w:numFmt w:val="bullet"/>
      <w:lvlText w:val=""/>
      <w:lvlJc w:val="left"/>
      <w:pPr>
        <w:ind w:left="2160" w:hanging="360"/>
      </w:pPr>
      <w:rPr>
        <w:rFonts w:ascii="Wingdings" w:hAnsi="Wingdings" w:hint="default"/>
      </w:rPr>
    </w:lvl>
    <w:lvl w:ilvl="3" w:tplc="A476ED32">
      <w:start w:val="1"/>
      <w:numFmt w:val="bullet"/>
      <w:lvlText w:val=""/>
      <w:lvlJc w:val="left"/>
      <w:pPr>
        <w:ind w:left="2880" w:hanging="360"/>
      </w:pPr>
      <w:rPr>
        <w:rFonts w:ascii="Symbol" w:hAnsi="Symbol" w:hint="default"/>
      </w:rPr>
    </w:lvl>
    <w:lvl w:ilvl="4" w:tplc="4F68A94C">
      <w:start w:val="1"/>
      <w:numFmt w:val="bullet"/>
      <w:lvlText w:val="o"/>
      <w:lvlJc w:val="left"/>
      <w:pPr>
        <w:ind w:left="3600" w:hanging="360"/>
      </w:pPr>
      <w:rPr>
        <w:rFonts w:ascii="Courier New" w:hAnsi="Courier New" w:cs="Courier New" w:hint="default"/>
      </w:rPr>
    </w:lvl>
    <w:lvl w:ilvl="5" w:tplc="5742108C">
      <w:start w:val="1"/>
      <w:numFmt w:val="bullet"/>
      <w:lvlText w:val=""/>
      <w:lvlJc w:val="left"/>
      <w:pPr>
        <w:ind w:left="4320" w:hanging="360"/>
      </w:pPr>
      <w:rPr>
        <w:rFonts w:ascii="Wingdings" w:hAnsi="Wingdings" w:hint="default"/>
      </w:rPr>
    </w:lvl>
    <w:lvl w:ilvl="6" w:tplc="3A706674">
      <w:start w:val="1"/>
      <w:numFmt w:val="bullet"/>
      <w:lvlText w:val=""/>
      <w:lvlJc w:val="left"/>
      <w:pPr>
        <w:ind w:left="5040" w:hanging="360"/>
      </w:pPr>
      <w:rPr>
        <w:rFonts w:ascii="Symbol" w:hAnsi="Symbol" w:hint="default"/>
      </w:rPr>
    </w:lvl>
    <w:lvl w:ilvl="7" w:tplc="EC4CA24A">
      <w:start w:val="1"/>
      <w:numFmt w:val="bullet"/>
      <w:lvlText w:val="o"/>
      <w:lvlJc w:val="left"/>
      <w:pPr>
        <w:ind w:left="5760" w:hanging="360"/>
      </w:pPr>
      <w:rPr>
        <w:rFonts w:ascii="Courier New" w:hAnsi="Courier New" w:cs="Courier New" w:hint="default"/>
      </w:rPr>
    </w:lvl>
    <w:lvl w:ilvl="8" w:tplc="74DC9776">
      <w:start w:val="1"/>
      <w:numFmt w:val="bullet"/>
      <w:lvlText w:val=""/>
      <w:lvlJc w:val="left"/>
      <w:pPr>
        <w:ind w:left="6480" w:hanging="360"/>
      </w:pPr>
      <w:rPr>
        <w:rFonts w:ascii="Wingdings" w:hAnsi="Wingdings" w:hint="default"/>
      </w:rPr>
    </w:lvl>
  </w:abstractNum>
  <w:abstractNum w:abstractNumId="22" w15:restartNumberingAfterBreak="0">
    <w:nsid w:val="1920F7B0"/>
    <w:multiLevelType w:val="hybridMultilevel"/>
    <w:tmpl w:val="AA18EF34"/>
    <w:lvl w:ilvl="0" w:tplc="B33455D4">
      <w:start w:val="1"/>
      <w:numFmt w:val="bullet"/>
      <w:lvlText w:val=""/>
      <w:lvlJc w:val="left"/>
      <w:pPr>
        <w:ind w:left="1211" w:hanging="360"/>
      </w:pPr>
      <w:rPr>
        <w:rFonts w:ascii="Symbol" w:hAnsi="Symbol" w:hint="default"/>
        <w:color w:val="auto"/>
      </w:rPr>
    </w:lvl>
    <w:lvl w:ilvl="1" w:tplc="27EA9D8E">
      <w:start w:val="1"/>
      <w:numFmt w:val="bullet"/>
      <w:lvlText w:val="o"/>
      <w:lvlJc w:val="left"/>
      <w:pPr>
        <w:ind w:left="1440" w:hanging="360"/>
      </w:pPr>
      <w:rPr>
        <w:rFonts w:ascii="Courier New" w:hAnsi="Courier New" w:cs="Courier New" w:hint="default"/>
      </w:rPr>
    </w:lvl>
    <w:lvl w:ilvl="2" w:tplc="F2623D6C">
      <w:start w:val="1"/>
      <w:numFmt w:val="bullet"/>
      <w:lvlText w:val=""/>
      <w:lvlJc w:val="left"/>
      <w:pPr>
        <w:ind w:left="2160" w:hanging="360"/>
      </w:pPr>
      <w:rPr>
        <w:rFonts w:ascii="Wingdings" w:hAnsi="Wingdings" w:hint="default"/>
      </w:rPr>
    </w:lvl>
    <w:lvl w:ilvl="3" w:tplc="AEE05D98">
      <w:start w:val="1"/>
      <w:numFmt w:val="bullet"/>
      <w:lvlText w:val=""/>
      <w:lvlJc w:val="left"/>
      <w:pPr>
        <w:ind w:left="2880" w:hanging="360"/>
      </w:pPr>
      <w:rPr>
        <w:rFonts w:ascii="Symbol" w:hAnsi="Symbol" w:hint="default"/>
      </w:rPr>
    </w:lvl>
    <w:lvl w:ilvl="4" w:tplc="E75083D4">
      <w:start w:val="1"/>
      <w:numFmt w:val="bullet"/>
      <w:lvlText w:val="o"/>
      <w:lvlJc w:val="left"/>
      <w:pPr>
        <w:ind w:left="3600" w:hanging="360"/>
      </w:pPr>
      <w:rPr>
        <w:rFonts w:ascii="Courier New" w:hAnsi="Courier New" w:cs="Courier New" w:hint="default"/>
      </w:rPr>
    </w:lvl>
    <w:lvl w:ilvl="5" w:tplc="DACECB5C">
      <w:start w:val="1"/>
      <w:numFmt w:val="bullet"/>
      <w:lvlText w:val=""/>
      <w:lvlJc w:val="left"/>
      <w:pPr>
        <w:ind w:left="4320" w:hanging="360"/>
      </w:pPr>
      <w:rPr>
        <w:rFonts w:ascii="Wingdings" w:hAnsi="Wingdings" w:hint="default"/>
      </w:rPr>
    </w:lvl>
    <w:lvl w:ilvl="6" w:tplc="09348DF0">
      <w:start w:val="1"/>
      <w:numFmt w:val="bullet"/>
      <w:lvlText w:val=""/>
      <w:lvlJc w:val="left"/>
      <w:pPr>
        <w:ind w:left="5040" w:hanging="360"/>
      </w:pPr>
      <w:rPr>
        <w:rFonts w:ascii="Symbol" w:hAnsi="Symbol" w:hint="default"/>
      </w:rPr>
    </w:lvl>
    <w:lvl w:ilvl="7" w:tplc="9C62D160">
      <w:start w:val="1"/>
      <w:numFmt w:val="bullet"/>
      <w:lvlText w:val="o"/>
      <w:lvlJc w:val="left"/>
      <w:pPr>
        <w:ind w:left="5760" w:hanging="360"/>
      </w:pPr>
      <w:rPr>
        <w:rFonts w:ascii="Courier New" w:hAnsi="Courier New" w:cs="Courier New" w:hint="default"/>
      </w:rPr>
    </w:lvl>
    <w:lvl w:ilvl="8" w:tplc="03B483B0">
      <w:start w:val="1"/>
      <w:numFmt w:val="bullet"/>
      <w:lvlText w:val=""/>
      <w:lvlJc w:val="left"/>
      <w:pPr>
        <w:ind w:left="6480" w:hanging="360"/>
      </w:pPr>
      <w:rPr>
        <w:rFonts w:ascii="Wingdings" w:hAnsi="Wingdings" w:hint="default"/>
      </w:rPr>
    </w:lvl>
  </w:abstractNum>
  <w:abstractNum w:abstractNumId="23" w15:restartNumberingAfterBreak="0">
    <w:nsid w:val="19E342F0"/>
    <w:multiLevelType w:val="hybridMultilevel"/>
    <w:tmpl w:val="948E8186"/>
    <w:lvl w:ilvl="0" w:tplc="C3FAD8F2">
      <w:start w:val="1"/>
      <w:numFmt w:val="lowerLetter"/>
      <w:lvlText w:val="(%1)"/>
      <w:lvlJc w:val="left"/>
      <w:pPr>
        <w:ind w:left="360" w:hanging="360"/>
      </w:pPr>
    </w:lvl>
    <w:lvl w:ilvl="1" w:tplc="7D6645C6">
      <w:start w:val="1"/>
      <w:numFmt w:val="lowerLetter"/>
      <w:lvlText w:val="%2."/>
      <w:lvlJc w:val="left"/>
      <w:pPr>
        <w:ind w:left="1080" w:hanging="360"/>
      </w:pPr>
    </w:lvl>
    <w:lvl w:ilvl="2" w:tplc="11AC689E">
      <w:start w:val="1"/>
      <w:numFmt w:val="lowerRoman"/>
      <w:lvlText w:val="%3."/>
      <w:lvlJc w:val="right"/>
      <w:pPr>
        <w:ind w:left="1800" w:hanging="180"/>
      </w:pPr>
    </w:lvl>
    <w:lvl w:ilvl="3" w:tplc="F59E7398">
      <w:start w:val="1"/>
      <w:numFmt w:val="decimal"/>
      <w:lvlText w:val="%4."/>
      <w:lvlJc w:val="left"/>
      <w:pPr>
        <w:ind w:left="2520" w:hanging="360"/>
      </w:pPr>
    </w:lvl>
    <w:lvl w:ilvl="4" w:tplc="FDF2FB68">
      <w:start w:val="1"/>
      <w:numFmt w:val="lowerLetter"/>
      <w:lvlText w:val="%5."/>
      <w:lvlJc w:val="left"/>
      <w:pPr>
        <w:ind w:left="3240" w:hanging="360"/>
      </w:pPr>
    </w:lvl>
    <w:lvl w:ilvl="5" w:tplc="809C8732">
      <w:start w:val="1"/>
      <w:numFmt w:val="lowerRoman"/>
      <w:lvlText w:val="%6."/>
      <w:lvlJc w:val="right"/>
      <w:pPr>
        <w:ind w:left="3960" w:hanging="180"/>
      </w:pPr>
    </w:lvl>
    <w:lvl w:ilvl="6" w:tplc="1D08396C">
      <w:start w:val="1"/>
      <w:numFmt w:val="decimal"/>
      <w:lvlText w:val="%7."/>
      <w:lvlJc w:val="left"/>
      <w:pPr>
        <w:ind w:left="4680" w:hanging="360"/>
      </w:pPr>
    </w:lvl>
    <w:lvl w:ilvl="7" w:tplc="52C27408">
      <w:start w:val="1"/>
      <w:numFmt w:val="lowerLetter"/>
      <w:lvlText w:val="%8."/>
      <w:lvlJc w:val="left"/>
      <w:pPr>
        <w:ind w:left="5400" w:hanging="360"/>
      </w:pPr>
    </w:lvl>
    <w:lvl w:ilvl="8" w:tplc="E5CA2366">
      <w:start w:val="1"/>
      <w:numFmt w:val="lowerRoman"/>
      <w:lvlText w:val="%9."/>
      <w:lvlJc w:val="right"/>
      <w:pPr>
        <w:ind w:left="6120" w:hanging="180"/>
      </w:pPr>
    </w:lvl>
  </w:abstractNum>
  <w:abstractNum w:abstractNumId="24" w15:restartNumberingAfterBreak="0">
    <w:nsid w:val="1A892285"/>
    <w:multiLevelType w:val="hybridMultilevel"/>
    <w:tmpl w:val="DF7AD9BC"/>
    <w:lvl w:ilvl="0" w:tplc="849864E6">
      <w:start w:val="1"/>
      <w:numFmt w:val="lowerLetter"/>
      <w:lvlText w:val="(%1)"/>
      <w:lvlJc w:val="left"/>
      <w:pPr>
        <w:ind w:left="360" w:hanging="360"/>
      </w:pPr>
      <w:rPr>
        <w:rFonts w:ascii="Arial" w:hAnsi="Arial" w:cs="Arial" w:hint="default"/>
        <w:sz w:val="16"/>
        <w:szCs w:val="16"/>
      </w:rPr>
    </w:lvl>
    <w:lvl w:ilvl="1" w:tplc="46045684" w:tentative="1">
      <w:start w:val="1"/>
      <w:numFmt w:val="lowerLetter"/>
      <w:lvlText w:val="%2."/>
      <w:lvlJc w:val="left"/>
      <w:pPr>
        <w:ind w:left="1080" w:hanging="360"/>
      </w:pPr>
    </w:lvl>
    <w:lvl w:ilvl="2" w:tplc="5650B1C2" w:tentative="1">
      <w:start w:val="1"/>
      <w:numFmt w:val="lowerRoman"/>
      <w:lvlText w:val="%3."/>
      <w:lvlJc w:val="right"/>
      <w:pPr>
        <w:ind w:left="1800" w:hanging="180"/>
      </w:pPr>
    </w:lvl>
    <w:lvl w:ilvl="3" w:tplc="0F8494C4" w:tentative="1">
      <w:start w:val="1"/>
      <w:numFmt w:val="decimal"/>
      <w:lvlText w:val="%4."/>
      <w:lvlJc w:val="left"/>
      <w:pPr>
        <w:ind w:left="2520" w:hanging="360"/>
      </w:pPr>
    </w:lvl>
    <w:lvl w:ilvl="4" w:tplc="90E4E79C" w:tentative="1">
      <w:start w:val="1"/>
      <w:numFmt w:val="lowerLetter"/>
      <w:lvlText w:val="%5."/>
      <w:lvlJc w:val="left"/>
      <w:pPr>
        <w:ind w:left="3240" w:hanging="360"/>
      </w:pPr>
    </w:lvl>
    <w:lvl w:ilvl="5" w:tplc="C8D074F4" w:tentative="1">
      <w:start w:val="1"/>
      <w:numFmt w:val="lowerRoman"/>
      <w:lvlText w:val="%6."/>
      <w:lvlJc w:val="right"/>
      <w:pPr>
        <w:ind w:left="3960" w:hanging="180"/>
      </w:pPr>
    </w:lvl>
    <w:lvl w:ilvl="6" w:tplc="0F1E70F2" w:tentative="1">
      <w:start w:val="1"/>
      <w:numFmt w:val="decimal"/>
      <w:lvlText w:val="%7."/>
      <w:lvlJc w:val="left"/>
      <w:pPr>
        <w:ind w:left="4680" w:hanging="360"/>
      </w:pPr>
    </w:lvl>
    <w:lvl w:ilvl="7" w:tplc="59046C74" w:tentative="1">
      <w:start w:val="1"/>
      <w:numFmt w:val="lowerLetter"/>
      <w:lvlText w:val="%8."/>
      <w:lvlJc w:val="left"/>
      <w:pPr>
        <w:ind w:left="5400" w:hanging="360"/>
      </w:pPr>
    </w:lvl>
    <w:lvl w:ilvl="8" w:tplc="2376AED4" w:tentative="1">
      <w:start w:val="1"/>
      <w:numFmt w:val="lowerRoman"/>
      <w:lvlText w:val="%9."/>
      <w:lvlJc w:val="right"/>
      <w:pPr>
        <w:ind w:left="6120" w:hanging="180"/>
      </w:pPr>
    </w:lvl>
  </w:abstractNum>
  <w:abstractNum w:abstractNumId="25" w15:restartNumberingAfterBreak="0">
    <w:nsid w:val="1B3032E4"/>
    <w:multiLevelType w:val="hybridMultilevel"/>
    <w:tmpl w:val="30268732"/>
    <w:lvl w:ilvl="0" w:tplc="E96A4C3C">
      <w:start w:val="1"/>
      <w:numFmt w:val="lowerLetter"/>
      <w:lvlText w:val="(%1)"/>
      <w:lvlJc w:val="left"/>
      <w:pPr>
        <w:ind w:left="360" w:hanging="360"/>
      </w:pPr>
      <w:rPr>
        <w:rFonts w:hint="default"/>
      </w:rPr>
    </w:lvl>
    <w:lvl w:ilvl="1" w:tplc="1B6AF2A4" w:tentative="1">
      <w:start w:val="1"/>
      <w:numFmt w:val="lowerLetter"/>
      <w:lvlText w:val="%2."/>
      <w:lvlJc w:val="left"/>
      <w:pPr>
        <w:ind w:left="1080" w:hanging="360"/>
      </w:pPr>
    </w:lvl>
    <w:lvl w:ilvl="2" w:tplc="1E9EDAE6" w:tentative="1">
      <w:start w:val="1"/>
      <w:numFmt w:val="lowerRoman"/>
      <w:lvlText w:val="%3."/>
      <w:lvlJc w:val="right"/>
      <w:pPr>
        <w:ind w:left="1800" w:hanging="180"/>
      </w:pPr>
    </w:lvl>
    <w:lvl w:ilvl="3" w:tplc="300A6044" w:tentative="1">
      <w:start w:val="1"/>
      <w:numFmt w:val="decimal"/>
      <w:lvlText w:val="%4."/>
      <w:lvlJc w:val="left"/>
      <w:pPr>
        <w:ind w:left="2520" w:hanging="360"/>
      </w:pPr>
    </w:lvl>
    <w:lvl w:ilvl="4" w:tplc="8C401444" w:tentative="1">
      <w:start w:val="1"/>
      <w:numFmt w:val="lowerLetter"/>
      <w:lvlText w:val="%5."/>
      <w:lvlJc w:val="left"/>
      <w:pPr>
        <w:ind w:left="3240" w:hanging="360"/>
      </w:pPr>
    </w:lvl>
    <w:lvl w:ilvl="5" w:tplc="F47A6C0A" w:tentative="1">
      <w:start w:val="1"/>
      <w:numFmt w:val="lowerRoman"/>
      <w:lvlText w:val="%6."/>
      <w:lvlJc w:val="right"/>
      <w:pPr>
        <w:ind w:left="3960" w:hanging="180"/>
      </w:pPr>
    </w:lvl>
    <w:lvl w:ilvl="6" w:tplc="27204834" w:tentative="1">
      <w:start w:val="1"/>
      <w:numFmt w:val="decimal"/>
      <w:lvlText w:val="%7."/>
      <w:lvlJc w:val="left"/>
      <w:pPr>
        <w:ind w:left="4680" w:hanging="360"/>
      </w:pPr>
    </w:lvl>
    <w:lvl w:ilvl="7" w:tplc="78FCC0A8" w:tentative="1">
      <w:start w:val="1"/>
      <w:numFmt w:val="lowerLetter"/>
      <w:lvlText w:val="%8."/>
      <w:lvlJc w:val="left"/>
      <w:pPr>
        <w:ind w:left="5400" w:hanging="360"/>
      </w:pPr>
    </w:lvl>
    <w:lvl w:ilvl="8" w:tplc="89E0CEA8" w:tentative="1">
      <w:start w:val="1"/>
      <w:numFmt w:val="lowerRoman"/>
      <w:lvlText w:val="%9."/>
      <w:lvlJc w:val="right"/>
      <w:pPr>
        <w:ind w:left="6120" w:hanging="180"/>
      </w:pPr>
    </w:lvl>
  </w:abstractNum>
  <w:abstractNum w:abstractNumId="26" w15:restartNumberingAfterBreak="0">
    <w:nsid w:val="1D895353"/>
    <w:multiLevelType w:val="hybridMultilevel"/>
    <w:tmpl w:val="CD304B2E"/>
    <w:lvl w:ilvl="0" w:tplc="C56694C4">
      <w:start w:val="1"/>
      <w:numFmt w:val="bullet"/>
      <w:lvlText w:val=""/>
      <w:lvlJc w:val="left"/>
      <w:pPr>
        <w:ind w:left="720" w:hanging="360"/>
      </w:pPr>
      <w:rPr>
        <w:rFonts w:ascii="Symbol" w:hAnsi="Symbol" w:hint="default"/>
      </w:rPr>
    </w:lvl>
    <w:lvl w:ilvl="1" w:tplc="B920ACB2">
      <w:start w:val="1"/>
      <w:numFmt w:val="bullet"/>
      <w:lvlText w:val="o"/>
      <w:lvlJc w:val="left"/>
      <w:pPr>
        <w:ind w:left="1440" w:hanging="360"/>
      </w:pPr>
      <w:rPr>
        <w:rFonts w:ascii="Courier New" w:hAnsi="Courier New" w:cs="Courier New" w:hint="default"/>
      </w:rPr>
    </w:lvl>
    <w:lvl w:ilvl="2" w:tplc="A2007F08">
      <w:start w:val="1"/>
      <w:numFmt w:val="bullet"/>
      <w:lvlText w:val=""/>
      <w:lvlJc w:val="left"/>
      <w:pPr>
        <w:ind w:left="2160" w:hanging="360"/>
      </w:pPr>
      <w:rPr>
        <w:rFonts w:ascii="Wingdings" w:hAnsi="Wingdings" w:hint="default"/>
      </w:rPr>
    </w:lvl>
    <w:lvl w:ilvl="3" w:tplc="E830364E">
      <w:start w:val="1"/>
      <w:numFmt w:val="bullet"/>
      <w:lvlText w:val=""/>
      <w:lvlJc w:val="left"/>
      <w:pPr>
        <w:ind w:left="2880" w:hanging="360"/>
      </w:pPr>
      <w:rPr>
        <w:rFonts w:ascii="Symbol" w:hAnsi="Symbol" w:hint="default"/>
      </w:rPr>
    </w:lvl>
    <w:lvl w:ilvl="4" w:tplc="9C68C6DA">
      <w:start w:val="1"/>
      <w:numFmt w:val="bullet"/>
      <w:lvlText w:val="o"/>
      <w:lvlJc w:val="left"/>
      <w:pPr>
        <w:ind w:left="3600" w:hanging="360"/>
      </w:pPr>
      <w:rPr>
        <w:rFonts w:ascii="Courier New" w:hAnsi="Courier New" w:cs="Courier New" w:hint="default"/>
      </w:rPr>
    </w:lvl>
    <w:lvl w:ilvl="5" w:tplc="1AB03C4C">
      <w:start w:val="1"/>
      <w:numFmt w:val="bullet"/>
      <w:lvlText w:val=""/>
      <w:lvlJc w:val="left"/>
      <w:pPr>
        <w:ind w:left="4320" w:hanging="360"/>
      </w:pPr>
      <w:rPr>
        <w:rFonts w:ascii="Wingdings" w:hAnsi="Wingdings" w:hint="default"/>
      </w:rPr>
    </w:lvl>
    <w:lvl w:ilvl="6" w:tplc="A5924AC6">
      <w:start w:val="1"/>
      <w:numFmt w:val="bullet"/>
      <w:lvlText w:val=""/>
      <w:lvlJc w:val="left"/>
      <w:pPr>
        <w:ind w:left="5040" w:hanging="360"/>
      </w:pPr>
      <w:rPr>
        <w:rFonts w:ascii="Symbol" w:hAnsi="Symbol" w:hint="default"/>
      </w:rPr>
    </w:lvl>
    <w:lvl w:ilvl="7" w:tplc="03901E60">
      <w:start w:val="1"/>
      <w:numFmt w:val="bullet"/>
      <w:lvlText w:val="o"/>
      <w:lvlJc w:val="left"/>
      <w:pPr>
        <w:ind w:left="5760" w:hanging="360"/>
      </w:pPr>
      <w:rPr>
        <w:rFonts w:ascii="Courier New" w:hAnsi="Courier New" w:cs="Courier New" w:hint="default"/>
      </w:rPr>
    </w:lvl>
    <w:lvl w:ilvl="8" w:tplc="8E221A92">
      <w:start w:val="1"/>
      <w:numFmt w:val="bullet"/>
      <w:lvlText w:val=""/>
      <w:lvlJc w:val="left"/>
      <w:pPr>
        <w:ind w:left="6480" w:hanging="360"/>
      </w:pPr>
      <w:rPr>
        <w:rFonts w:ascii="Wingdings" w:hAnsi="Wingdings" w:hint="default"/>
      </w:rPr>
    </w:lvl>
  </w:abstractNum>
  <w:abstractNum w:abstractNumId="27" w15:restartNumberingAfterBreak="0">
    <w:nsid w:val="1FBA5578"/>
    <w:multiLevelType w:val="hybridMultilevel"/>
    <w:tmpl w:val="3524ECAC"/>
    <w:lvl w:ilvl="0" w:tplc="9FEA5062">
      <w:start w:val="1"/>
      <w:numFmt w:val="lowerLetter"/>
      <w:lvlText w:val="%1)"/>
      <w:lvlJc w:val="left"/>
      <w:pPr>
        <w:ind w:left="360" w:hanging="360"/>
      </w:pPr>
    </w:lvl>
    <w:lvl w:ilvl="1" w:tplc="354E7C24">
      <w:start w:val="1"/>
      <w:numFmt w:val="lowerLetter"/>
      <w:lvlText w:val="%2."/>
      <w:lvlJc w:val="left"/>
      <w:pPr>
        <w:ind w:left="1080" w:hanging="360"/>
      </w:pPr>
    </w:lvl>
    <w:lvl w:ilvl="2" w:tplc="076C0030">
      <w:start w:val="1"/>
      <w:numFmt w:val="lowerRoman"/>
      <w:lvlText w:val="%3."/>
      <w:lvlJc w:val="right"/>
      <w:pPr>
        <w:ind w:left="1800" w:hanging="180"/>
      </w:pPr>
    </w:lvl>
    <w:lvl w:ilvl="3" w:tplc="8200A792">
      <w:start w:val="1"/>
      <w:numFmt w:val="decimal"/>
      <w:lvlText w:val="%4."/>
      <w:lvlJc w:val="left"/>
      <w:pPr>
        <w:ind w:left="2520" w:hanging="360"/>
      </w:pPr>
    </w:lvl>
    <w:lvl w:ilvl="4" w:tplc="FF0AB70C">
      <w:start w:val="1"/>
      <w:numFmt w:val="lowerLetter"/>
      <w:lvlText w:val="%5."/>
      <w:lvlJc w:val="left"/>
      <w:pPr>
        <w:ind w:left="3240" w:hanging="360"/>
      </w:pPr>
    </w:lvl>
    <w:lvl w:ilvl="5" w:tplc="B5AAEE28">
      <w:start w:val="1"/>
      <w:numFmt w:val="lowerRoman"/>
      <w:lvlText w:val="%6."/>
      <w:lvlJc w:val="right"/>
      <w:pPr>
        <w:ind w:left="3960" w:hanging="180"/>
      </w:pPr>
    </w:lvl>
    <w:lvl w:ilvl="6" w:tplc="F61C1510">
      <w:start w:val="1"/>
      <w:numFmt w:val="decimal"/>
      <w:lvlText w:val="%7."/>
      <w:lvlJc w:val="left"/>
      <w:pPr>
        <w:ind w:left="4680" w:hanging="360"/>
      </w:pPr>
    </w:lvl>
    <w:lvl w:ilvl="7" w:tplc="76726F08">
      <w:start w:val="1"/>
      <w:numFmt w:val="lowerLetter"/>
      <w:lvlText w:val="%8."/>
      <w:lvlJc w:val="left"/>
      <w:pPr>
        <w:ind w:left="5400" w:hanging="360"/>
      </w:pPr>
    </w:lvl>
    <w:lvl w:ilvl="8" w:tplc="E7B2220E">
      <w:start w:val="1"/>
      <w:numFmt w:val="lowerRoman"/>
      <w:lvlText w:val="%9."/>
      <w:lvlJc w:val="right"/>
      <w:pPr>
        <w:ind w:left="6120" w:hanging="180"/>
      </w:pPr>
    </w:lvl>
  </w:abstractNum>
  <w:abstractNum w:abstractNumId="28" w15:restartNumberingAfterBreak="0">
    <w:nsid w:val="20473D2F"/>
    <w:multiLevelType w:val="hybridMultilevel"/>
    <w:tmpl w:val="AA18EF34"/>
    <w:lvl w:ilvl="0" w:tplc="98B831E4">
      <w:start w:val="1"/>
      <w:numFmt w:val="bullet"/>
      <w:lvlText w:val=""/>
      <w:lvlJc w:val="left"/>
      <w:pPr>
        <w:ind w:left="1211" w:hanging="360"/>
      </w:pPr>
      <w:rPr>
        <w:rFonts w:ascii="Symbol" w:hAnsi="Symbol" w:hint="default"/>
        <w:color w:val="auto"/>
      </w:rPr>
    </w:lvl>
    <w:lvl w:ilvl="1" w:tplc="887470B0">
      <w:start w:val="1"/>
      <w:numFmt w:val="bullet"/>
      <w:lvlText w:val="o"/>
      <w:lvlJc w:val="left"/>
      <w:pPr>
        <w:ind w:left="1440" w:hanging="360"/>
      </w:pPr>
      <w:rPr>
        <w:rFonts w:ascii="Courier New" w:hAnsi="Courier New" w:cs="Courier New" w:hint="default"/>
      </w:rPr>
    </w:lvl>
    <w:lvl w:ilvl="2" w:tplc="874A9C98">
      <w:start w:val="1"/>
      <w:numFmt w:val="bullet"/>
      <w:lvlText w:val=""/>
      <w:lvlJc w:val="left"/>
      <w:pPr>
        <w:ind w:left="2160" w:hanging="360"/>
      </w:pPr>
      <w:rPr>
        <w:rFonts w:ascii="Wingdings" w:hAnsi="Wingdings" w:hint="default"/>
      </w:rPr>
    </w:lvl>
    <w:lvl w:ilvl="3" w:tplc="03F65B06">
      <w:start w:val="1"/>
      <w:numFmt w:val="bullet"/>
      <w:lvlText w:val=""/>
      <w:lvlJc w:val="left"/>
      <w:pPr>
        <w:ind w:left="2880" w:hanging="360"/>
      </w:pPr>
      <w:rPr>
        <w:rFonts w:ascii="Symbol" w:hAnsi="Symbol" w:hint="default"/>
      </w:rPr>
    </w:lvl>
    <w:lvl w:ilvl="4" w:tplc="702A57E6">
      <w:start w:val="1"/>
      <w:numFmt w:val="bullet"/>
      <w:lvlText w:val="o"/>
      <w:lvlJc w:val="left"/>
      <w:pPr>
        <w:ind w:left="3600" w:hanging="360"/>
      </w:pPr>
      <w:rPr>
        <w:rFonts w:ascii="Courier New" w:hAnsi="Courier New" w:cs="Courier New" w:hint="default"/>
      </w:rPr>
    </w:lvl>
    <w:lvl w:ilvl="5" w:tplc="8AA2D240">
      <w:start w:val="1"/>
      <w:numFmt w:val="bullet"/>
      <w:lvlText w:val=""/>
      <w:lvlJc w:val="left"/>
      <w:pPr>
        <w:ind w:left="4320" w:hanging="360"/>
      </w:pPr>
      <w:rPr>
        <w:rFonts w:ascii="Wingdings" w:hAnsi="Wingdings" w:hint="default"/>
      </w:rPr>
    </w:lvl>
    <w:lvl w:ilvl="6" w:tplc="84EE18A6">
      <w:start w:val="1"/>
      <w:numFmt w:val="bullet"/>
      <w:lvlText w:val=""/>
      <w:lvlJc w:val="left"/>
      <w:pPr>
        <w:ind w:left="5040" w:hanging="360"/>
      </w:pPr>
      <w:rPr>
        <w:rFonts w:ascii="Symbol" w:hAnsi="Symbol" w:hint="default"/>
      </w:rPr>
    </w:lvl>
    <w:lvl w:ilvl="7" w:tplc="1CBA4F3C">
      <w:start w:val="1"/>
      <w:numFmt w:val="bullet"/>
      <w:lvlText w:val="o"/>
      <w:lvlJc w:val="left"/>
      <w:pPr>
        <w:ind w:left="5760" w:hanging="360"/>
      </w:pPr>
      <w:rPr>
        <w:rFonts w:ascii="Courier New" w:hAnsi="Courier New" w:cs="Courier New" w:hint="default"/>
      </w:rPr>
    </w:lvl>
    <w:lvl w:ilvl="8" w:tplc="1CF64E56">
      <w:start w:val="1"/>
      <w:numFmt w:val="bullet"/>
      <w:lvlText w:val=""/>
      <w:lvlJc w:val="left"/>
      <w:pPr>
        <w:ind w:left="6480" w:hanging="360"/>
      </w:pPr>
      <w:rPr>
        <w:rFonts w:ascii="Wingdings" w:hAnsi="Wingdings" w:hint="default"/>
      </w:rPr>
    </w:lvl>
  </w:abstractNum>
  <w:abstractNum w:abstractNumId="29" w15:restartNumberingAfterBreak="0">
    <w:nsid w:val="22F98CB4"/>
    <w:multiLevelType w:val="hybridMultilevel"/>
    <w:tmpl w:val="AA18EF34"/>
    <w:lvl w:ilvl="0" w:tplc="ED2AF5AE">
      <w:start w:val="1"/>
      <w:numFmt w:val="bullet"/>
      <w:lvlText w:val=""/>
      <w:lvlJc w:val="left"/>
      <w:pPr>
        <w:ind w:left="720" w:hanging="360"/>
      </w:pPr>
      <w:rPr>
        <w:rFonts w:ascii="Symbol" w:hAnsi="Symbol" w:hint="default"/>
        <w:color w:val="auto"/>
      </w:rPr>
    </w:lvl>
    <w:lvl w:ilvl="1" w:tplc="C46E3906">
      <w:start w:val="1"/>
      <w:numFmt w:val="bullet"/>
      <w:lvlText w:val="o"/>
      <w:lvlJc w:val="left"/>
      <w:pPr>
        <w:ind w:left="1440" w:hanging="360"/>
      </w:pPr>
      <w:rPr>
        <w:rFonts w:ascii="Courier New" w:hAnsi="Courier New" w:cs="Courier New" w:hint="default"/>
      </w:rPr>
    </w:lvl>
    <w:lvl w:ilvl="2" w:tplc="2E6A28A2">
      <w:start w:val="1"/>
      <w:numFmt w:val="bullet"/>
      <w:lvlText w:val=""/>
      <w:lvlJc w:val="left"/>
      <w:pPr>
        <w:ind w:left="2160" w:hanging="360"/>
      </w:pPr>
      <w:rPr>
        <w:rFonts w:ascii="Wingdings" w:hAnsi="Wingdings" w:hint="default"/>
      </w:rPr>
    </w:lvl>
    <w:lvl w:ilvl="3" w:tplc="34B691A8">
      <w:start w:val="1"/>
      <w:numFmt w:val="bullet"/>
      <w:lvlText w:val=""/>
      <w:lvlJc w:val="left"/>
      <w:pPr>
        <w:ind w:left="2880" w:hanging="360"/>
      </w:pPr>
      <w:rPr>
        <w:rFonts w:ascii="Symbol" w:hAnsi="Symbol" w:hint="default"/>
      </w:rPr>
    </w:lvl>
    <w:lvl w:ilvl="4" w:tplc="5298EF28">
      <w:start w:val="1"/>
      <w:numFmt w:val="bullet"/>
      <w:lvlText w:val="o"/>
      <w:lvlJc w:val="left"/>
      <w:pPr>
        <w:ind w:left="3600" w:hanging="360"/>
      </w:pPr>
      <w:rPr>
        <w:rFonts w:ascii="Courier New" w:hAnsi="Courier New" w:cs="Courier New" w:hint="default"/>
      </w:rPr>
    </w:lvl>
    <w:lvl w:ilvl="5" w:tplc="91AE3BEA">
      <w:start w:val="1"/>
      <w:numFmt w:val="bullet"/>
      <w:lvlText w:val=""/>
      <w:lvlJc w:val="left"/>
      <w:pPr>
        <w:ind w:left="4320" w:hanging="360"/>
      </w:pPr>
      <w:rPr>
        <w:rFonts w:ascii="Wingdings" w:hAnsi="Wingdings" w:hint="default"/>
      </w:rPr>
    </w:lvl>
    <w:lvl w:ilvl="6" w:tplc="E2F8FD7A">
      <w:start w:val="1"/>
      <w:numFmt w:val="bullet"/>
      <w:lvlText w:val=""/>
      <w:lvlJc w:val="left"/>
      <w:pPr>
        <w:ind w:left="5040" w:hanging="360"/>
      </w:pPr>
      <w:rPr>
        <w:rFonts w:ascii="Symbol" w:hAnsi="Symbol" w:hint="default"/>
      </w:rPr>
    </w:lvl>
    <w:lvl w:ilvl="7" w:tplc="E3A8227C">
      <w:start w:val="1"/>
      <w:numFmt w:val="bullet"/>
      <w:lvlText w:val="o"/>
      <w:lvlJc w:val="left"/>
      <w:pPr>
        <w:ind w:left="5760" w:hanging="360"/>
      </w:pPr>
      <w:rPr>
        <w:rFonts w:ascii="Courier New" w:hAnsi="Courier New" w:cs="Courier New" w:hint="default"/>
      </w:rPr>
    </w:lvl>
    <w:lvl w:ilvl="8" w:tplc="48487EF4">
      <w:start w:val="1"/>
      <w:numFmt w:val="bullet"/>
      <w:lvlText w:val=""/>
      <w:lvlJc w:val="left"/>
      <w:pPr>
        <w:ind w:left="6480" w:hanging="360"/>
      </w:pPr>
      <w:rPr>
        <w:rFonts w:ascii="Wingdings" w:hAnsi="Wingdings" w:hint="default"/>
      </w:rPr>
    </w:lvl>
  </w:abstractNum>
  <w:abstractNum w:abstractNumId="30" w15:restartNumberingAfterBreak="0">
    <w:nsid w:val="232C00EA"/>
    <w:multiLevelType w:val="hybridMultilevel"/>
    <w:tmpl w:val="7CE25A36"/>
    <w:lvl w:ilvl="0" w:tplc="8C2C0752">
      <w:start w:val="1"/>
      <w:numFmt w:val="bullet"/>
      <w:lvlText w:val=""/>
      <w:lvlJc w:val="left"/>
      <w:pPr>
        <w:ind w:left="576" w:hanging="360"/>
      </w:pPr>
      <w:rPr>
        <w:rFonts w:ascii="Symbol" w:hAnsi="Symbol" w:hint="default"/>
      </w:rPr>
    </w:lvl>
    <w:lvl w:ilvl="1" w:tplc="276262B0">
      <w:start w:val="1"/>
      <w:numFmt w:val="bullet"/>
      <w:lvlText w:val="o"/>
      <w:lvlJc w:val="left"/>
      <w:pPr>
        <w:ind w:left="1296" w:hanging="360"/>
      </w:pPr>
      <w:rPr>
        <w:rFonts w:ascii="Courier New" w:hAnsi="Courier New" w:cs="Courier New" w:hint="default"/>
      </w:rPr>
    </w:lvl>
    <w:lvl w:ilvl="2" w:tplc="94D055B0">
      <w:start w:val="1"/>
      <w:numFmt w:val="bullet"/>
      <w:lvlText w:val=""/>
      <w:lvlJc w:val="left"/>
      <w:pPr>
        <w:ind w:left="2016" w:hanging="360"/>
      </w:pPr>
      <w:rPr>
        <w:rFonts w:ascii="Wingdings" w:hAnsi="Wingdings" w:hint="default"/>
      </w:rPr>
    </w:lvl>
    <w:lvl w:ilvl="3" w:tplc="BD888A10">
      <w:start w:val="1"/>
      <w:numFmt w:val="bullet"/>
      <w:lvlText w:val=""/>
      <w:lvlJc w:val="left"/>
      <w:pPr>
        <w:ind w:left="2736" w:hanging="360"/>
      </w:pPr>
      <w:rPr>
        <w:rFonts w:ascii="Symbol" w:hAnsi="Symbol" w:hint="default"/>
      </w:rPr>
    </w:lvl>
    <w:lvl w:ilvl="4" w:tplc="0EA6736C">
      <w:start w:val="1"/>
      <w:numFmt w:val="bullet"/>
      <w:lvlText w:val="o"/>
      <w:lvlJc w:val="left"/>
      <w:pPr>
        <w:ind w:left="3456" w:hanging="360"/>
      </w:pPr>
      <w:rPr>
        <w:rFonts w:ascii="Courier New" w:hAnsi="Courier New" w:cs="Courier New" w:hint="default"/>
      </w:rPr>
    </w:lvl>
    <w:lvl w:ilvl="5" w:tplc="7F2AD0A2">
      <w:start w:val="1"/>
      <w:numFmt w:val="bullet"/>
      <w:lvlText w:val=""/>
      <w:lvlJc w:val="left"/>
      <w:pPr>
        <w:ind w:left="4176" w:hanging="360"/>
      </w:pPr>
      <w:rPr>
        <w:rFonts w:ascii="Wingdings" w:hAnsi="Wingdings" w:hint="default"/>
      </w:rPr>
    </w:lvl>
    <w:lvl w:ilvl="6" w:tplc="4F46A266">
      <w:start w:val="1"/>
      <w:numFmt w:val="bullet"/>
      <w:lvlText w:val=""/>
      <w:lvlJc w:val="left"/>
      <w:pPr>
        <w:ind w:left="4896" w:hanging="360"/>
      </w:pPr>
      <w:rPr>
        <w:rFonts w:ascii="Symbol" w:hAnsi="Symbol" w:hint="default"/>
      </w:rPr>
    </w:lvl>
    <w:lvl w:ilvl="7" w:tplc="BC409C44">
      <w:start w:val="1"/>
      <w:numFmt w:val="bullet"/>
      <w:lvlText w:val="o"/>
      <w:lvlJc w:val="left"/>
      <w:pPr>
        <w:ind w:left="5616" w:hanging="360"/>
      </w:pPr>
      <w:rPr>
        <w:rFonts w:ascii="Courier New" w:hAnsi="Courier New" w:cs="Courier New" w:hint="default"/>
      </w:rPr>
    </w:lvl>
    <w:lvl w:ilvl="8" w:tplc="5754AFF2">
      <w:start w:val="1"/>
      <w:numFmt w:val="bullet"/>
      <w:lvlText w:val=""/>
      <w:lvlJc w:val="left"/>
      <w:pPr>
        <w:ind w:left="6336" w:hanging="360"/>
      </w:pPr>
      <w:rPr>
        <w:rFonts w:ascii="Wingdings" w:hAnsi="Wingdings" w:hint="default"/>
      </w:rPr>
    </w:lvl>
  </w:abstractNum>
  <w:abstractNum w:abstractNumId="31" w15:restartNumberingAfterBreak="0">
    <w:nsid w:val="23D6061A"/>
    <w:multiLevelType w:val="hybridMultilevel"/>
    <w:tmpl w:val="3D28803C"/>
    <w:lvl w:ilvl="0" w:tplc="F978FB56">
      <w:numFmt w:val="bullet"/>
      <w:lvlText w:val="•"/>
      <w:lvlJc w:val="left"/>
      <w:pPr>
        <w:ind w:left="405" w:hanging="360"/>
      </w:pPr>
      <w:rPr>
        <w:rFonts w:ascii="Book Antiqua" w:eastAsia="Times New Roman" w:hAnsi="Book Antiqua" w:cs="Times New Roman" w:hint="default"/>
      </w:rPr>
    </w:lvl>
    <w:lvl w:ilvl="1" w:tplc="CF048AC4" w:tentative="1">
      <w:start w:val="1"/>
      <w:numFmt w:val="bullet"/>
      <w:lvlText w:val="o"/>
      <w:lvlJc w:val="left"/>
      <w:pPr>
        <w:ind w:left="1125" w:hanging="360"/>
      </w:pPr>
      <w:rPr>
        <w:rFonts w:ascii="Courier New" w:hAnsi="Courier New" w:cs="Courier New" w:hint="default"/>
      </w:rPr>
    </w:lvl>
    <w:lvl w:ilvl="2" w:tplc="1E3C458C" w:tentative="1">
      <w:start w:val="1"/>
      <w:numFmt w:val="bullet"/>
      <w:lvlText w:val=""/>
      <w:lvlJc w:val="left"/>
      <w:pPr>
        <w:ind w:left="1845" w:hanging="360"/>
      </w:pPr>
      <w:rPr>
        <w:rFonts w:ascii="Wingdings" w:hAnsi="Wingdings" w:hint="default"/>
      </w:rPr>
    </w:lvl>
    <w:lvl w:ilvl="3" w:tplc="A33487BC" w:tentative="1">
      <w:start w:val="1"/>
      <w:numFmt w:val="bullet"/>
      <w:lvlText w:val=""/>
      <w:lvlJc w:val="left"/>
      <w:pPr>
        <w:ind w:left="2565" w:hanging="360"/>
      </w:pPr>
      <w:rPr>
        <w:rFonts w:ascii="Symbol" w:hAnsi="Symbol" w:hint="default"/>
      </w:rPr>
    </w:lvl>
    <w:lvl w:ilvl="4" w:tplc="A56A85C6" w:tentative="1">
      <w:start w:val="1"/>
      <w:numFmt w:val="bullet"/>
      <w:lvlText w:val="o"/>
      <w:lvlJc w:val="left"/>
      <w:pPr>
        <w:ind w:left="3285" w:hanging="360"/>
      </w:pPr>
      <w:rPr>
        <w:rFonts w:ascii="Courier New" w:hAnsi="Courier New" w:cs="Courier New" w:hint="default"/>
      </w:rPr>
    </w:lvl>
    <w:lvl w:ilvl="5" w:tplc="5DDC2956" w:tentative="1">
      <w:start w:val="1"/>
      <w:numFmt w:val="bullet"/>
      <w:lvlText w:val=""/>
      <w:lvlJc w:val="left"/>
      <w:pPr>
        <w:ind w:left="4005" w:hanging="360"/>
      </w:pPr>
      <w:rPr>
        <w:rFonts w:ascii="Wingdings" w:hAnsi="Wingdings" w:hint="default"/>
      </w:rPr>
    </w:lvl>
    <w:lvl w:ilvl="6" w:tplc="20D85552" w:tentative="1">
      <w:start w:val="1"/>
      <w:numFmt w:val="bullet"/>
      <w:lvlText w:val=""/>
      <w:lvlJc w:val="left"/>
      <w:pPr>
        <w:ind w:left="4725" w:hanging="360"/>
      </w:pPr>
      <w:rPr>
        <w:rFonts w:ascii="Symbol" w:hAnsi="Symbol" w:hint="default"/>
      </w:rPr>
    </w:lvl>
    <w:lvl w:ilvl="7" w:tplc="87B0F6C6" w:tentative="1">
      <w:start w:val="1"/>
      <w:numFmt w:val="bullet"/>
      <w:lvlText w:val="o"/>
      <w:lvlJc w:val="left"/>
      <w:pPr>
        <w:ind w:left="5445" w:hanging="360"/>
      </w:pPr>
      <w:rPr>
        <w:rFonts w:ascii="Courier New" w:hAnsi="Courier New" w:cs="Courier New" w:hint="default"/>
      </w:rPr>
    </w:lvl>
    <w:lvl w:ilvl="8" w:tplc="C78A7B54" w:tentative="1">
      <w:start w:val="1"/>
      <w:numFmt w:val="bullet"/>
      <w:lvlText w:val=""/>
      <w:lvlJc w:val="left"/>
      <w:pPr>
        <w:ind w:left="6165" w:hanging="360"/>
      </w:pPr>
      <w:rPr>
        <w:rFonts w:ascii="Wingdings" w:hAnsi="Wingdings" w:hint="default"/>
      </w:rPr>
    </w:lvl>
  </w:abstractNum>
  <w:abstractNum w:abstractNumId="32" w15:restartNumberingAfterBreak="0">
    <w:nsid w:val="24366FFF"/>
    <w:multiLevelType w:val="hybridMultilevel"/>
    <w:tmpl w:val="2FA67D8A"/>
    <w:lvl w:ilvl="0" w:tplc="DD68590C">
      <w:start w:val="1"/>
      <w:numFmt w:val="decimal"/>
      <w:lvlText w:val="%1."/>
      <w:lvlJc w:val="left"/>
      <w:pPr>
        <w:ind w:left="720" w:hanging="360"/>
      </w:pPr>
      <w:rPr>
        <w:i w:val="0"/>
        <w:color w:val="auto"/>
      </w:rPr>
    </w:lvl>
    <w:lvl w:ilvl="1" w:tplc="7772D9B4">
      <w:start w:val="1"/>
      <w:numFmt w:val="lowerLetter"/>
      <w:lvlText w:val="%2."/>
      <w:lvlJc w:val="left"/>
      <w:pPr>
        <w:ind w:left="1440" w:hanging="360"/>
      </w:pPr>
    </w:lvl>
    <w:lvl w:ilvl="2" w:tplc="78D63DA0">
      <w:start w:val="1"/>
      <w:numFmt w:val="lowerRoman"/>
      <w:lvlText w:val="%3."/>
      <w:lvlJc w:val="right"/>
      <w:pPr>
        <w:ind w:left="2160" w:hanging="180"/>
      </w:pPr>
    </w:lvl>
    <w:lvl w:ilvl="3" w:tplc="915266AC">
      <w:start w:val="1"/>
      <w:numFmt w:val="decimal"/>
      <w:lvlText w:val="%4."/>
      <w:lvlJc w:val="left"/>
      <w:pPr>
        <w:ind w:left="2880" w:hanging="360"/>
      </w:pPr>
    </w:lvl>
    <w:lvl w:ilvl="4" w:tplc="34248FCC">
      <w:start w:val="1"/>
      <w:numFmt w:val="lowerLetter"/>
      <w:lvlText w:val="%5."/>
      <w:lvlJc w:val="left"/>
      <w:pPr>
        <w:ind w:left="3600" w:hanging="360"/>
      </w:pPr>
    </w:lvl>
    <w:lvl w:ilvl="5" w:tplc="1E8C5EC6">
      <w:start w:val="1"/>
      <w:numFmt w:val="lowerRoman"/>
      <w:lvlText w:val="%6."/>
      <w:lvlJc w:val="right"/>
      <w:pPr>
        <w:ind w:left="4320" w:hanging="180"/>
      </w:pPr>
    </w:lvl>
    <w:lvl w:ilvl="6" w:tplc="6EFAC54A">
      <w:start w:val="1"/>
      <w:numFmt w:val="decimal"/>
      <w:lvlText w:val="%7."/>
      <w:lvlJc w:val="left"/>
      <w:pPr>
        <w:ind w:left="5040" w:hanging="360"/>
      </w:pPr>
    </w:lvl>
    <w:lvl w:ilvl="7" w:tplc="52EED6F4">
      <w:start w:val="1"/>
      <w:numFmt w:val="lowerLetter"/>
      <w:lvlText w:val="%8."/>
      <w:lvlJc w:val="left"/>
      <w:pPr>
        <w:ind w:left="5760" w:hanging="360"/>
      </w:pPr>
    </w:lvl>
    <w:lvl w:ilvl="8" w:tplc="D6762304">
      <w:start w:val="1"/>
      <w:numFmt w:val="lowerRoman"/>
      <w:lvlText w:val="%9."/>
      <w:lvlJc w:val="right"/>
      <w:pPr>
        <w:ind w:left="6480" w:hanging="180"/>
      </w:pPr>
    </w:lvl>
  </w:abstractNum>
  <w:abstractNum w:abstractNumId="33" w15:restartNumberingAfterBreak="0">
    <w:nsid w:val="24DD6EBE"/>
    <w:multiLevelType w:val="hybridMultilevel"/>
    <w:tmpl w:val="87100244"/>
    <w:lvl w:ilvl="0" w:tplc="B2F4D986">
      <w:start w:val="1"/>
      <w:numFmt w:val="bullet"/>
      <w:lvlText w:val=""/>
      <w:lvlJc w:val="left"/>
      <w:pPr>
        <w:ind w:left="720" w:hanging="360"/>
      </w:pPr>
      <w:rPr>
        <w:rFonts w:ascii="Symbol" w:hAnsi="Symbol" w:hint="default"/>
      </w:rPr>
    </w:lvl>
    <w:lvl w:ilvl="1" w:tplc="883E15CA">
      <w:start w:val="1"/>
      <w:numFmt w:val="bullet"/>
      <w:lvlText w:val="o"/>
      <w:lvlJc w:val="left"/>
      <w:pPr>
        <w:ind w:left="1440" w:hanging="360"/>
      </w:pPr>
      <w:rPr>
        <w:rFonts w:ascii="Courier New" w:hAnsi="Courier New" w:cs="Courier New" w:hint="default"/>
      </w:rPr>
    </w:lvl>
    <w:lvl w:ilvl="2" w:tplc="5AE80AB8">
      <w:start w:val="1"/>
      <w:numFmt w:val="bullet"/>
      <w:lvlText w:val=""/>
      <w:lvlJc w:val="left"/>
      <w:pPr>
        <w:ind w:left="2160" w:hanging="360"/>
      </w:pPr>
      <w:rPr>
        <w:rFonts w:ascii="Wingdings" w:hAnsi="Wingdings" w:hint="default"/>
      </w:rPr>
    </w:lvl>
    <w:lvl w:ilvl="3" w:tplc="8AA2FF58">
      <w:start w:val="1"/>
      <w:numFmt w:val="bullet"/>
      <w:lvlText w:val=""/>
      <w:lvlJc w:val="left"/>
      <w:pPr>
        <w:ind w:left="2880" w:hanging="360"/>
      </w:pPr>
      <w:rPr>
        <w:rFonts w:ascii="Symbol" w:hAnsi="Symbol" w:hint="default"/>
      </w:rPr>
    </w:lvl>
    <w:lvl w:ilvl="4" w:tplc="63C85EAE">
      <w:start w:val="1"/>
      <w:numFmt w:val="bullet"/>
      <w:lvlText w:val="o"/>
      <w:lvlJc w:val="left"/>
      <w:pPr>
        <w:ind w:left="3600" w:hanging="360"/>
      </w:pPr>
      <w:rPr>
        <w:rFonts w:ascii="Courier New" w:hAnsi="Courier New" w:cs="Courier New" w:hint="default"/>
      </w:rPr>
    </w:lvl>
    <w:lvl w:ilvl="5" w:tplc="B65ED69C">
      <w:start w:val="1"/>
      <w:numFmt w:val="bullet"/>
      <w:lvlText w:val=""/>
      <w:lvlJc w:val="left"/>
      <w:pPr>
        <w:ind w:left="4320" w:hanging="360"/>
      </w:pPr>
      <w:rPr>
        <w:rFonts w:ascii="Wingdings" w:hAnsi="Wingdings" w:hint="default"/>
      </w:rPr>
    </w:lvl>
    <w:lvl w:ilvl="6" w:tplc="97BA5486">
      <w:start w:val="1"/>
      <w:numFmt w:val="bullet"/>
      <w:lvlText w:val=""/>
      <w:lvlJc w:val="left"/>
      <w:pPr>
        <w:ind w:left="5040" w:hanging="360"/>
      </w:pPr>
      <w:rPr>
        <w:rFonts w:ascii="Symbol" w:hAnsi="Symbol" w:hint="default"/>
      </w:rPr>
    </w:lvl>
    <w:lvl w:ilvl="7" w:tplc="1890A94C">
      <w:start w:val="1"/>
      <w:numFmt w:val="bullet"/>
      <w:lvlText w:val="o"/>
      <w:lvlJc w:val="left"/>
      <w:pPr>
        <w:ind w:left="5760" w:hanging="360"/>
      </w:pPr>
      <w:rPr>
        <w:rFonts w:ascii="Courier New" w:hAnsi="Courier New" w:cs="Courier New" w:hint="default"/>
      </w:rPr>
    </w:lvl>
    <w:lvl w:ilvl="8" w:tplc="76A4EBAA">
      <w:start w:val="1"/>
      <w:numFmt w:val="bullet"/>
      <w:lvlText w:val=""/>
      <w:lvlJc w:val="left"/>
      <w:pPr>
        <w:ind w:left="6480" w:hanging="360"/>
      </w:pPr>
      <w:rPr>
        <w:rFonts w:ascii="Wingdings" w:hAnsi="Wingdings" w:hint="default"/>
      </w:rPr>
    </w:lvl>
  </w:abstractNum>
  <w:abstractNum w:abstractNumId="34" w15:restartNumberingAfterBreak="0">
    <w:nsid w:val="26D02E4E"/>
    <w:multiLevelType w:val="hybridMultilevel"/>
    <w:tmpl w:val="0526C918"/>
    <w:lvl w:ilvl="0" w:tplc="63B0E8DE">
      <w:start w:val="1"/>
      <w:numFmt w:val="bullet"/>
      <w:pStyle w:val="ChartandTableFootnoteAlpha-Bullet"/>
      <w:lvlText w:val=""/>
      <w:lvlJc w:val="left"/>
      <w:pPr>
        <w:ind w:left="644" w:hanging="360"/>
      </w:pPr>
      <w:rPr>
        <w:rFonts w:ascii="Symbol" w:hAnsi="Symbol" w:hint="default"/>
      </w:rPr>
    </w:lvl>
    <w:lvl w:ilvl="1" w:tplc="30BE5BB2">
      <w:start w:val="1"/>
      <w:numFmt w:val="bullet"/>
      <w:lvlText w:val="o"/>
      <w:lvlJc w:val="left"/>
      <w:pPr>
        <w:ind w:left="1364" w:hanging="360"/>
      </w:pPr>
      <w:rPr>
        <w:rFonts w:ascii="Courier New" w:hAnsi="Courier New" w:cs="Courier New" w:hint="default"/>
      </w:rPr>
    </w:lvl>
    <w:lvl w:ilvl="2" w:tplc="1EDC3710">
      <w:start w:val="1"/>
      <w:numFmt w:val="bullet"/>
      <w:lvlText w:val=""/>
      <w:lvlJc w:val="left"/>
      <w:pPr>
        <w:ind w:left="2084" w:hanging="360"/>
      </w:pPr>
      <w:rPr>
        <w:rFonts w:ascii="Wingdings" w:hAnsi="Wingdings" w:hint="default"/>
      </w:rPr>
    </w:lvl>
    <w:lvl w:ilvl="3" w:tplc="BDA01E80">
      <w:start w:val="1"/>
      <w:numFmt w:val="bullet"/>
      <w:lvlText w:val=""/>
      <w:lvlJc w:val="left"/>
      <w:pPr>
        <w:ind w:left="2804" w:hanging="360"/>
      </w:pPr>
      <w:rPr>
        <w:rFonts w:ascii="Symbol" w:hAnsi="Symbol" w:hint="default"/>
      </w:rPr>
    </w:lvl>
    <w:lvl w:ilvl="4" w:tplc="7A5EF588">
      <w:start w:val="1"/>
      <w:numFmt w:val="bullet"/>
      <w:lvlText w:val="o"/>
      <w:lvlJc w:val="left"/>
      <w:pPr>
        <w:ind w:left="3524" w:hanging="360"/>
      </w:pPr>
      <w:rPr>
        <w:rFonts w:ascii="Courier New" w:hAnsi="Courier New" w:cs="Courier New" w:hint="default"/>
      </w:rPr>
    </w:lvl>
    <w:lvl w:ilvl="5" w:tplc="0E927134">
      <w:start w:val="1"/>
      <w:numFmt w:val="bullet"/>
      <w:lvlText w:val=""/>
      <w:lvlJc w:val="left"/>
      <w:pPr>
        <w:ind w:left="4244" w:hanging="360"/>
      </w:pPr>
      <w:rPr>
        <w:rFonts w:ascii="Wingdings" w:hAnsi="Wingdings" w:hint="default"/>
      </w:rPr>
    </w:lvl>
    <w:lvl w:ilvl="6" w:tplc="6B3C6AAA">
      <w:start w:val="1"/>
      <w:numFmt w:val="bullet"/>
      <w:lvlText w:val=""/>
      <w:lvlJc w:val="left"/>
      <w:pPr>
        <w:ind w:left="4964" w:hanging="360"/>
      </w:pPr>
      <w:rPr>
        <w:rFonts w:ascii="Symbol" w:hAnsi="Symbol" w:hint="default"/>
      </w:rPr>
    </w:lvl>
    <w:lvl w:ilvl="7" w:tplc="7F4AD2EA">
      <w:start w:val="1"/>
      <w:numFmt w:val="bullet"/>
      <w:lvlText w:val="o"/>
      <w:lvlJc w:val="left"/>
      <w:pPr>
        <w:ind w:left="5684" w:hanging="360"/>
      </w:pPr>
      <w:rPr>
        <w:rFonts w:ascii="Courier New" w:hAnsi="Courier New" w:cs="Courier New" w:hint="default"/>
      </w:rPr>
    </w:lvl>
    <w:lvl w:ilvl="8" w:tplc="D7E4018E">
      <w:start w:val="1"/>
      <w:numFmt w:val="bullet"/>
      <w:lvlText w:val=""/>
      <w:lvlJc w:val="left"/>
      <w:pPr>
        <w:ind w:left="6404" w:hanging="360"/>
      </w:pPr>
      <w:rPr>
        <w:rFonts w:ascii="Wingdings" w:hAnsi="Wingdings" w:hint="default"/>
      </w:rPr>
    </w:lvl>
  </w:abstractNum>
  <w:abstractNum w:abstractNumId="35" w15:restartNumberingAfterBreak="0">
    <w:nsid w:val="271760B2"/>
    <w:multiLevelType w:val="hybridMultilevel"/>
    <w:tmpl w:val="A24CA6E2"/>
    <w:lvl w:ilvl="0" w:tplc="901AA0B6">
      <w:start w:val="1"/>
      <w:numFmt w:val="lowerLetter"/>
      <w:lvlText w:val="(%1)"/>
      <w:lvlJc w:val="left"/>
      <w:pPr>
        <w:ind w:left="360" w:hanging="360"/>
      </w:pPr>
      <w:rPr>
        <w:i w:val="0"/>
        <w:color w:val="auto"/>
      </w:rPr>
    </w:lvl>
    <w:lvl w:ilvl="1" w:tplc="FBDE3008">
      <w:start w:val="1"/>
      <w:numFmt w:val="lowerLetter"/>
      <w:lvlText w:val="%2."/>
      <w:lvlJc w:val="left"/>
      <w:pPr>
        <w:ind w:left="1080" w:hanging="360"/>
      </w:pPr>
    </w:lvl>
    <w:lvl w:ilvl="2" w:tplc="F4589746">
      <w:start w:val="1"/>
      <w:numFmt w:val="lowerRoman"/>
      <w:lvlText w:val="%3."/>
      <w:lvlJc w:val="right"/>
      <w:pPr>
        <w:ind w:left="1800" w:hanging="180"/>
      </w:pPr>
    </w:lvl>
    <w:lvl w:ilvl="3" w:tplc="D5C6C8F4">
      <w:start w:val="1"/>
      <w:numFmt w:val="decimal"/>
      <w:lvlText w:val="%4."/>
      <w:lvlJc w:val="left"/>
      <w:pPr>
        <w:ind w:left="2520" w:hanging="360"/>
      </w:pPr>
    </w:lvl>
    <w:lvl w:ilvl="4" w:tplc="F4E6D4BE">
      <w:start w:val="1"/>
      <w:numFmt w:val="lowerLetter"/>
      <w:lvlText w:val="%5."/>
      <w:lvlJc w:val="left"/>
      <w:pPr>
        <w:ind w:left="3240" w:hanging="360"/>
      </w:pPr>
    </w:lvl>
    <w:lvl w:ilvl="5" w:tplc="F60CC0EE">
      <w:start w:val="1"/>
      <w:numFmt w:val="lowerRoman"/>
      <w:lvlText w:val="%6."/>
      <w:lvlJc w:val="right"/>
      <w:pPr>
        <w:ind w:left="3960" w:hanging="180"/>
      </w:pPr>
    </w:lvl>
    <w:lvl w:ilvl="6" w:tplc="F266CD70">
      <w:start w:val="1"/>
      <w:numFmt w:val="decimal"/>
      <w:lvlText w:val="%7."/>
      <w:lvlJc w:val="left"/>
      <w:pPr>
        <w:ind w:left="4680" w:hanging="360"/>
      </w:pPr>
    </w:lvl>
    <w:lvl w:ilvl="7" w:tplc="EF263B98">
      <w:start w:val="1"/>
      <w:numFmt w:val="lowerLetter"/>
      <w:lvlText w:val="%8."/>
      <w:lvlJc w:val="left"/>
      <w:pPr>
        <w:ind w:left="5400" w:hanging="360"/>
      </w:pPr>
    </w:lvl>
    <w:lvl w:ilvl="8" w:tplc="8FB8234C">
      <w:start w:val="1"/>
      <w:numFmt w:val="lowerRoman"/>
      <w:lvlText w:val="%9."/>
      <w:lvlJc w:val="right"/>
      <w:pPr>
        <w:ind w:left="6120" w:hanging="180"/>
      </w:pPr>
    </w:lvl>
  </w:abstractNum>
  <w:abstractNum w:abstractNumId="36" w15:restartNumberingAfterBreak="0">
    <w:nsid w:val="279B114E"/>
    <w:multiLevelType w:val="hybridMultilevel"/>
    <w:tmpl w:val="A950E978"/>
    <w:lvl w:ilvl="0" w:tplc="27F8B12C">
      <w:start w:val="1"/>
      <w:numFmt w:val="lowerLetter"/>
      <w:lvlText w:val="(%1)"/>
      <w:lvlJc w:val="left"/>
      <w:pPr>
        <w:ind w:left="360" w:hanging="360"/>
      </w:pPr>
      <w:rPr>
        <w:rFonts w:ascii="Arial" w:hAnsi="Arial" w:cs="Times New Roman" w:hint="default"/>
        <w:b w:val="0"/>
        <w:i w:val="0"/>
        <w:sz w:val="16"/>
        <w:szCs w:val="16"/>
      </w:rPr>
    </w:lvl>
    <w:lvl w:ilvl="1" w:tplc="85B048F8">
      <w:start w:val="1"/>
      <w:numFmt w:val="lowerLetter"/>
      <w:lvlText w:val="%2."/>
      <w:lvlJc w:val="left"/>
      <w:pPr>
        <w:ind w:left="1080" w:hanging="360"/>
      </w:pPr>
    </w:lvl>
    <w:lvl w:ilvl="2" w:tplc="AB00BCF0">
      <w:start w:val="1"/>
      <w:numFmt w:val="lowerRoman"/>
      <w:lvlText w:val="%3."/>
      <w:lvlJc w:val="right"/>
      <w:pPr>
        <w:ind w:left="1800" w:hanging="180"/>
      </w:pPr>
    </w:lvl>
    <w:lvl w:ilvl="3" w:tplc="C388D724">
      <w:start w:val="1"/>
      <w:numFmt w:val="decimal"/>
      <w:lvlText w:val="%4."/>
      <w:lvlJc w:val="left"/>
      <w:pPr>
        <w:ind w:left="2520" w:hanging="360"/>
      </w:pPr>
    </w:lvl>
    <w:lvl w:ilvl="4" w:tplc="F95838CA">
      <w:start w:val="1"/>
      <w:numFmt w:val="lowerLetter"/>
      <w:lvlText w:val="%5."/>
      <w:lvlJc w:val="left"/>
      <w:pPr>
        <w:ind w:left="3240" w:hanging="360"/>
      </w:pPr>
    </w:lvl>
    <w:lvl w:ilvl="5" w:tplc="034A8A2E">
      <w:start w:val="1"/>
      <w:numFmt w:val="lowerRoman"/>
      <w:lvlText w:val="%6."/>
      <w:lvlJc w:val="right"/>
      <w:pPr>
        <w:ind w:left="3960" w:hanging="180"/>
      </w:pPr>
    </w:lvl>
    <w:lvl w:ilvl="6" w:tplc="80F4852C">
      <w:start w:val="1"/>
      <w:numFmt w:val="decimal"/>
      <w:lvlText w:val="%7."/>
      <w:lvlJc w:val="left"/>
      <w:pPr>
        <w:ind w:left="4680" w:hanging="360"/>
      </w:pPr>
    </w:lvl>
    <w:lvl w:ilvl="7" w:tplc="8858F984">
      <w:start w:val="1"/>
      <w:numFmt w:val="lowerLetter"/>
      <w:lvlText w:val="%8."/>
      <w:lvlJc w:val="left"/>
      <w:pPr>
        <w:ind w:left="5400" w:hanging="360"/>
      </w:pPr>
    </w:lvl>
    <w:lvl w:ilvl="8" w:tplc="F3988E10">
      <w:start w:val="1"/>
      <w:numFmt w:val="lowerRoman"/>
      <w:lvlText w:val="%9."/>
      <w:lvlJc w:val="right"/>
      <w:pPr>
        <w:ind w:left="6120" w:hanging="180"/>
      </w:pPr>
    </w:lvl>
  </w:abstractNum>
  <w:abstractNum w:abstractNumId="37" w15:restartNumberingAfterBreak="0">
    <w:nsid w:val="280201FD"/>
    <w:multiLevelType w:val="hybridMultilevel"/>
    <w:tmpl w:val="8AC2B5F0"/>
    <w:lvl w:ilvl="0" w:tplc="A4A4CFCE">
      <w:start w:val="1"/>
      <w:numFmt w:val="lowerLetter"/>
      <w:lvlText w:val="(%1)"/>
      <w:lvlJc w:val="left"/>
      <w:pPr>
        <w:ind w:left="720" w:hanging="360"/>
      </w:pPr>
      <w:rPr>
        <w:rFonts w:ascii="Arial" w:hAnsi="Arial" w:cs="Arial" w:hint="default"/>
        <w:sz w:val="16"/>
        <w:szCs w:val="16"/>
      </w:rPr>
    </w:lvl>
    <w:lvl w:ilvl="1" w:tplc="A33CBEDA" w:tentative="1">
      <w:start w:val="1"/>
      <w:numFmt w:val="lowerLetter"/>
      <w:lvlText w:val="%2."/>
      <w:lvlJc w:val="left"/>
      <w:pPr>
        <w:ind w:left="1440" w:hanging="360"/>
      </w:pPr>
    </w:lvl>
    <w:lvl w:ilvl="2" w:tplc="6D025052" w:tentative="1">
      <w:start w:val="1"/>
      <w:numFmt w:val="lowerRoman"/>
      <w:lvlText w:val="%3."/>
      <w:lvlJc w:val="right"/>
      <w:pPr>
        <w:ind w:left="2160" w:hanging="180"/>
      </w:pPr>
    </w:lvl>
    <w:lvl w:ilvl="3" w:tplc="CB1EF5DE" w:tentative="1">
      <w:start w:val="1"/>
      <w:numFmt w:val="decimal"/>
      <w:lvlText w:val="%4."/>
      <w:lvlJc w:val="left"/>
      <w:pPr>
        <w:ind w:left="2880" w:hanging="360"/>
      </w:pPr>
    </w:lvl>
    <w:lvl w:ilvl="4" w:tplc="E8C0959A" w:tentative="1">
      <w:start w:val="1"/>
      <w:numFmt w:val="lowerLetter"/>
      <w:lvlText w:val="%5."/>
      <w:lvlJc w:val="left"/>
      <w:pPr>
        <w:ind w:left="3600" w:hanging="360"/>
      </w:pPr>
    </w:lvl>
    <w:lvl w:ilvl="5" w:tplc="B2F604D8" w:tentative="1">
      <w:start w:val="1"/>
      <w:numFmt w:val="lowerRoman"/>
      <w:lvlText w:val="%6."/>
      <w:lvlJc w:val="right"/>
      <w:pPr>
        <w:ind w:left="4320" w:hanging="180"/>
      </w:pPr>
    </w:lvl>
    <w:lvl w:ilvl="6" w:tplc="2CA65DD0" w:tentative="1">
      <w:start w:val="1"/>
      <w:numFmt w:val="decimal"/>
      <w:lvlText w:val="%7."/>
      <w:lvlJc w:val="left"/>
      <w:pPr>
        <w:ind w:left="5040" w:hanging="360"/>
      </w:pPr>
    </w:lvl>
    <w:lvl w:ilvl="7" w:tplc="8C1A3724" w:tentative="1">
      <w:start w:val="1"/>
      <w:numFmt w:val="lowerLetter"/>
      <w:lvlText w:val="%8."/>
      <w:lvlJc w:val="left"/>
      <w:pPr>
        <w:ind w:left="5760" w:hanging="360"/>
      </w:pPr>
    </w:lvl>
    <w:lvl w:ilvl="8" w:tplc="DE9200D8" w:tentative="1">
      <w:start w:val="1"/>
      <w:numFmt w:val="lowerRoman"/>
      <w:lvlText w:val="%9."/>
      <w:lvlJc w:val="right"/>
      <w:pPr>
        <w:ind w:left="6480" w:hanging="180"/>
      </w:pPr>
    </w:lvl>
  </w:abstractNum>
  <w:abstractNum w:abstractNumId="38" w15:restartNumberingAfterBreak="0">
    <w:nsid w:val="28254BE0"/>
    <w:multiLevelType w:val="hybridMultilevel"/>
    <w:tmpl w:val="2FA67D8A"/>
    <w:lvl w:ilvl="0" w:tplc="29621664">
      <w:start w:val="1"/>
      <w:numFmt w:val="decimal"/>
      <w:lvlText w:val="%1."/>
      <w:lvlJc w:val="left"/>
      <w:pPr>
        <w:ind w:left="720" w:hanging="360"/>
      </w:pPr>
      <w:rPr>
        <w:i w:val="0"/>
        <w:color w:val="auto"/>
      </w:rPr>
    </w:lvl>
    <w:lvl w:ilvl="1" w:tplc="3B8826C4">
      <w:start w:val="1"/>
      <w:numFmt w:val="lowerLetter"/>
      <w:lvlText w:val="%2."/>
      <w:lvlJc w:val="left"/>
      <w:pPr>
        <w:ind w:left="1440" w:hanging="360"/>
      </w:pPr>
    </w:lvl>
    <w:lvl w:ilvl="2" w:tplc="7FE84A3E">
      <w:start w:val="1"/>
      <w:numFmt w:val="lowerRoman"/>
      <w:lvlText w:val="%3."/>
      <w:lvlJc w:val="right"/>
      <w:pPr>
        <w:ind w:left="2160" w:hanging="180"/>
      </w:pPr>
    </w:lvl>
    <w:lvl w:ilvl="3" w:tplc="9168BD90">
      <w:start w:val="1"/>
      <w:numFmt w:val="decimal"/>
      <w:lvlText w:val="%4."/>
      <w:lvlJc w:val="left"/>
      <w:pPr>
        <w:ind w:left="2880" w:hanging="360"/>
      </w:pPr>
    </w:lvl>
    <w:lvl w:ilvl="4" w:tplc="E1540962">
      <w:start w:val="1"/>
      <w:numFmt w:val="lowerLetter"/>
      <w:lvlText w:val="%5."/>
      <w:lvlJc w:val="left"/>
      <w:pPr>
        <w:ind w:left="3600" w:hanging="360"/>
      </w:pPr>
    </w:lvl>
    <w:lvl w:ilvl="5" w:tplc="31448370">
      <w:start w:val="1"/>
      <w:numFmt w:val="lowerRoman"/>
      <w:lvlText w:val="%6."/>
      <w:lvlJc w:val="right"/>
      <w:pPr>
        <w:ind w:left="4320" w:hanging="180"/>
      </w:pPr>
    </w:lvl>
    <w:lvl w:ilvl="6" w:tplc="E160C688">
      <w:start w:val="1"/>
      <w:numFmt w:val="decimal"/>
      <w:lvlText w:val="%7."/>
      <w:lvlJc w:val="left"/>
      <w:pPr>
        <w:ind w:left="5040" w:hanging="360"/>
      </w:pPr>
    </w:lvl>
    <w:lvl w:ilvl="7" w:tplc="C4E2A03E">
      <w:start w:val="1"/>
      <w:numFmt w:val="lowerLetter"/>
      <w:lvlText w:val="%8."/>
      <w:lvlJc w:val="left"/>
      <w:pPr>
        <w:ind w:left="5760" w:hanging="360"/>
      </w:pPr>
    </w:lvl>
    <w:lvl w:ilvl="8" w:tplc="E2789996">
      <w:start w:val="1"/>
      <w:numFmt w:val="lowerRoman"/>
      <w:lvlText w:val="%9."/>
      <w:lvlJc w:val="right"/>
      <w:pPr>
        <w:ind w:left="6480" w:hanging="180"/>
      </w:pPr>
    </w:lvl>
  </w:abstractNum>
  <w:abstractNum w:abstractNumId="39" w15:restartNumberingAfterBreak="0">
    <w:nsid w:val="29D04229"/>
    <w:multiLevelType w:val="hybridMultilevel"/>
    <w:tmpl w:val="D69CCD60"/>
    <w:lvl w:ilvl="0" w:tplc="55BA2F10">
      <w:start w:val="1"/>
      <w:numFmt w:val="decimal"/>
      <w:lvlText w:val="%1."/>
      <w:lvlJc w:val="left"/>
      <w:pPr>
        <w:ind w:left="360" w:hanging="360"/>
      </w:pPr>
    </w:lvl>
    <w:lvl w:ilvl="1" w:tplc="C03429AE">
      <w:start w:val="1"/>
      <w:numFmt w:val="lowerLetter"/>
      <w:lvlText w:val="%2."/>
      <w:lvlJc w:val="left"/>
      <w:pPr>
        <w:ind w:left="1080" w:hanging="360"/>
      </w:pPr>
    </w:lvl>
    <w:lvl w:ilvl="2" w:tplc="85024316">
      <w:start w:val="1"/>
      <w:numFmt w:val="lowerRoman"/>
      <w:lvlText w:val="%3."/>
      <w:lvlJc w:val="right"/>
      <w:pPr>
        <w:ind w:left="1800" w:hanging="180"/>
      </w:pPr>
    </w:lvl>
    <w:lvl w:ilvl="3" w:tplc="250A6A40">
      <w:start w:val="1"/>
      <w:numFmt w:val="decimal"/>
      <w:lvlText w:val="%4."/>
      <w:lvlJc w:val="left"/>
      <w:pPr>
        <w:ind w:left="2520" w:hanging="360"/>
      </w:pPr>
    </w:lvl>
    <w:lvl w:ilvl="4" w:tplc="848EBD96">
      <w:start w:val="1"/>
      <w:numFmt w:val="lowerLetter"/>
      <w:lvlText w:val="%5."/>
      <w:lvlJc w:val="left"/>
      <w:pPr>
        <w:ind w:left="3240" w:hanging="360"/>
      </w:pPr>
    </w:lvl>
    <w:lvl w:ilvl="5" w:tplc="D66EC722">
      <w:start w:val="1"/>
      <w:numFmt w:val="lowerRoman"/>
      <w:lvlText w:val="%6."/>
      <w:lvlJc w:val="right"/>
      <w:pPr>
        <w:ind w:left="3960" w:hanging="180"/>
      </w:pPr>
    </w:lvl>
    <w:lvl w:ilvl="6" w:tplc="0A9A36DE">
      <w:start w:val="1"/>
      <w:numFmt w:val="decimal"/>
      <w:lvlText w:val="%7."/>
      <w:lvlJc w:val="left"/>
      <w:pPr>
        <w:ind w:left="4680" w:hanging="360"/>
      </w:pPr>
    </w:lvl>
    <w:lvl w:ilvl="7" w:tplc="32CC2F2E">
      <w:start w:val="1"/>
      <w:numFmt w:val="lowerLetter"/>
      <w:lvlText w:val="%8."/>
      <w:lvlJc w:val="left"/>
      <w:pPr>
        <w:ind w:left="5400" w:hanging="360"/>
      </w:pPr>
    </w:lvl>
    <w:lvl w:ilvl="8" w:tplc="55EEE19E">
      <w:start w:val="1"/>
      <w:numFmt w:val="lowerRoman"/>
      <w:lvlText w:val="%9."/>
      <w:lvlJc w:val="right"/>
      <w:pPr>
        <w:ind w:left="6120" w:hanging="180"/>
      </w:pPr>
    </w:lvl>
  </w:abstractNum>
  <w:abstractNum w:abstractNumId="40" w15:restartNumberingAfterBreak="0">
    <w:nsid w:val="2A3E4CC5"/>
    <w:multiLevelType w:val="hybridMultilevel"/>
    <w:tmpl w:val="D1B6B1B8"/>
    <w:lvl w:ilvl="0" w:tplc="3542A924">
      <w:start w:val="1"/>
      <w:numFmt w:val="lowerLetter"/>
      <w:lvlText w:val="(%1)"/>
      <w:lvlJc w:val="left"/>
      <w:pPr>
        <w:ind w:left="360" w:hanging="360"/>
      </w:pPr>
      <w:rPr>
        <w:rFonts w:hint="default"/>
      </w:rPr>
    </w:lvl>
    <w:lvl w:ilvl="1" w:tplc="35E4DC2E" w:tentative="1">
      <w:start w:val="1"/>
      <w:numFmt w:val="lowerLetter"/>
      <w:lvlText w:val="%2."/>
      <w:lvlJc w:val="left"/>
      <w:pPr>
        <w:ind w:left="1080" w:hanging="360"/>
      </w:pPr>
    </w:lvl>
    <w:lvl w:ilvl="2" w:tplc="639CC7A2" w:tentative="1">
      <w:start w:val="1"/>
      <w:numFmt w:val="lowerRoman"/>
      <w:lvlText w:val="%3."/>
      <w:lvlJc w:val="right"/>
      <w:pPr>
        <w:ind w:left="1800" w:hanging="180"/>
      </w:pPr>
    </w:lvl>
    <w:lvl w:ilvl="3" w:tplc="066485C8" w:tentative="1">
      <w:start w:val="1"/>
      <w:numFmt w:val="decimal"/>
      <w:lvlText w:val="%4."/>
      <w:lvlJc w:val="left"/>
      <w:pPr>
        <w:ind w:left="2520" w:hanging="360"/>
      </w:pPr>
    </w:lvl>
    <w:lvl w:ilvl="4" w:tplc="DF1CC9F4" w:tentative="1">
      <w:start w:val="1"/>
      <w:numFmt w:val="lowerLetter"/>
      <w:lvlText w:val="%5."/>
      <w:lvlJc w:val="left"/>
      <w:pPr>
        <w:ind w:left="3240" w:hanging="360"/>
      </w:pPr>
    </w:lvl>
    <w:lvl w:ilvl="5" w:tplc="25E2A1D8" w:tentative="1">
      <w:start w:val="1"/>
      <w:numFmt w:val="lowerRoman"/>
      <w:lvlText w:val="%6."/>
      <w:lvlJc w:val="right"/>
      <w:pPr>
        <w:ind w:left="3960" w:hanging="180"/>
      </w:pPr>
    </w:lvl>
    <w:lvl w:ilvl="6" w:tplc="7F9E676C" w:tentative="1">
      <w:start w:val="1"/>
      <w:numFmt w:val="decimal"/>
      <w:lvlText w:val="%7."/>
      <w:lvlJc w:val="left"/>
      <w:pPr>
        <w:ind w:left="4680" w:hanging="360"/>
      </w:pPr>
    </w:lvl>
    <w:lvl w:ilvl="7" w:tplc="0EAA09F8" w:tentative="1">
      <w:start w:val="1"/>
      <w:numFmt w:val="lowerLetter"/>
      <w:lvlText w:val="%8."/>
      <w:lvlJc w:val="left"/>
      <w:pPr>
        <w:ind w:left="5400" w:hanging="360"/>
      </w:pPr>
    </w:lvl>
    <w:lvl w:ilvl="8" w:tplc="D27454BE" w:tentative="1">
      <w:start w:val="1"/>
      <w:numFmt w:val="lowerRoman"/>
      <w:lvlText w:val="%9."/>
      <w:lvlJc w:val="right"/>
      <w:pPr>
        <w:ind w:left="6120" w:hanging="180"/>
      </w:pPr>
    </w:lvl>
  </w:abstractNum>
  <w:abstractNum w:abstractNumId="41" w15:restartNumberingAfterBreak="0">
    <w:nsid w:val="2AA9463F"/>
    <w:multiLevelType w:val="hybridMultilevel"/>
    <w:tmpl w:val="89E0E718"/>
    <w:lvl w:ilvl="0" w:tplc="D8C0BE6C">
      <w:start w:val="1"/>
      <w:numFmt w:val="lowerLetter"/>
      <w:lvlText w:val="(%1)"/>
      <w:lvlJc w:val="left"/>
      <w:pPr>
        <w:ind w:left="720" w:hanging="360"/>
      </w:pPr>
      <w:rPr>
        <w:rFonts w:hint="default"/>
      </w:rPr>
    </w:lvl>
    <w:lvl w:ilvl="1" w:tplc="BB64993A" w:tentative="1">
      <w:start w:val="1"/>
      <w:numFmt w:val="lowerLetter"/>
      <w:lvlText w:val="%2."/>
      <w:lvlJc w:val="left"/>
      <w:pPr>
        <w:ind w:left="1440" w:hanging="360"/>
      </w:pPr>
    </w:lvl>
    <w:lvl w:ilvl="2" w:tplc="D3ECA286" w:tentative="1">
      <w:start w:val="1"/>
      <w:numFmt w:val="lowerRoman"/>
      <w:lvlText w:val="%3."/>
      <w:lvlJc w:val="right"/>
      <w:pPr>
        <w:ind w:left="2160" w:hanging="180"/>
      </w:pPr>
    </w:lvl>
    <w:lvl w:ilvl="3" w:tplc="7D12A566" w:tentative="1">
      <w:start w:val="1"/>
      <w:numFmt w:val="decimal"/>
      <w:lvlText w:val="%4."/>
      <w:lvlJc w:val="left"/>
      <w:pPr>
        <w:ind w:left="2880" w:hanging="360"/>
      </w:pPr>
    </w:lvl>
    <w:lvl w:ilvl="4" w:tplc="D078423A" w:tentative="1">
      <w:start w:val="1"/>
      <w:numFmt w:val="lowerLetter"/>
      <w:lvlText w:val="%5."/>
      <w:lvlJc w:val="left"/>
      <w:pPr>
        <w:ind w:left="3600" w:hanging="360"/>
      </w:pPr>
    </w:lvl>
    <w:lvl w:ilvl="5" w:tplc="FFF27AA6" w:tentative="1">
      <w:start w:val="1"/>
      <w:numFmt w:val="lowerRoman"/>
      <w:lvlText w:val="%6."/>
      <w:lvlJc w:val="right"/>
      <w:pPr>
        <w:ind w:left="4320" w:hanging="180"/>
      </w:pPr>
    </w:lvl>
    <w:lvl w:ilvl="6" w:tplc="CCF8E94E" w:tentative="1">
      <w:start w:val="1"/>
      <w:numFmt w:val="decimal"/>
      <w:lvlText w:val="%7."/>
      <w:lvlJc w:val="left"/>
      <w:pPr>
        <w:ind w:left="5040" w:hanging="360"/>
      </w:pPr>
    </w:lvl>
    <w:lvl w:ilvl="7" w:tplc="E3664386" w:tentative="1">
      <w:start w:val="1"/>
      <w:numFmt w:val="lowerLetter"/>
      <w:lvlText w:val="%8."/>
      <w:lvlJc w:val="left"/>
      <w:pPr>
        <w:ind w:left="5760" w:hanging="360"/>
      </w:pPr>
    </w:lvl>
    <w:lvl w:ilvl="8" w:tplc="D2FCA198" w:tentative="1">
      <w:start w:val="1"/>
      <w:numFmt w:val="lowerRoman"/>
      <w:lvlText w:val="%9."/>
      <w:lvlJc w:val="right"/>
      <w:pPr>
        <w:ind w:left="6480" w:hanging="180"/>
      </w:pPr>
    </w:lvl>
  </w:abstractNum>
  <w:abstractNum w:abstractNumId="42" w15:restartNumberingAfterBreak="0">
    <w:nsid w:val="2BE2432D"/>
    <w:multiLevelType w:val="hybridMultilevel"/>
    <w:tmpl w:val="7F02F6DC"/>
    <w:lvl w:ilvl="0" w:tplc="6058A7C8">
      <w:start w:val="1"/>
      <w:numFmt w:val="lowerLetter"/>
      <w:lvlText w:val="(%1)"/>
      <w:lvlJc w:val="left"/>
      <w:pPr>
        <w:ind w:left="720" w:hanging="360"/>
      </w:pPr>
      <w:rPr>
        <w:rFonts w:hint="default"/>
      </w:rPr>
    </w:lvl>
    <w:lvl w:ilvl="1" w:tplc="46A0E286" w:tentative="1">
      <w:start w:val="1"/>
      <w:numFmt w:val="lowerLetter"/>
      <w:lvlText w:val="%2."/>
      <w:lvlJc w:val="left"/>
      <w:pPr>
        <w:ind w:left="1440" w:hanging="360"/>
      </w:pPr>
    </w:lvl>
    <w:lvl w:ilvl="2" w:tplc="E7B48ED6" w:tentative="1">
      <w:start w:val="1"/>
      <w:numFmt w:val="lowerRoman"/>
      <w:lvlText w:val="%3."/>
      <w:lvlJc w:val="right"/>
      <w:pPr>
        <w:ind w:left="2160" w:hanging="180"/>
      </w:pPr>
    </w:lvl>
    <w:lvl w:ilvl="3" w:tplc="224051B4" w:tentative="1">
      <w:start w:val="1"/>
      <w:numFmt w:val="decimal"/>
      <w:lvlText w:val="%4."/>
      <w:lvlJc w:val="left"/>
      <w:pPr>
        <w:ind w:left="2880" w:hanging="360"/>
      </w:pPr>
    </w:lvl>
    <w:lvl w:ilvl="4" w:tplc="B6F6A634" w:tentative="1">
      <w:start w:val="1"/>
      <w:numFmt w:val="lowerLetter"/>
      <w:lvlText w:val="%5."/>
      <w:lvlJc w:val="left"/>
      <w:pPr>
        <w:ind w:left="3600" w:hanging="360"/>
      </w:pPr>
    </w:lvl>
    <w:lvl w:ilvl="5" w:tplc="C706B15C" w:tentative="1">
      <w:start w:val="1"/>
      <w:numFmt w:val="lowerRoman"/>
      <w:lvlText w:val="%6."/>
      <w:lvlJc w:val="right"/>
      <w:pPr>
        <w:ind w:left="4320" w:hanging="180"/>
      </w:pPr>
    </w:lvl>
    <w:lvl w:ilvl="6" w:tplc="866430DC" w:tentative="1">
      <w:start w:val="1"/>
      <w:numFmt w:val="decimal"/>
      <w:lvlText w:val="%7."/>
      <w:lvlJc w:val="left"/>
      <w:pPr>
        <w:ind w:left="5040" w:hanging="360"/>
      </w:pPr>
    </w:lvl>
    <w:lvl w:ilvl="7" w:tplc="F2E247A0" w:tentative="1">
      <w:start w:val="1"/>
      <w:numFmt w:val="lowerLetter"/>
      <w:lvlText w:val="%8."/>
      <w:lvlJc w:val="left"/>
      <w:pPr>
        <w:ind w:left="5760" w:hanging="360"/>
      </w:pPr>
    </w:lvl>
    <w:lvl w:ilvl="8" w:tplc="30EE809C" w:tentative="1">
      <w:start w:val="1"/>
      <w:numFmt w:val="lowerRoman"/>
      <w:lvlText w:val="%9."/>
      <w:lvlJc w:val="right"/>
      <w:pPr>
        <w:ind w:left="6480" w:hanging="180"/>
      </w:pPr>
    </w:lvl>
  </w:abstractNum>
  <w:abstractNum w:abstractNumId="43" w15:restartNumberingAfterBreak="0">
    <w:nsid w:val="2C56275E"/>
    <w:multiLevelType w:val="hybridMultilevel"/>
    <w:tmpl w:val="9FFE64AE"/>
    <w:lvl w:ilvl="0" w:tplc="5AFE3B4A">
      <w:start w:val="1"/>
      <w:numFmt w:val="lowerLetter"/>
      <w:lvlText w:val="(%1)"/>
      <w:lvlJc w:val="left"/>
      <w:pPr>
        <w:ind w:left="360" w:hanging="360"/>
      </w:pPr>
      <w:rPr>
        <w:rFonts w:ascii="Arial" w:hAnsi="Arial" w:cs="Arial" w:hint="default"/>
      </w:rPr>
    </w:lvl>
    <w:lvl w:ilvl="1" w:tplc="E5BC11E2" w:tentative="1">
      <w:start w:val="1"/>
      <w:numFmt w:val="lowerLetter"/>
      <w:lvlText w:val="%2."/>
      <w:lvlJc w:val="left"/>
      <w:pPr>
        <w:ind w:left="1080" w:hanging="360"/>
      </w:pPr>
    </w:lvl>
    <w:lvl w:ilvl="2" w:tplc="581A6896" w:tentative="1">
      <w:start w:val="1"/>
      <w:numFmt w:val="lowerRoman"/>
      <w:lvlText w:val="%3."/>
      <w:lvlJc w:val="right"/>
      <w:pPr>
        <w:ind w:left="1800" w:hanging="180"/>
      </w:pPr>
    </w:lvl>
    <w:lvl w:ilvl="3" w:tplc="B68A6C82" w:tentative="1">
      <w:start w:val="1"/>
      <w:numFmt w:val="decimal"/>
      <w:lvlText w:val="%4."/>
      <w:lvlJc w:val="left"/>
      <w:pPr>
        <w:ind w:left="2520" w:hanging="360"/>
      </w:pPr>
    </w:lvl>
    <w:lvl w:ilvl="4" w:tplc="17EE53BE" w:tentative="1">
      <w:start w:val="1"/>
      <w:numFmt w:val="lowerLetter"/>
      <w:lvlText w:val="%5."/>
      <w:lvlJc w:val="left"/>
      <w:pPr>
        <w:ind w:left="3240" w:hanging="360"/>
      </w:pPr>
    </w:lvl>
    <w:lvl w:ilvl="5" w:tplc="0D1664FA" w:tentative="1">
      <w:start w:val="1"/>
      <w:numFmt w:val="lowerRoman"/>
      <w:lvlText w:val="%6."/>
      <w:lvlJc w:val="right"/>
      <w:pPr>
        <w:ind w:left="3960" w:hanging="180"/>
      </w:pPr>
    </w:lvl>
    <w:lvl w:ilvl="6" w:tplc="2AA097B8" w:tentative="1">
      <w:start w:val="1"/>
      <w:numFmt w:val="decimal"/>
      <w:lvlText w:val="%7."/>
      <w:lvlJc w:val="left"/>
      <w:pPr>
        <w:ind w:left="4680" w:hanging="360"/>
      </w:pPr>
    </w:lvl>
    <w:lvl w:ilvl="7" w:tplc="0FD6F516" w:tentative="1">
      <w:start w:val="1"/>
      <w:numFmt w:val="lowerLetter"/>
      <w:lvlText w:val="%8."/>
      <w:lvlJc w:val="left"/>
      <w:pPr>
        <w:ind w:left="5400" w:hanging="360"/>
      </w:pPr>
    </w:lvl>
    <w:lvl w:ilvl="8" w:tplc="D4344798" w:tentative="1">
      <w:start w:val="1"/>
      <w:numFmt w:val="lowerRoman"/>
      <w:lvlText w:val="%9."/>
      <w:lvlJc w:val="right"/>
      <w:pPr>
        <w:ind w:left="6120" w:hanging="180"/>
      </w:pPr>
    </w:lvl>
  </w:abstractNum>
  <w:abstractNum w:abstractNumId="44" w15:restartNumberingAfterBreak="0">
    <w:nsid w:val="2E1479E9"/>
    <w:multiLevelType w:val="hybridMultilevel"/>
    <w:tmpl w:val="C9F20640"/>
    <w:lvl w:ilvl="0" w:tplc="F500B1D6">
      <w:start w:val="1"/>
      <w:numFmt w:val="lowerLetter"/>
      <w:lvlText w:val="(%1)"/>
      <w:lvlJc w:val="left"/>
      <w:pPr>
        <w:ind w:left="360" w:hanging="360"/>
      </w:pPr>
      <w:rPr>
        <w:rFonts w:hint="default"/>
      </w:rPr>
    </w:lvl>
    <w:lvl w:ilvl="1" w:tplc="1564E7D2" w:tentative="1">
      <w:start w:val="1"/>
      <w:numFmt w:val="lowerLetter"/>
      <w:lvlText w:val="%2."/>
      <w:lvlJc w:val="left"/>
      <w:pPr>
        <w:ind w:left="1080" w:hanging="360"/>
      </w:pPr>
    </w:lvl>
    <w:lvl w:ilvl="2" w:tplc="1638C516" w:tentative="1">
      <w:start w:val="1"/>
      <w:numFmt w:val="lowerRoman"/>
      <w:lvlText w:val="%3."/>
      <w:lvlJc w:val="right"/>
      <w:pPr>
        <w:ind w:left="1800" w:hanging="180"/>
      </w:pPr>
    </w:lvl>
    <w:lvl w:ilvl="3" w:tplc="7EEEFAEC" w:tentative="1">
      <w:start w:val="1"/>
      <w:numFmt w:val="decimal"/>
      <w:lvlText w:val="%4."/>
      <w:lvlJc w:val="left"/>
      <w:pPr>
        <w:ind w:left="2520" w:hanging="360"/>
      </w:pPr>
    </w:lvl>
    <w:lvl w:ilvl="4" w:tplc="E676E00C" w:tentative="1">
      <w:start w:val="1"/>
      <w:numFmt w:val="lowerLetter"/>
      <w:lvlText w:val="%5."/>
      <w:lvlJc w:val="left"/>
      <w:pPr>
        <w:ind w:left="3240" w:hanging="360"/>
      </w:pPr>
    </w:lvl>
    <w:lvl w:ilvl="5" w:tplc="AF001940" w:tentative="1">
      <w:start w:val="1"/>
      <w:numFmt w:val="lowerRoman"/>
      <w:lvlText w:val="%6."/>
      <w:lvlJc w:val="right"/>
      <w:pPr>
        <w:ind w:left="3960" w:hanging="180"/>
      </w:pPr>
    </w:lvl>
    <w:lvl w:ilvl="6" w:tplc="F44CC1E6" w:tentative="1">
      <w:start w:val="1"/>
      <w:numFmt w:val="decimal"/>
      <w:lvlText w:val="%7."/>
      <w:lvlJc w:val="left"/>
      <w:pPr>
        <w:ind w:left="4680" w:hanging="360"/>
      </w:pPr>
    </w:lvl>
    <w:lvl w:ilvl="7" w:tplc="231A21C6" w:tentative="1">
      <w:start w:val="1"/>
      <w:numFmt w:val="lowerLetter"/>
      <w:lvlText w:val="%8."/>
      <w:lvlJc w:val="left"/>
      <w:pPr>
        <w:ind w:left="5400" w:hanging="360"/>
      </w:pPr>
    </w:lvl>
    <w:lvl w:ilvl="8" w:tplc="0C1CF68A" w:tentative="1">
      <w:start w:val="1"/>
      <w:numFmt w:val="lowerRoman"/>
      <w:lvlText w:val="%9."/>
      <w:lvlJc w:val="right"/>
      <w:pPr>
        <w:ind w:left="6120" w:hanging="180"/>
      </w:pPr>
    </w:lvl>
  </w:abstractNum>
  <w:abstractNum w:abstractNumId="45" w15:restartNumberingAfterBreak="0">
    <w:nsid w:val="2EB49A91"/>
    <w:multiLevelType w:val="hybridMultilevel"/>
    <w:tmpl w:val="CA187830"/>
    <w:lvl w:ilvl="0" w:tplc="D0B404B6">
      <w:start w:val="1"/>
      <w:numFmt w:val="lowerLetter"/>
      <w:lvlText w:val="(%1)"/>
      <w:lvlJc w:val="left"/>
      <w:pPr>
        <w:ind w:left="360" w:hanging="360"/>
      </w:pPr>
      <w:rPr>
        <w:rFonts w:ascii="Arial" w:hAnsi="Arial" w:cs="Arial" w:hint="default"/>
        <w:i w:val="0"/>
        <w:sz w:val="16"/>
        <w:szCs w:val="16"/>
      </w:rPr>
    </w:lvl>
    <w:lvl w:ilvl="1" w:tplc="09008D44">
      <w:start w:val="1"/>
      <w:numFmt w:val="lowerLetter"/>
      <w:lvlText w:val="%2."/>
      <w:lvlJc w:val="left"/>
      <w:pPr>
        <w:ind w:left="1080" w:hanging="360"/>
      </w:pPr>
    </w:lvl>
    <w:lvl w:ilvl="2" w:tplc="10BC56B2">
      <w:start w:val="1"/>
      <w:numFmt w:val="lowerRoman"/>
      <w:lvlText w:val="%3."/>
      <w:lvlJc w:val="right"/>
      <w:pPr>
        <w:ind w:left="1800" w:hanging="180"/>
      </w:pPr>
    </w:lvl>
    <w:lvl w:ilvl="3" w:tplc="548289AE">
      <w:start w:val="1"/>
      <w:numFmt w:val="decimal"/>
      <w:lvlText w:val="%4."/>
      <w:lvlJc w:val="left"/>
      <w:pPr>
        <w:ind w:left="2520" w:hanging="360"/>
      </w:pPr>
    </w:lvl>
    <w:lvl w:ilvl="4" w:tplc="6A3C1D5A">
      <w:start w:val="1"/>
      <w:numFmt w:val="lowerLetter"/>
      <w:lvlText w:val="%5."/>
      <w:lvlJc w:val="left"/>
      <w:pPr>
        <w:ind w:left="3240" w:hanging="360"/>
      </w:pPr>
    </w:lvl>
    <w:lvl w:ilvl="5" w:tplc="73643B30">
      <w:start w:val="1"/>
      <w:numFmt w:val="lowerRoman"/>
      <w:lvlText w:val="%6."/>
      <w:lvlJc w:val="right"/>
      <w:pPr>
        <w:ind w:left="3960" w:hanging="180"/>
      </w:pPr>
    </w:lvl>
    <w:lvl w:ilvl="6" w:tplc="32AA108C">
      <w:start w:val="1"/>
      <w:numFmt w:val="decimal"/>
      <w:lvlText w:val="%7."/>
      <w:lvlJc w:val="left"/>
      <w:pPr>
        <w:ind w:left="4680" w:hanging="360"/>
      </w:pPr>
    </w:lvl>
    <w:lvl w:ilvl="7" w:tplc="232A5ECE">
      <w:start w:val="1"/>
      <w:numFmt w:val="lowerLetter"/>
      <w:lvlText w:val="%8."/>
      <w:lvlJc w:val="left"/>
      <w:pPr>
        <w:ind w:left="5400" w:hanging="360"/>
      </w:pPr>
    </w:lvl>
    <w:lvl w:ilvl="8" w:tplc="8E96B85E">
      <w:start w:val="1"/>
      <w:numFmt w:val="lowerRoman"/>
      <w:lvlText w:val="%9."/>
      <w:lvlJc w:val="right"/>
      <w:pPr>
        <w:ind w:left="6120" w:hanging="180"/>
      </w:pPr>
    </w:lvl>
  </w:abstractNum>
  <w:abstractNum w:abstractNumId="46" w15:restartNumberingAfterBreak="0">
    <w:nsid w:val="2FA576CB"/>
    <w:multiLevelType w:val="hybridMultilevel"/>
    <w:tmpl w:val="45B0C308"/>
    <w:lvl w:ilvl="0" w:tplc="D9AC4F4E">
      <w:start w:val="1"/>
      <w:numFmt w:val="bullet"/>
      <w:lvlText w:val=""/>
      <w:lvlJc w:val="left"/>
      <w:pPr>
        <w:ind w:left="720" w:hanging="360"/>
      </w:pPr>
      <w:rPr>
        <w:rFonts w:ascii="Symbol" w:hAnsi="Symbol" w:hint="default"/>
      </w:rPr>
    </w:lvl>
    <w:lvl w:ilvl="1" w:tplc="BB68F500" w:tentative="1">
      <w:start w:val="1"/>
      <w:numFmt w:val="bullet"/>
      <w:lvlText w:val="o"/>
      <w:lvlJc w:val="left"/>
      <w:pPr>
        <w:ind w:left="1440" w:hanging="360"/>
      </w:pPr>
      <w:rPr>
        <w:rFonts w:ascii="Courier New" w:hAnsi="Courier New" w:cs="Courier New" w:hint="default"/>
      </w:rPr>
    </w:lvl>
    <w:lvl w:ilvl="2" w:tplc="917493F6" w:tentative="1">
      <w:start w:val="1"/>
      <w:numFmt w:val="bullet"/>
      <w:lvlText w:val=""/>
      <w:lvlJc w:val="left"/>
      <w:pPr>
        <w:ind w:left="2160" w:hanging="360"/>
      </w:pPr>
      <w:rPr>
        <w:rFonts w:ascii="Wingdings" w:hAnsi="Wingdings" w:hint="default"/>
      </w:rPr>
    </w:lvl>
    <w:lvl w:ilvl="3" w:tplc="C3D69852" w:tentative="1">
      <w:start w:val="1"/>
      <w:numFmt w:val="bullet"/>
      <w:lvlText w:val=""/>
      <w:lvlJc w:val="left"/>
      <w:pPr>
        <w:ind w:left="2880" w:hanging="360"/>
      </w:pPr>
      <w:rPr>
        <w:rFonts w:ascii="Symbol" w:hAnsi="Symbol" w:hint="default"/>
      </w:rPr>
    </w:lvl>
    <w:lvl w:ilvl="4" w:tplc="25D4C374" w:tentative="1">
      <w:start w:val="1"/>
      <w:numFmt w:val="bullet"/>
      <w:lvlText w:val="o"/>
      <w:lvlJc w:val="left"/>
      <w:pPr>
        <w:ind w:left="3600" w:hanging="360"/>
      </w:pPr>
      <w:rPr>
        <w:rFonts w:ascii="Courier New" w:hAnsi="Courier New" w:cs="Courier New" w:hint="default"/>
      </w:rPr>
    </w:lvl>
    <w:lvl w:ilvl="5" w:tplc="E774E3AA" w:tentative="1">
      <w:start w:val="1"/>
      <w:numFmt w:val="bullet"/>
      <w:lvlText w:val=""/>
      <w:lvlJc w:val="left"/>
      <w:pPr>
        <w:ind w:left="4320" w:hanging="360"/>
      </w:pPr>
      <w:rPr>
        <w:rFonts w:ascii="Wingdings" w:hAnsi="Wingdings" w:hint="default"/>
      </w:rPr>
    </w:lvl>
    <w:lvl w:ilvl="6" w:tplc="94783BC0" w:tentative="1">
      <w:start w:val="1"/>
      <w:numFmt w:val="bullet"/>
      <w:lvlText w:val=""/>
      <w:lvlJc w:val="left"/>
      <w:pPr>
        <w:ind w:left="5040" w:hanging="360"/>
      </w:pPr>
      <w:rPr>
        <w:rFonts w:ascii="Symbol" w:hAnsi="Symbol" w:hint="default"/>
      </w:rPr>
    </w:lvl>
    <w:lvl w:ilvl="7" w:tplc="A9FA6D6C" w:tentative="1">
      <w:start w:val="1"/>
      <w:numFmt w:val="bullet"/>
      <w:lvlText w:val="o"/>
      <w:lvlJc w:val="left"/>
      <w:pPr>
        <w:ind w:left="5760" w:hanging="360"/>
      </w:pPr>
      <w:rPr>
        <w:rFonts w:ascii="Courier New" w:hAnsi="Courier New" w:cs="Courier New" w:hint="default"/>
      </w:rPr>
    </w:lvl>
    <w:lvl w:ilvl="8" w:tplc="5596BB3E" w:tentative="1">
      <w:start w:val="1"/>
      <w:numFmt w:val="bullet"/>
      <w:lvlText w:val=""/>
      <w:lvlJc w:val="left"/>
      <w:pPr>
        <w:ind w:left="6480" w:hanging="360"/>
      </w:pPr>
      <w:rPr>
        <w:rFonts w:ascii="Wingdings" w:hAnsi="Wingdings" w:hint="default"/>
      </w:rPr>
    </w:lvl>
  </w:abstractNum>
  <w:abstractNum w:abstractNumId="47" w15:restartNumberingAfterBreak="0">
    <w:nsid w:val="31DF136A"/>
    <w:multiLevelType w:val="hybridMultilevel"/>
    <w:tmpl w:val="AA18EF34"/>
    <w:lvl w:ilvl="0" w:tplc="D23006F4">
      <w:start w:val="1"/>
      <w:numFmt w:val="bullet"/>
      <w:lvlText w:val=""/>
      <w:lvlJc w:val="left"/>
      <w:pPr>
        <w:ind w:left="1211" w:hanging="360"/>
      </w:pPr>
      <w:rPr>
        <w:rFonts w:ascii="Symbol" w:hAnsi="Symbol" w:hint="default"/>
        <w:color w:val="auto"/>
      </w:rPr>
    </w:lvl>
    <w:lvl w:ilvl="1" w:tplc="07F0FB58">
      <w:start w:val="1"/>
      <w:numFmt w:val="bullet"/>
      <w:lvlText w:val="o"/>
      <w:lvlJc w:val="left"/>
      <w:pPr>
        <w:ind w:left="1440" w:hanging="360"/>
      </w:pPr>
      <w:rPr>
        <w:rFonts w:ascii="Courier New" w:hAnsi="Courier New" w:cs="Courier New" w:hint="default"/>
      </w:rPr>
    </w:lvl>
    <w:lvl w:ilvl="2" w:tplc="2B583FB8">
      <w:start w:val="1"/>
      <w:numFmt w:val="bullet"/>
      <w:lvlText w:val=""/>
      <w:lvlJc w:val="left"/>
      <w:pPr>
        <w:ind w:left="2160" w:hanging="360"/>
      </w:pPr>
      <w:rPr>
        <w:rFonts w:ascii="Wingdings" w:hAnsi="Wingdings" w:hint="default"/>
      </w:rPr>
    </w:lvl>
    <w:lvl w:ilvl="3" w:tplc="04101658">
      <w:start w:val="1"/>
      <w:numFmt w:val="bullet"/>
      <w:lvlText w:val=""/>
      <w:lvlJc w:val="left"/>
      <w:pPr>
        <w:ind w:left="2880" w:hanging="360"/>
      </w:pPr>
      <w:rPr>
        <w:rFonts w:ascii="Symbol" w:hAnsi="Symbol" w:hint="default"/>
      </w:rPr>
    </w:lvl>
    <w:lvl w:ilvl="4" w:tplc="6B203D8C">
      <w:start w:val="1"/>
      <w:numFmt w:val="bullet"/>
      <w:lvlText w:val="o"/>
      <w:lvlJc w:val="left"/>
      <w:pPr>
        <w:ind w:left="3600" w:hanging="360"/>
      </w:pPr>
      <w:rPr>
        <w:rFonts w:ascii="Courier New" w:hAnsi="Courier New" w:cs="Courier New" w:hint="default"/>
      </w:rPr>
    </w:lvl>
    <w:lvl w:ilvl="5" w:tplc="A038F3C8">
      <w:start w:val="1"/>
      <w:numFmt w:val="bullet"/>
      <w:lvlText w:val=""/>
      <w:lvlJc w:val="left"/>
      <w:pPr>
        <w:ind w:left="4320" w:hanging="360"/>
      </w:pPr>
      <w:rPr>
        <w:rFonts w:ascii="Wingdings" w:hAnsi="Wingdings" w:hint="default"/>
      </w:rPr>
    </w:lvl>
    <w:lvl w:ilvl="6" w:tplc="F7F2A684">
      <w:start w:val="1"/>
      <w:numFmt w:val="bullet"/>
      <w:lvlText w:val=""/>
      <w:lvlJc w:val="left"/>
      <w:pPr>
        <w:ind w:left="5040" w:hanging="360"/>
      </w:pPr>
      <w:rPr>
        <w:rFonts w:ascii="Symbol" w:hAnsi="Symbol" w:hint="default"/>
      </w:rPr>
    </w:lvl>
    <w:lvl w:ilvl="7" w:tplc="9E70B17E">
      <w:start w:val="1"/>
      <w:numFmt w:val="bullet"/>
      <w:lvlText w:val="o"/>
      <w:lvlJc w:val="left"/>
      <w:pPr>
        <w:ind w:left="5760" w:hanging="360"/>
      </w:pPr>
      <w:rPr>
        <w:rFonts w:ascii="Courier New" w:hAnsi="Courier New" w:cs="Courier New" w:hint="default"/>
      </w:rPr>
    </w:lvl>
    <w:lvl w:ilvl="8" w:tplc="C60C4ED0">
      <w:start w:val="1"/>
      <w:numFmt w:val="bullet"/>
      <w:lvlText w:val=""/>
      <w:lvlJc w:val="left"/>
      <w:pPr>
        <w:ind w:left="6480" w:hanging="360"/>
      </w:pPr>
      <w:rPr>
        <w:rFonts w:ascii="Wingdings" w:hAnsi="Wingdings" w:hint="default"/>
      </w:rPr>
    </w:lvl>
  </w:abstractNum>
  <w:abstractNum w:abstractNumId="48" w15:restartNumberingAfterBreak="0">
    <w:nsid w:val="34264752"/>
    <w:multiLevelType w:val="hybridMultilevel"/>
    <w:tmpl w:val="89C4B010"/>
    <w:lvl w:ilvl="0" w:tplc="6352B55E">
      <w:start w:val="1"/>
      <w:numFmt w:val="lowerLetter"/>
      <w:lvlText w:val="(%1)"/>
      <w:lvlJc w:val="left"/>
      <w:pPr>
        <w:ind w:left="360" w:hanging="360"/>
      </w:pPr>
      <w:rPr>
        <w:rFonts w:hint="default"/>
      </w:rPr>
    </w:lvl>
    <w:lvl w:ilvl="1" w:tplc="5838E072" w:tentative="1">
      <w:start w:val="1"/>
      <w:numFmt w:val="lowerLetter"/>
      <w:lvlText w:val="%2."/>
      <w:lvlJc w:val="left"/>
      <w:pPr>
        <w:ind w:left="1080" w:hanging="360"/>
      </w:pPr>
    </w:lvl>
    <w:lvl w:ilvl="2" w:tplc="081EDBB4" w:tentative="1">
      <w:start w:val="1"/>
      <w:numFmt w:val="lowerRoman"/>
      <w:lvlText w:val="%3."/>
      <w:lvlJc w:val="right"/>
      <w:pPr>
        <w:ind w:left="1800" w:hanging="180"/>
      </w:pPr>
    </w:lvl>
    <w:lvl w:ilvl="3" w:tplc="4336F468" w:tentative="1">
      <w:start w:val="1"/>
      <w:numFmt w:val="decimal"/>
      <w:lvlText w:val="%4."/>
      <w:lvlJc w:val="left"/>
      <w:pPr>
        <w:ind w:left="2520" w:hanging="360"/>
      </w:pPr>
    </w:lvl>
    <w:lvl w:ilvl="4" w:tplc="E1F02EF0" w:tentative="1">
      <w:start w:val="1"/>
      <w:numFmt w:val="lowerLetter"/>
      <w:lvlText w:val="%5."/>
      <w:lvlJc w:val="left"/>
      <w:pPr>
        <w:ind w:left="3240" w:hanging="360"/>
      </w:pPr>
    </w:lvl>
    <w:lvl w:ilvl="5" w:tplc="2774D71A" w:tentative="1">
      <w:start w:val="1"/>
      <w:numFmt w:val="lowerRoman"/>
      <w:lvlText w:val="%6."/>
      <w:lvlJc w:val="right"/>
      <w:pPr>
        <w:ind w:left="3960" w:hanging="180"/>
      </w:pPr>
    </w:lvl>
    <w:lvl w:ilvl="6" w:tplc="7848FA5E" w:tentative="1">
      <w:start w:val="1"/>
      <w:numFmt w:val="decimal"/>
      <w:lvlText w:val="%7."/>
      <w:lvlJc w:val="left"/>
      <w:pPr>
        <w:ind w:left="4680" w:hanging="360"/>
      </w:pPr>
    </w:lvl>
    <w:lvl w:ilvl="7" w:tplc="9B686774" w:tentative="1">
      <w:start w:val="1"/>
      <w:numFmt w:val="lowerLetter"/>
      <w:lvlText w:val="%8."/>
      <w:lvlJc w:val="left"/>
      <w:pPr>
        <w:ind w:left="5400" w:hanging="360"/>
      </w:pPr>
    </w:lvl>
    <w:lvl w:ilvl="8" w:tplc="6888A108" w:tentative="1">
      <w:start w:val="1"/>
      <w:numFmt w:val="lowerRoman"/>
      <w:lvlText w:val="%9."/>
      <w:lvlJc w:val="right"/>
      <w:pPr>
        <w:ind w:left="6120" w:hanging="180"/>
      </w:pPr>
    </w:lvl>
  </w:abstractNum>
  <w:abstractNum w:abstractNumId="49" w15:restartNumberingAfterBreak="0">
    <w:nsid w:val="34E70976"/>
    <w:multiLevelType w:val="hybridMultilevel"/>
    <w:tmpl w:val="AA18EF34"/>
    <w:lvl w:ilvl="0" w:tplc="B70E0178">
      <w:start w:val="1"/>
      <w:numFmt w:val="bullet"/>
      <w:lvlText w:val=""/>
      <w:lvlJc w:val="left"/>
      <w:pPr>
        <w:ind w:left="720" w:hanging="360"/>
      </w:pPr>
      <w:rPr>
        <w:rFonts w:ascii="Symbol" w:hAnsi="Symbol" w:hint="default"/>
        <w:color w:val="auto"/>
      </w:rPr>
    </w:lvl>
    <w:lvl w:ilvl="1" w:tplc="CB9A7098">
      <w:start w:val="1"/>
      <w:numFmt w:val="bullet"/>
      <w:lvlText w:val="o"/>
      <w:lvlJc w:val="left"/>
      <w:pPr>
        <w:ind w:left="1440" w:hanging="360"/>
      </w:pPr>
      <w:rPr>
        <w:rFonts w:ascii="Courier New" w:hAnsi="Courier New" w:cs="Courier New" w:hint="default"/>
      </w:rPr>
    </w:lvl>
    <w:lvl w:ilvl="2" w:tplc="10FA8296">
      <w:start w:val="1"/>
      <w:numFmt w:val="bullet"/>
      <w:lvlText w:val=""/>
      <w:lvlJc w:val="left"/>
      <w:pPr>
        <w:ind w:left="2160" w:hanging="360"/>
      </w:pPr>
      <w:rPr>
        <w:rFonts w:ascii="Wingdings" w:hAnsi="Wingdings" w:hint="default"/>
      </w:rPr>
    </w:lvl>
    <w:lvl w:ilvl="3" w:tplc="45D2D964">
      <w:start w:val="1"/>
      <w:numFmt w:val="bullet"/>
      <w:lvlText w:val=""/>
      <w:lvlJc w:val="left"/>
      <w:pPr>
        <w:ind w:left="2880" w:hanging="360"/>
      </w:pPr>
      <w:rPr>
        <w:rFonts w:ascii="Symbol" w:hAnsi="Symbol" w:hint="default"/>
      </w:rPr>
    </w:lvl>
    <w:lvl w:ilvl="4" w:tplc="93DCF254">
      <w:start w:val="1"/>
      <w:numFmt w:val="bullet"/>
      <w:lvlText w:val="o"/>
      <w:lvlJc w:val="left"/>
      <w:pPr>
        <w:ind w:left="3600" w:hanging="360"/>
      </w:pPr>
      <w:rPr>
        <w:rFonts w:ascii="Courier New" w:hAnsi="Courier New" w:cs="Courier New" w:hint="default"/>
      </w:rPr>
    </w:lvl>
    <w:lvl w:ilvl="5" w:tplc="3CBEA40E">
      <w:start w:val="1"/>
      <w:numFmt w:val="bullet"/>
      <w:lvlText w:val=""/>
      <w:lvlJc w:val="left"/>
      <w:pPr>
        <w:ind w:left="4320" w:hanging="360"/>
      </w:pPr>
      <w:rPr>
        <w:rFonts w:ascii="Wingdings" w:hAnsi="Wingdings" w:hint="default"/>
      </w:rPr>
    </w:lvl>
    <w:lvl w:ilvl="6" w:tplc="2A8A4DFE">
      <w:start w:val="1"/>
      <w:numFmt w:val="bullet"/>
      <w:lvlText w:val=""/>
      <w:lvlJc w:val="left"/>
      <w:pPr>
        <w:ind w:left="5040" w:hanging="360"/>
      </w:pPr>
      <w:rPr>
        <w:rFonts w:ascii="Symbol" w:hAnsi="Symbol" w:hint="default"/>
      </w:rPr>
    </w:lvl>
    <w:lvl w:ilvl="7" w:tplc="7EE82772">
      <w:start w:val="1"/>
      <w:numFmt w:val="bullet"/>
      <w:lvlText w:val="o"/>
      <w:lvlJc w:val="left"/>
      <w:pPr>
        <w:ind w:left="5760" w:hanging="360"/>
      </w:pPr>
      <w:rPr>
        <w:rFonts w:ascii="Courier New" w:hAnsi="Courier New" w:cs="Courier New" w:hint="default"/>
      </w:rPr>
    </w:lvl>
    <w:lvl w:ilvl="8" w:tplc="B9AC9328">
      <w:start w:val="1"/>
      <w:numFmt w:val="bullet"/>
      <w:lvlText w:val=""/>
      <w:lvlJc w:val="left"/>
      <w:pPr>
        <w:ind w:left="6480" w:hanging="360"/>
      </w:pPr>
      <w:rPr>
        <w:rFonts w:ascii="Wingdings" w:hAnsi="Wingdings" w:hint="default"/>
      </w:rPr>
    </w:lvl>
  </w:abstractNum>
  <w:abstractNum w:abstractNumId="50" w15:restartNumberingAfterBreak="0">
    <w:nsid w:val="357F1B90"/>
    <w:multiLevelType w:val="hybridMultilevel"/>
    <w:tmpl w:val="AA18EF34"/>
    <w:lvl w:ilvl="0" w:tplc="3470387A">
      <w:start w:val="1"/>
      <w:numFmt w:val="bullet"/>
      <w:lvlText w:val=""/>
      <w:lvlJc w:val="left"/>
      <w:pPr>
        <w:ind w:left="720" w:hanging="360"/>
      </w:pPr>
      <w:rPr>
        <w:rFonts w:ascii="Symbol" w:hAnsi="Symbol" w:hint="default"/>
        <w:color w:val="auto"/>
      </w:rPr>
    </w:lvl>
    <w:lvl w:ilvl="1" w:tplc="1FBE1218">
      <w:start w:val="1"/>
      <w:numFmt w:val="bullet"/>
      <w:lvlText w:val="o"/>
      <w:lvlJc w:val="left"/>
      <w:pPr>
        <w:ind w:left="1440" w:hanging="360"/>
      </w:pPr>
      <w:rPr>
        <w:rFonts w:ascii="Courier New" w:hAnsi="Courier New" w:cs="Courier New" w:hint="default"/>
      </w:rPr>
    </w:lvl>
    <w:lvl w:ilvl="2" w:tplc="A4C6C806">
      <w:start w:val="1"/>
      <w:numFmt w:val="bullet"/>
      <w:lvlText w:val=""/>
      <w:lvlJc w:val="left"/>
      <w:pPr>
        <w:ind w:left="2160" w:hanging="360"/>
      </w:pPr>
      <w:rPr>
        <w:rFonts w:ascii="Wingdings" w:hAnsi="Wingdings" w:hint="default"/>
      </w:rPr>
    </w:lvl>
    <w:lvl w:ilvl="3" w:tplc="33DAB2AA">
      <w:start w:val="1"/>
      <w:numFmt w:val="bullet"/>
      <w:lvlText w:val=""/>
      <w:lvlJc w:val="left"/>
      <w:pPr>
        <w:ind w:left="2880" w:hanging="360"/>
      </w:pPr>
      <w:rPr>
        <w:rFonts w:ascii="Symbol" w:hAnsi="Symbol" w:hint="default"/>
      </w:rPr>
    </w:lvl>
    <w:lvl w:ilvl="4" w:tplc="D6925FD6">
      <w:start w:val="1"/>
      <w:numFmt w:val="bullet"/>
      <w:lvlText w:val="o"/>
      <w:lvlJc w:val="left"/>
      <w:pPr>
        <w:ind w:left="3600" w:hanging="360"/>
      </w:pPr>
      <w:rPr>
        <w:rFonts w:ascii="Courier New" w:hAnsi="Courier New" w:cs="Courier New" w:hint="default"/>
      </w:rPr>
    </w:lvl>
    <w:lvl w:ilvl="5" w:tplc="08920918">
      <w:start w:val="1"/>
      <w:numFmt w:val="bullet"/>
      <w:lvlText w:val=""/>
      <w:lvlJc w:val="left"/>
      <w:pPr>
        <w:ind w:left="4320" w:hanging="360"/>
      </w:pPr>
      <w:rPr>
        <w:rFonts w:ascii="Wingdings" w:hAnsi="Wingdings" w:hint="default"/>
      </w:rPr>
    </w:lvl>
    <w:lvl w:ilvl="6" w:tplc="2AD47AA8">
      <w:start w:val="1"/>
      <w:numFmt w:val="bullet"/>
      <w:lvlText w:val=""/>
      <w:lvlJc w:val="left"/>
      <w:pPr>
        <w:ind w:left="5040" w:hanging="360"/>
      </w:pPr>
      <w:rPr>
        <w:rFonts w:ascii="Symbol" w:hAnsi="Symbol" w:hint="default"/>
      </w:rPr>
    </w:lvl>
    <w:lvl w:ilvl="7" w:tplc="FBE07B4A">
      <w:start w:val="1"/>
      <w:numFmt w:val="bullet"/>
      <w:lvlText w:val="o"/>
      <w:lvlJc w:val="left"/>
      <w:pPr>
        <w:ind w:left="5760" w:hanging="360"/>
      </w:pPr>
      <w:rPr>
        <w:rFonts w:ascii="Courier New" w:hAnsi="Courier New" w:cs="Courier New" w:hint="default"/>
      </w:rPr>
    </w:lvl>
    <w:lvl w:ilvl="8" w:tplc="5AEC7A2E">
      <w:start w:val="1"/>
      <w:numFmt w:val="bullet"/>
      <w:lvlText w:val=""/>
      <w:lvlJc w:val="left"/>
      <w:pPr>
        <w:ind w:left="6480" w:hanging="360"/>
      </w:pPr>
      <w:rPr>
        <w:rFonts w:ascii="Wingdings" w:hAnsi="Wingdings" w:hint="default"/>
      </w:rPr>
    </w:lvl>
  </w:abstractNum>
  <w:abstractNum w:abstractNumId="51" w15:restartNumberingAfterBreak="0">
    <w:nsid w:val="38723DAD"/>
    <w:multiLevelType w:val="hybridMultilevel"/>
    <w:tmpl w:val="D47E8C60"/>
    <w:lvl w:ilvl="0" w:tplc="0E0C4058">
      <w:start w:val="1"/>
      <w:numFmt w:val="lowerLetter"/>
      <w:lvlText w:val="(%1)"/>
      <w:lvlJc w:val="left"/>
      <w:pPr>
        <w:ind w:left="360" w:hanging="360"/>
      </w:pPr>
      <w:rPr>
        <w:rFonts w:hint="default"/>
      </w:rPr>
    </w:lvl>
    <w:lvl w:ilvl="1" w:tplc="C558369C" w:tentative="1">
      <w:start w:val="1"/>
      <w:numFmt w:val="lowerLetter"/>
      <w:lvlText w:val="%2."/>
      <w:lvlJc w:val="left"/>
      <w:pPr>
        <w:ind w:left="1080" w:hanging="360"/>
      </w:pPr>
    </w:lvl>
    <w:lvl w:ilvl="2" w:tplc="49D00C9C" w:tentative="1">
      <w:start w:val="1"/>
      <w:numFmt w:val="lowerRoman"/>
      <w:lvlText w:val="%3."/>
      <w:lvlJc w:val="right"/>
      <w:pPr>
        <w:ind w:left="1800" w:hanging="180"/>
      </w:pPr>
    </w:lvl>
    <w:lvl w:ilvl="3" w:tplc="24EE3D76" w:tentative="1">
      <w:start w:val="1"/>
      <w:numFmt w:val="decimal"/>
      <w:lvlText w:val="%4."/>
      <w:lvlJc w:val="left"/>
      <w:pPr>
        <w:ind w:left="2520" w:hanging="360"/>
      </w:pPr>
    </w:lvl>
    <w:lvl w:ilvl="4" w:tplc="4DDED690" w:tentative="1">
      <w:start w:val="1"/>
      <w:numFmt w:val="lowerLetter"/>
      <w:lvlText w:val="%5."/>
      <w:lvlJc w:val="left"/>
      <w:pPr>
        <w:ind w:left="3240" w:hanging="360"/>
      </w:pPr>
    </w:lvl>
    <w:lvl w:ilvl="5" w:tplc="D3260EDC" w:tentative="1">
      <w:start w:val="1"/>
      <w:numFmt w:val="lowerRoman"/>
      <w:lvlText w:val="%6."/>
      <w:lvlJc w:val="right"/>
      <w:pPr>
        <w:ind w:left="3960" w:hanging="180"/>
      </w:pPr>
    </w:lvl>
    <w:lvl w:ilvl="6" w:tplc="4CBC3CF6" w:tentative="1">
      <w:start w:val="1"/>
      <w:numFmt w:val="decimal"/>
      <w:lvlText w:val="%7."/>
      <w:lvlJc w:val="left"/>
      <w:pPr>
        <w:ind w:left="4680" w:hanging="360"/>
      </w:pPr>
    </w:lvl>
    <w:lvl w:ilvl="7" w:tplc="3386F46A" w:tentative="1">
      <w:start w:val="1"/>
      <w:numFmt w:val="lowerLetter"/>
      <w:lvlText w:val="%8."/>
      <w:lvlJc w:val="left"/>
      <w:pPr>
        <w:ind w:left="5400" w:hanging="360"/>
      </w:pPr>
    </w:lvl>
    <w:lvl w:ilvl="8" w:tplc="076AE442" w:tentative="1">
      <w:start w:val="1"/>
      <w:numFmt w:val="lowerRoman"/>
      <w:lvlText w:val="%9."/>
      <w:lvlJc w:val="right"/>
      <w:pPr>
        <w:ind w:left="6120" w:hanging="180"/>
      </w:pPr>
    </w:lvl>
  </w:abstractNum>
  <w:abstractNum w:abstractNumId="52" w15:restartNumberingAfterBreak="0">
    <w:nsid w:val="38A135B9"/>
    <w:multiLevelType w:val="multilevel"/>
    <w:tmpl w:val="D6D41E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A2965E8"/>
    <w:multiLevelType w:val="hybridMultilevel"/>
    <w:tmpl w:val="A26EF434"/>
    <w:lvl w:ilvl="0" w:tplc="DEB2ED46">
      <w:start w:val="1"/>
      <w:numFmt w:val="bullet"/>
      <w:lvlText w:val=""/>
      <w:lvlJc w:val="left"/>
      <w:pPr>
        <w:ind w:left="360" w:hanging="360"/>
      </w:pPr>
      <w:rPr>
        <w:rFonts w:ascii="Symbol" w:hAnsi="Symbol" w:hint="default"/>
      </w:rPr>
    </w:lvl>
    <w:lvl w:ilvl="1" w:tplc="3934CF2C">
      <w:start w:val="1"/>
      <w:numFmt w:val="bullet"/>
      <w:lvlText w:val="o"/>
      <w:lvlJc w:val="left"/>
      <w:pPr>
        <w:ind w:left="1080" w:hanging="360"/>
      </w:pPr>
      <w:rPr>
        <w:rFonts w:ascii="Courier New" w:hAnsi="Courier New" w:cs="Courier New" w:hint="default"/>
      </w:rPr>
    </w:lvl>
    <w:lvl w:ilvl="2" w:tplc="83A48A56">
      <w:start w:val="1"/>
      <w:numFmt w:val="bullet"/>
      <w:lvlText w:val=""/>
      <w:lvlJc w:val="left"/>
      <w:pPr>
        <w:ind w:left="1800" w:hanging="360"/>
      </w:pPr>
      <w:rPr>
        <w:rFonts w:ascii="Wingdings" w:hAnsi="Wingdings" w:hint="default"/>
      </w:rPr>
    </w:lvl>
    <w:lvl w:ilvl="3" w:tplc="83AE51BC">
      <w:start w:val="1"/>
      <w:numFmt w:val="bullet"/>
      <w:lvlText w:val=""/>
      <w:lvlJc w:val="left"/>
      <w:pPr>
        <w:ind w:left="2520" w:hanging="360"/>
      </w:pPr>
      <w:rPr>
        <w:rFonts w:ascii="Symbol" w:hAnsi="Symbol" w:hint="default"/>
      </w:rPr>
    </w:lvl>
    <w:lvl w:ilvl="4" w:tplc="2B20DE0C">
      <w:start w:val="1"/>
      <w:numFmt w:val="bullet"/>
      <w:lvlText w:val="o"/>
      <w:lvlJc w:val="left"/>
      <w:pPr>
        <w:ind w:left="3240" w:hanging="360"/>
      </w:pPr>
      <w:rPr>
        <w:rFonts w:ascii="Courier New" w:hAnsi="Courier New" w:cs="Courier New" w:hint="default"/>
      </w:rPr>
    </w:lvl>
    <w:lvl w:ilvl="5" w:tplc="045203F0">
      <w:start w:val="1"/>
      <w:numFmt w:val="bullet"/>
      <w:lvlText w:val=""/>
      <w:lvlJc w:val="left"/>
      <w:pPr>
        <w:ind w:left="3960" w:hanging="360"/>
      </w:pPr>
      <w:rPr>
        <w:rFonts w:ascii="Wingdings" w:hAnsi="Wingdings" w:hint="default"/>
      </w:rPr>
    </w:lvl>
    <w:lvl w:ilvl="6" w:tplc="743218C4">
      <w:start w:val="1"/>
      <w:numFmt w:val="bullet"/>
      <w:lvlText w:val=""/>
      <w:lvlJc w:val="left"/>
      <w:pPr>
        <w:ind w:left="4680" w:hanging="360"/>
      </w:pPr>
      <w:rPr>
        <w:rFonts w:ascii="Symbol" w:hAnsi="Symbol" w:hint="default"/>
      </w:rPr>
    </w:lvl>
    <w:lvl w:ilvl="7" w:tplc="794CB526">
      <w:start w:val="1"/>
      <w:numFmt w:val="bullet"/>
      <w:lvlText w:val="o"/>
      <w:lvlJc w:val="left"/>
      <w:pPr>
        <w:ind w:left="5400" w:hanging="360"/>
      </w:pPr>
      <w:rPr>
        <w:rFonts w:ascii="Courier New" w:hAnsi="Courier New" w:cs="Courier New" w:hint="default"/>
      </w:rPr>
    </w:lvl>
    <w:lvl w:ilvl="8" w:tplc="15BAE7FC">
      <w:start w:val="1"/>
      <w:numFmt w:val="bullet"/>
      <w:lvlText w:val=""/>
      <w:lvlJc w:val="left"/>
      <w:pPr>
        <w:ind w:left="6120" w:hanging="360"/>
      </w:pPr>
      <w:rPr>
        <w:rFonts w:ascii="Wingdings" w:hAnsi="Wingdings" w:hint="default"/>
      </w:rPr>
    </w:lvl>
  </w:abstractNum>
  <w:abstractNum w:abstractNumId="54" w15:restartNumberingAfterBreak="0">
    <w:nsid w:val="3A701361"/>
    <w:multiLevelType w:val="hybridMultilevel"/>
    <w:tmpl w:val="2286E742"/>
    <w:lvl w:ilvl="0" w:tplc="38B6F66C">
      <w:start w:val="1"/>
      <w:numFmt w:val="bullet"/>
      <w:lvlText w:val=""/>
      <w:lvlJc w:val="left"/>
      <w:pPr>
        <w:ind w:left="899" w:hanging="360"/>
      </w:pPr>
      <w:rPr>
        <w:rFonts w:ascii="Symbol" w:hAnsi="Symbol" w:hint="default"/>
      </w:rPr>
    </w:lvl>
    <w:lvl w:ilvl="1" w:tplc="34343E78">
      <w:start w:val="1"/>
      <w:numFmt w:val="bullet"/>
      <w:lvlText w:val="o"/>
      <w:lvlJc w:val="left"/>
      <w:pPr>
        <w:ind w:left="1619" w:hanging="360"/>
      </w:pPr>
      <w:rPr>
        <w:rFonts w:ascii="Courier New" w:hAnsi="Courier New" w:cs="Courier New" w:hint="default"/>
      </w:rPr>
    </w:lvl>
    <w:lvl w:ilvl="2" w:tplc="CC80E5E4">
      <w:start w:val="1"/>
      <w:numFmt w:val="bullet"/>
      <w:lvlText w:val=""/>
      <w:lvlJc w:val="left"/>
      <w:pPr>
        <w:ind w:left="2339" w:hanging="360"/>
      </w:pPr>
      <w:rPr>
        <w:rFonts w:ascii="Wingdings" w:hAnsi="Wingdings" w:hint="default"/>
      </w:rPr>
    </w:lvl>
    <w:lvl w:ilvl="3" w:tplc="0F42DAE0">
      <w:start w:val="1"/>
      <w:numFmt w:val="bullet"/>
      <w:lvlText w:val=""/>
      <w:lvlJc w:val="left"/>
      <w:pPr>
        <w:ind w:left="3059" w:hanging="360"/>
      </w:pPr>
      <w:rPr>
        <w:rFonts w:ascii="Symbol" w:hAnsi="Symbol" w:hint="default"/>
      </w:rPr>
    </w:lvl>
    <w:lvl w:ilvl="4" w:tplc="8528F96A">
      <w:start w:val="1"/>
      <w:numFmt w:val="bullet"/>
      <w:lvlText w:val="o"/>
      <w:lvlJc w:val="left"/>
      <w:pPr>
        <w:ind w:left="3779" w:hanging="360"/>
      </w:pPr>
      <w:rPr>
        <w:rFonts w:ascii="Courier New" w:hAnsi="Courier New" w:cs="Courier New" w:hint="default"/>
      </w:rPr>
    </w:lvl>
    <w:lvl w:ilvl="5" w:tplc="DF322C66">
      <w:start w:val="1"/>
      <w:numFmt w:val="bullet"/>
      <w:lvlText w:val=""/>
      <w:lvlJc w:val="left"/>
      <w:pPr>
        <w:ind w:left="4499" w:hanging="360"/>
      </w:pPr>
      <w:rPr>
        <w:rFonts w:ascii="Wingdings" w:hAnsi="Wingdings" w:hint="default"/>
      </w:rPr>
    </w:lvl>
    <w:lvl w:ilvl="6" w:tplc="CA80382C">
      <w:start w:val="1"/>
      <w:numFmt w:val="bullet"/>
      <w:lvlText w:val=""/>
      <w:lvlJc w:val="left"/>
      <w:pPr>
        <w:ind w:left="5219" w:hanging="360"/>
      </w:pPr>
      <w:rPr>
        <w:rFonts w:ascii="Symbol" w:hAnsi="Symbol" w:hint="default"/>
      </w:rPr>
    </w:lvl>
    <w:lvl w:ilvl="7" w:tplc="6742D016">
      <w:start w:val="1"/>
      <w:numFmt w:val="bullet"/>
      <w:lvlText w:val="o"/>
      <w:lvlJc w:val="left"/>
      <w:pPr>
        <w:ind w:left="5939" w:hanging="360"/>
      </w:pPr>
      <w:rPr>
        <w:rFonts w:ascii="Courier New" w:hAnsi="Courier New" w:cs="Courier New" w:hint="default"/>
      </w:rPr>
    </w:lvl>
    <w:lvl w:ilvl="8" w:tplc="7F381D7E">
      <w:start w:val="1"/>
      <w:numFmt w:val="bullet"/>
      <w:lvlText w:val=""/>
      <w:lvlJc w:val="left"/>
      <w:pPr>
        <w:ind w:left="6659" w:hanging="360"/>
      </w:pPr>
      <w:rPr>
        <w:rFonts w:ascii="Wingdings" w:hAnsi="Wingdings" w:hint="default"/>
      </w:rPr>
    </w:lvl>
  </w:abstractNum>
  <w:abstractNum w:abstractNumId="55" w15:restartNumberingAfterBreak="0">
    <w:nsid w:val="3B2E19AC"/>
    <w:multiLevelType w:val="singleLevel"/>
    <w:tmpl w:val="07664886"/>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56" w15:restartNumberingAfterBreak="0">
    <w:nsid w:val="3C5148FA"/>
    <w:multiLevelType w:val="multilevel"/>
    <w:tmpl w:val="EF6E1616"/>
    <w:lvl w:ilvl="0">
      <w:numFmt w:val="bullet"/>
      <w:lvlText w:val="·"/>
      <w:lvlJc w:val="left"/>
      <w:pPr>
        <w:tabs>
          <w:tab w:val="left" w:pos="216"/>
        </w:tabs>
        <w:ind w:left="0" w:firstLine="0"/>
      </w:pPr>
      <w:rPr>
        <w:rFonts w:ascii="Symbol" w:eastAsia="Symbol" w:hAnsi="Symbol"/>
        <w:color w:val="000000"/>
        <w:spacing w:val="0"/>
        <w:w w:val="100"/>
        <w:sz w:val="20"/>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3D5C25C5"/>
    <w:multiLevelType w:val="hybridMultilevel"/>
    <w:tmpl w:val="738074F4"/>
    <w:lvl w:ilvl="0" w:tplc="8AE29148">
      <w:start w:val="1"/>
      <w:numFmt w:val="bullet"/>
      <w:lvlText w:val=""/>
      <w:lvlJc w:val="left"/>
      <w:pPr>
        <w:ind w:left="720" w:hanging="360"/>
      </w:pPr>
      <w:rPr>
        <w:rFonts w:ascii="Symbol" w:hAnsi="Symbol" w:hint="default"/>
      </w:rPr>
    </w:lvl>
    <w:lvl w:ilvl="1" w:tplc="EFF65FFA">
      <w:start w:val="1"/>
      <w:numFmt w:val="bullet"/>
      <w:lvlText w:val="o"/>
      <w:lvlJc w:val="left"/>
      <w:pPr>
        <w:ind w:left="1440" w:hanging="360"/>
      </w:pPr>
      <w:rPr>
        <w:rFonts w:ascii="Courier New" w:hAnsi="Courier New" w:cs="Courier New" w:hint="default"/>
      </w:rPr>
    </w:lvl>
    <w:lvl w:ilvl="2" w:tplc="5C860996">
      <w:start w:val="1"/>
      <w:numFmt w:val="bullet"/>
      <w:lvlText w:val=""/>
      <w:lvlJc w:val="left"/>
      <w:pPr>
        <w:ind w:left="2160" w:hanging="360"/>
      </w:pPr>
      <w:rPr>
        <w:rFonts w:ascii="Wingdings" w:hAnsi="Wingdings" w:hint="default"/>
      </w:rPr>
    </w:lvl>
    <w:lvl w:ilvl="3" w:tplc="F8E0463E">
      <w:start w:val="1"/>
      <w:numFmt w:val="bullet"/>
      <w:lvlText w:val=""/>
      <w:lvlJc w:val="left"/>
      <w:pPr>
        <w:ind w:left="2880" w:hanging="360"/>
      </w:pPr>
      <w:rPr>
        <w:rFonts w:ascii="Symbol" w:hAnsi="Symbol" w:hint="default"/>
      </w:rPr>
    </w:lvl>
    <w:lvl w:ilvl="4" w:tplc="458C5836">
      <w:start w:val="1"/>
      <w:numFmt w:val="bullet"/>
      <w:lvlText w:val="o"/>
      <w:lvlJc w:val="left"/>
      <w:pPr>
        <w:ind w:left="3600" w:hanging="360"/>
      </w:pPr>
      <w:rPr>
        <w:rFonts w:ascii="Courier New" w:hAnsi="Courier New" w:cs="Courier New" w:hint="default"/>
      </w:rPr>
    </w:lvl>
    <w:lvl w:ilvl="5" w:tplc="A0E284EE">
      <w:start w:val="1"/>
      <w:numFmt w:val="bullet"/>
      <w:lvlText w:val=""/>
      <w:lvlJc w:val="left"/>
      <w:pPr>
        <w:ind w:left="4320" w:hanging="360"/>
      </w:pPr>
      <w:rPr>
        <w:rFonts w:ascii="Wingdings" w:hAnsi="Wingdings" w:hint="default"/>
      </w:rPr>
    </w:lvl>
    <w:lvl w:ilvl="6" w:tplc="408A3F06">
      <w:start w:val="1"/>
      <w:numFmt w:val="bullet"/>
      <w:lvlText w:val=""/>
      <w:lvlJc w:val="left"/>
      <w:pPr>
        <w:ind w:left="5040" w:hanging="360"/>
      </w:pPr>
      <w:rPr>
        <w:rFonts w:ascii="Symbol" w:hAnsi="Symbol" w:hint="default"/>
      </w:rPr>
    </w:lvl>
    <w:lvl w:ilvl="7" w:tplc="4E36F24A">
      <w:start w:val="1"/>
      <w:numFmt w:val="bullet"/>
      <w:lvlText w:val="o"/>
      <w:lvlJc w:val="left"/>
      <w:pPr>
        <w:ind w:left="5760" w:hanging="360"/>
      </w:pPr>
      <w:rPr>
        <w:rFonts w:ascii="Courier New" w:hAnsi="Courier New" w:cs="Courier New" w:hint="default"/>
      </w:rPr>
    </w:lvl>
    <w:lvl w:ilvl="8" w:tplc="C6067860">
      <w:start w:val="1"/>
      <w:numFmt w:val="bullet"/>
      <w:lvlText w:val=""/>
      <w:lvlJc w:val="left"/>
      <w:pPr>
        <w:ind w:left="6480" w:hanging="360"/>
      </w:pPr>
      <w:rPr>
        <w:rFonts w:ascii="Wingdings" w:hAnsi="Wingdings" w:hint="default"/>
      </w:rPr>
    </w:lvl>
  </w:abstractNum>
  <w:abstractNum w:abstractNumId="58" w15:restartNumberingAfterBreak="0">
    <w:nsid w:val="3D7222B5"/>
    <w:multiLevelType w:val="hybridMultilevel"/>
    <w:tmpl w:val="78F82DB0"/>
    <w:lvl w:ilvl="0" w:tplc="458EB814">
      <w:start w:val="1"/>
      <w:numFmt w:val="lowerLetter"/>
      <w:lvlText w:val="(%1)"/>
      <w:lvlJc w:val="left"/>
      <w:pPr>
        <w:ind w:left="360" w:hanging="360"/>
      </w:pPr>
      <w:rPr>
        <w:rFonts w:hint="default"/>
      </w:rPr>
    </w:lvl>
    <w:lvl w:ilvl="1" w:tplc="6B5E5F0A">
      <w:start w:val="1"/>
      <w:numFmt w:val="lowerLetter"/>
      <w:lvlText w:val="%2."/>
      <w:lvlJc w:val="left"/>
      <w:pPr>
        <w:ind w:left="1080" w:hanging="360"/>
      </w:pPr>
    </w:lvl>
    <w:lvl w:ilvl="2" w:tplc="5734C686" w:tentative="1">
      <w:start w:val="1"/>
      <w:numFmt w:val="lowerRoman"/>
      <w:lvlText w:val="%3."/>
      <w:lvlJc w:val="right"/>
      <w:pPr>
        <w:ind w:left="1800" w:hanging="180"/>
      </w:pPr>
    </w:lvl>
    <w:lvl w:ilvl="3" w:tplc="90F22E96" w:tentative="1">
      <w:start w:val="1"/>
      <w:numFmt w:val="decimal"/>
      <w:lvlText w:val="%4."/>
      <w:lvlJc w:val="left"/>
      <w:pPr>
        <w:ind w:left="2520" w:hanging="360"/>
      </w:pPr>
    </w:lvl>
    <w:lvl w:ilvl="4" w:tplc="BC60670A" w:tentative="1">
      <w:start w:val="1"/>
      <w:numFmt w:val="lowerLetter"/>
      <w:lvlText w:val="%5."/>
      <w:lvlJc w:val="left"/>
      <w:pPr>
        <w:ind w:left="3240" w:hanging="360"/>
      </w:pPr>
    </w:lvl>
    <w:lvl w:ilvl="5" w:tplc="51546B74" w:tentative="1">
      <w:start w:val="1"/>
      <w:numFmt w:val="lowerRoman"/>
      <w:lvlText w:val="%6."/>
      <w:lvlJc w:val="right"/>
      <w:pPr>
        <w:ind w:left="3960" w:hanging="180"/>
      </w:pPr>
    </w:lvl>
    <w:lvl w:ilvl="6" w:tplc="BE44C454" w:tentative="1">
      <w:start w:val="1"/>
      <w:numFmt w:val="decimal"/>
      <w:lvlText w:val="%7."/>
      <w:lvlJc w:val="left"/>
      <w:pPr>
        <w:ind w:left="4680" w:hanging="360"/>
      </w:pPr>
    </w:lvl>
    <w:lvl w:ilvl="7" w:tplc="73586344" w:tentative="1">
      <w:start w:val="1"/>
      <w:numFmt w:val="lowerLetter"/>
      <w:lvlText w:val="%8."/>
      <w:lvlJc w:val="left"/>
      <w:pPr>
        <w:ind w:left="5400" w:hanging="360"/>
      </w:pPr>
    </w:lvl>
    <w:lvl w:ilvl="8" w:tplc="99721D40" w:tentative="1">
      <w:start w:val="1"/>
      <w:numFmt w:val="lowerRoman"/>
      <w:lvlText w:val="%9."/>
      <w:lvlJc w:val="right"/>
      <w:pPr>
        <w:ind w:left="6120" w:hanging="180"/>
      </w:pPr>
    </w:lvl>
  </w:abstractNum>
  <w:abstractNum w:abstractNumId="59" w15:restartNumberingAfterBreak="0">
    <w:nsid w:val="3DC86572"/>
    <w:multiLevelType w:val="hybridMultilevel"/>
    <w:tmpl w:val="1230387A"/>
    <w:lvl w:ilvl="0" w:tplc="7826B1E4">
      <w:start w:val="1"/>
      <w:numFmt w:val="bullet"/>
      <w:lvlText w:val=""/>
      <w:lvlJc w:val="left"/>
      <w:pPr>
        <w:ind w:left="720" w:hanging="360"/>
      </w:pPr>
      <w:rPr>
        <w:rFonts w:ascii="Symbol" w:hAnsi="Symbol" w:hint="default"/>
      </w:rPr>
    </w:lvl>
    <w:lvl w:ilvl="1" w:tplc="13D40100" w:tentative="1">
      <w:start w:val="1"/>
      <w:numFmt w:val="bullet"/>
      <w:lvlText w:val="o"/>
      <w:lvlJc w:val="left"/>
      <w:pPr>
        <w:ind w:left="1440" w:hanging="360"/>
      </w:pPr>
      <w:rPr>
        <w:rFonts w:ascii="Courier New" w:hAnsi="Courier New" w:cs="Courier New" w:hint="default"/>
      </w:rPr>
    </w:lvl>
    <w:lvl w:ilvl="2" w:tplc="B0BA45E0" w:tentative="1">
      <w:start w:val="1"/>
      <w:numFmt w:val="bullet"/>
      <w:lvlText w:val=""/>
      <w:lvlJc w:val="left"/>
      <w:pPr>
        <w:ind w:left="2160" w:hanging="360"/>
      </w:pPr>
      <w:rPr>
        <w:rFonts w:ascii="Wingdings" w:hAnsi="Wingdings" w:hint="default"/>
      </w:rPr>
    </w:lvl>
    <w:lvl w:ilvl="3" w:tplc="0426A474" w:tentative="1">
      <w:start w:val="1"/>
      <w:numFmt w:val="bullet"/>
      <w:lvlText w:val=""/>
      <w:lvlJc w:val="left"/>
      <w:pPr>
        <w:ind w:left="2880" w:hanging="360"/>
      </w:pPr>
      <w:rPr>
        <w:rFonts w:ascii="Symbol" w:hAnsi="Symbol" w:hint="default"/>
      </w:rPr>
    </w:lvl>
    <w:lvl w:ilvl="4" w:tplc="5F6AC184" w:tentative="1">
      <w:start w:val="1"/>
      <w:numFmt w:val="bullet"/>
      <w:lvlText w:val="o"/>
      <w:lvlJc w:val="left"/>
      <w:pPr>
        <w:ind w:left="3600" w:hanging="360"/>
      </w:pPr>
      <w:rPr>
        <w:rFonts w:ascii="Courier New" w:hAnsi="Courier New" w:cs="Courier New" w:hint="default"/>
      </w:rPr>
    </w:lvl>
    <w:lvl w:ilvl="5" w:tplc="812267D8" w:tentative="1">
      <w:start w:val="1"/>
      <w:numFmt w:val="bullet"/>
      <w:lvlText w:val=""/>
      <w:lvlJc w:val="left"/>
      <w:pPr>
        <w:ind w:left="4320" w:hanging="360"/>
      </w:pPr>
      <w:rPr>
        <w:rFonts w:ascii="Wingdings" w:hAnsi="Wingdings" w:hint="default"/>
      </w:rPr>
    </w:lvl>
    <w:lvl w:ilvl="6" w:tplc="4E2A094E" w:tentative="1">
      <w:start w:val="1"/>
      <w:numFmt w:val="bullet"/>
      <w:lvlText w:val=""/>
      <w:lvlJc w:val="left"/>
      <w:pPr>
        <w:ind w:left="5040" w:hanging="360"/>
      </w:pPr>
      <w:rPr>
        <w:rFonts w:ascii="Symbol" w:hAnsi="Symbol" w:hint="default"/>
      </w:rPr>
    </w:lvl>
    <w:lvl w:ilvl="7" w:tplc="4664FDE4" w:tentative="1">
      <w:start w:val="1"/>
      <w:numFmt w:val="bullet"/>
      <w:lvlText w:val="o"/>
      <w:lvlJc w:val="left"/>
      <w:pPr>
        <w:ind w:left="5760" w:hanging="360"/>
      </w:pPr>
      <w:rPr>
        <w:rFonts w:ascii="Courier New" w:hAnsi="Courier New" w:cs="Courier New" w:hint="default"/>
      </w:rPr>
    </w:lvl>
    <w:lvl w:ilvl="8" w:tplc="DFA2EC5C" w:tentative="1">
      <w:start w:val="1"/>
      <w:numFmt w:val="bullet"/>
      <w:lvlText w:val=""/>
      <w:lvlJc w:val="left"/>
      <w:pPr>
        <w:ind w:left="6480" w:hanging="360"/>
      </w:pPr>
      <w:rPr>
        <w:rFonts w:ascii="Wingdings" w:hAnsi="Wingdings" w:hint="default"/>
      </w:rPr>
    </w:lvl>
  </w:abstractNum>
  <w:abstractNum w:abstractNumId="60" w15:restartNumberingAfterBreak="0">
    <w:nsid w:val="3F8A4C4A"/>
    <w:multiLevelType w:val="hybridMultilevel"/>
    <w:tmpl w:val="EAF8B75C"/>
    <w:lvl w:ilvl="0" w:tplc="C79AEF52">
      <w:start w:val="1"/>
      <w:numFmt w:val="bullet"/>
      <w:lvlText w:val=""/>
      <w:lvlJc w:val="left"/>
      <w:pPr>
        <w:ind w:left="720" w:hanging="360"/>
      </w:pPr>
      <w:rPr>
        <w:rFonts w:ascii="Symbol" w:hAnsi="Symbol" w:hint="default"/>
      </w:rPr>
    </w:lvl>
    <w:lvl w:ilvl="1" w:tplc="A4B641CE">
      <w:start w:val="1"/>
      <w:numFmt w:val="bullet"/>
      <w:lvlText w:val="o"/>
      <w:lvlJc w:val="left"/>
      <w:pPr>
        <w:ind w:left="1440" w:hanging="360"/>
      </w:pPr>
      <w:rPr>
        <w:rFonts w:ascii="Courier New" w:hAnsi="Courier New" w:cs="Courier New" w:hint="default"/>
      </w:rPr>
    </w:lvl>
    <w:lvl w:ilvl="2" w:tplc="DA161928">
      <w:start w:val="1"/>
      <w:numFmt w:val="bullet"/>
      <w:lvlText w:val=""/>
      <w:lvlJc w:val="left"/>
      <w:pPr>
        <w:ind w:left="2160" w:hanging="360"/>
      </w:pPr>
      <w:rPr>
        <w:rFonts w:ascii="Wingdings" w:hAnsi="Wingdings" w:hint="default"/>
      </w:rPr>
    </w:lvl>
    <w:lvl w:ilvl="3" w:tplc="75B2CEE4">
      <w:start w:val="1"/>
      <w:numFmt w:val="bullet"/>
      <w:lvlText w:val=""/>
      <w:lvlJc w:val="left"/>
      <w:pPr>
        <w:ind w:left="2880" w:hanging="360"/>
      </w:pPr>
      <w:rPr>
        <w:rFonts w:ascii="Symbol" w:hAnsi="Symbol" w:hint="default"/>
      </w:rPr>
    </w:lvl>
    <w:lvl w:ilvl="4" w:tplc="9DAE91E0">
      <w:start w:val="1"/>
      <w:numFmt w:val="bullet"/>
      <w:lvlText w:val="o"/>
      <w:lvlJc w:val="left"/>
      <w:pPr>
        <w:ind w:left="3600" w:hanging="360"/>
      </w:pPr>
      <w:rPr>
        <w:rFonts w:ascii="Courier New" w:hAnsi="Courier New" w:cs="Courier New" w:hint="default"/>
      </w:rPr>
    </w:lvl>
    <w:lvl w:ilvl="5" w:tplc="DF4C1A4A">
      <w:start w:val="1"/>
      <w:numFmt w:val="bullet"/>
      <w:lvlText w:val=""/>
      <w:lvlJc w:val="left"/>
      <w:pPr>
        <w:ind w:left="4320" w:hanging="360"/>
      </w:pPr>
      <w:rPr>
        <w:rFonts w:ascii="Wingdings" w:hAnsi="Wingdings" w:hint="default"/>
      </w:rPr>
    </w:lvl>
    <w:lvl w:ilvl="6" w:tplc="E5A4450E">
      <w:start w:val="1"/>
      <w:numFmt w:val="bullet"/>
      <w:lvlText w:val=""/>
      <w:lvlJc w:val="left"/>
      <w:pPr>
        <w:ind w:left="5040" w:hanging="360"/>
      </w:pPr>
      <w:rPr>
        <w:rFonts w:ascii="Symbol" w:hAnsi="Symbol" w:hint="default"/>
      </w:rPr>
    </w:lvl>
    <w:lvl w:ilvl="7" w:tplc="97066C9C">
      <w:start w:val="1"/>
      <w:numFmt w:val="bullet"/>
      <w:lvlText w:val="o"/>
      <w:lvlJc w:val="left"/>
      <w:pPr>
        <w:ind w:left="5760" w:hanging="360"/>
      </w:pPr>
      <w:rPr>
        <w:rFonts w:ascii="Courier New" w:hAnsi="Courier New" w:cs="Courier New" w:hint="default"/>
      </w:rPr>
    </w:lvl>
    <w:lvl w:ilvl="8" w:tplc="096CD184">
      <w:start w:val="1"/>
      <w:numFmt w:val="bullet"/>
      <w:lvlText w:val=""/>
      <w:lvlJc w:val="left"/>
      <w:pPr>
        <w:ind w:left="6480" w:hanging="360"/>
      </w:pPr>
      <w:rPr>
        <w:rFonts w:ascii="Wingdings" w:hAnsi="Wingdings" w:hint="default"/>
      </w:rPr>
    </w:lvl>
  </w:abstractNum>
  <w:abstractNum w:abstractNumId="61" w15:restartNumberingAfterBreak="0">
    <w:nsid w:val="3F9AF036"/>
    <w:multiLevelType w:val="hybridMultilevel"/>
    <w:tmpl w:val="C54C76B6"/>
    <w:lvl w:ilvl="0" w:tplc="F656E3BA">
      <w:start w:val="1"/>
      <w:numFmt w:val="bullet"/>
      <w:lvlText w:val=""/>
      <w:lvlJc w:val="left"/>
      <w:pPr>
        <w:ind w:left="170" w:hanging="170"/>
      </w:pPr>
      <w:rPr>
        <w:rFonts w:ascii="Symbol" w:hAnsi="Symbol" w:hint="default"/>
        <w:color w:val="auto"/>
        <w:sz w:val="16"/>
        <w:szCs w:val="16"/>
      </w:rPr>
    </w:lvl>
    <w:lvl w:ilvl="1" w:tplc="E1CCEBFE">
      <w:start w:val="1"/>
      <w:numFmt w:val="bullet"/>
      <w:lvlText w:val="o"/>
      <w:lvlJc w:val="left"/>
      <w:pPr>
        <w:ind w:left="340" w:hanging="198"/>
      </w:pPr>
      <w:rPr>
        <w:rFonts w:ascii="Courier New" w:hAnsi="Courier New" w:cs="Times New Roman" w:hint="default"/>
      </w:rPr>
    </w:lvl>
    <w:lvl w:ilvl="2" w:tplc="0D688AE8">
      <w:start w:val="1"/>
      <w:numFmt w:val="bullet"/>
      <w:lvlText w:val=""/>
      <w:lvlJc w:val="left"/>
      <w:pPr>
        <w:ind w:left="2160" w:hanging="360"/>
      </w:pPr>
      <w:rPr>
        <w:rFonts w:ascii="Wingdings" w:hAnsi="Wingdings" w:hint="default"/>
      </w:rPr>
    </w:lvl>
    <w:lvl w:ilvl="3" w:tplc="4C40A63C">
      <w:start w:val="1"/>
      <w:numFmt w:val="bullet"/>
      <w:lvlText w:val=""/>
      <w:lvlJc w:val="left"/>
      <w:pPr>
        <w:ind w:left="2880" w:hanging="360"/>
      </w:pPr>
      <w:rPr>
        <w:rFonts w:ascii="Symbol" w:hAnsi="Symbol" w:hint="default"/>
      </w:rPr>
    </w:lvl>
    <w:lvl w:ilvl="4" w:tplc="B734EDB2">
      <w:start w:val="1"/>
      <w:numFmt w:val="bullet"/>
      <w:lvlText w:val="o"/>
      <w:lvlJc w:val="left"/>
      <w:pPr>
        <w:ind w:left="3600" w:hanging="360"/>
      </w:pPr>
      <w:rPr>
        <w:rFonts w:ascii="Courier New" w:hAnsi="Courier New" w:cs="Courier New" w:hint="default"/>
      </w:rPr>
    </w:lvl>
    <w:lvl w:ilvl="5" w:tplc="45B8F1FA">
      <w:start w:val="1"/>
      <w:numFmt w:val="bullet"/>
      <w:lvlText w:val=""/>
      <w:lvlJc w:val="left"/>
      <w:pPr>
        <w:ind w:left="4320" w:hanging="360"/>
      </w:pPr>
      <w:rPr>
        <w:rFonts w:ascii="Wingdings" w:hAnsi="Wingdings" w:hint="default"/>
      </w:rPr>
    </w:lvl>
    <w:lvl w:ilvl="6" w:tplc="CDAE18CC">
      <w:start w:val="1"/>
      <w:numFmt w:val="bullet"/>
      <w:lvlText w:val=""/>
      <w:lvlJc w:val="left"/>
      <w:pPr>
        <w:ind w:left="5040" w:hanging="360"/>
      </w:pPr>
      <w:rPr>
        <w:rFonts w:ascii="Symbol" w:hAnsi="Symbol" w:hint="default"/>
      </w:rPr>
    </w:lvl>
    <w:lvl w:ilvl="7" w:tplc="A9E67E94">
      <w:start w:val="1"/>
      <w:numFmt w:val="bullet"/>
      <w:lvlText w:val="o"/>
      <w:lvlJc w:val="left"/>
      <w:pPr>
        <w:ind w:left="5760" w:hanging="360"/>
      </w:pPr>
      <w:rPr>
        <w:rFonts w:ascii="Courier New" w:hAnsi="Courier New" w:cs="Courier New" w:hint="default"/>
      </w:rPr>
    </w:lvl>
    <w:lvl w:ilvl="8" w:tplc="9530FF62">
      <w:start w:val="1"/>
      <w:numFmt w:val="bullet"/>
      <w:lvlText w:val=""/>
      <w:lvlJc w:val="left"/>
      <w:pPr>
        <w:ind w:left="6480" w:hanging="360"/>
      </w:pPr>
      <w:rPr>
        <w:rFonts w:ascii="Wingdings" w:hAnsi="Wingdings" w:hint="default"/>
      </w:rPr>
    </w:lvl>
  </w:abstractNum>
  <w:abstractNum w:abstractNumId="62" w15:restartNumberingAfterBreak="0">
    <w:nsid w:val="3FC82DBE"/>
    <w:multiLevelType w:val="hybridMultilevel"/>
    <w:tmpl w:val="F80A1F38"/>
    <w:lvl w:ilvl="0" w:tplc="82AA291E">
      <w:start w:val="1"/>
      <w:numFmt w:val="bullet"/>
      <w:lvlText w:val=""/>
      <w:lvlJc w:val="left"/>
      <w:pPr>
        <w:ind w:left="720" w:hanging="360"/>
      </w:pPr>
      <w:rPr>
        <w:rFonts w:ascii="Symbol" w:hAnsi="Symbol" w:hint="default"/>
      </w:rPr>
    </w:lvl>
    <w:lvl w:ilvl="1" w:tplc="CDFE23CE">
      <w:start w:val="1"/>
      <w:numFmt w:val="lowerLetter"/>
      <w:lvlText w:val="%2."/>
      <w:lvlJc w:val="left"/>
      <w:pPr>
        <w:ind w:left="1440" w:hanging="360"/>
      </w:pPr>
    </w:lvl>
    <w:lvl w:ilvl="2" w:tplc="03ECDF46">
      <w:start w:val="1"/>
      <w:numFmt w:val="lowerRoman"/>
      <w:lvlText w:val="%3."/>
      <w:lvlJc w:val="right"/>
      <w:pPr>
        <w:ind w:left="2160" w:hanging="180"/>
      </w:pPr>
    </w:lvl>
    <w:lvl w:ilvl="3" w:tplc="2F6A6624">
      <w:start w:val="1"/>
      <w:numFmt w:val="decimal"/>
      <w:lvlText w:val="%4."/>
      <w:lvlJc w:val="left"/>
      <w:pPr>
        <w:ind w:left="2880" w:hanging="360"/>
      </w:pPr>
    </w:lvl>
    <w:lvl w:ilvl="4" w:tplc="CA9A2EC6">
      <w:start w:val="1"/>
      <w:numFmt w:val="lowerLetter"/>
      <w:lvlText w:val="%5."/>
      <w:lvlJc w:val="left"/>
      <w:pPr>
        <w:ind w:left="3600" w:hanging="360"/>
      </w:pPr>
    </w:lvl>
    <w:lvl w:ilvl="5" w:tplc="BD8C485E">
      <w:start w:val="1"/>
      <w:numFmt w:val="lowerRoman"/>
      <w:lvlText w:val="%6."/>
      <w:lvlJc w:val="right"/>
      <w:pPr>
        <w:ind w:left="4320" w:hanging="180"/>
      </w:pPr>
    </w:lvl>
    <w:lvl w:ilvl="6" w:tplc="D6087F06">
      <w:start w:val="1"/>
      <w:numFmt w:val="decimal"/>
      <w:lvlText w:val="%7."/>
      <w:lvlJc w:val="left"/>
      <w:pPr>
        <w:ind w:left="5040" w:hanging="360"/>
      </w:pPr>
    </w:lvl>
    <w:lvl w:ilvl="7" w:tplc="9B601FD6">
      <w:start w:val="1"/>
      <w:numFmt w:val="lowerLetter"/>
      <w:lvlText w:val="%8."/>
      <w:lvlJc w:val="left"/>
      <w:pPr>
        <w:ind w:left="5760" w:hanging="360"/>
      </w:pPr>
    </w:lvl>
    <w:lvl w:ilvl="8" w:tplc="DD3011E2">
      <w:start w:val="1"/>
      <w:numFmt w:val="lowerRoman"/>
      <w:lvlText w:val="%9."/>
      <w:lvlJc w:val="right"/>
      <w:pPr>
        <w:ind w:left="6480" w:hanging="180"/>
      </w:pPr>
    </w:lvl>
  </w:abstractNum>
  <w:abstractNum w:abstractNumId="63" w15:restartNumberingAfterBreak="0">
    <w:nsid w:val="3FD9392E"/>
    <w:multiLevelType w:val="hybridMultilevel"/>
    <w:tmpl w:val="F250922A"/>
    <w:lvl w:ilvl="0" w:tplc="0A444DE6">
      <w:start w:val="1"/>
      <w:numFmt w:val="bullet"/>
      <w:lvlText w:val=""/>
      <w:lvlJc w:val="left"/>
      <w:pPr>
        <w:ind w:left="720" w:hanging="360"/>
      </w:pPr>
      <w:rPr>
        <w:rFonts w:ascii="Symbol" w:hAnsi="Symbol" w:hint="default"/>
      </w:rPr>
    </w:lvl>
    <w:lvl w:ilvl="1" w:tplc="EB2A5C92">
      <w:start w:val="1"/>
      <w:numFmt w:val="bullet"/>
      <w:lvlText w:val="o"/>
      <w:lvlJc w:val="left"/>
      <w:pPr>
        <w:ind w:left="1440" w:hanging="360"/>
      </w:pPr>
      <w:rPr>
        <w:rFonts w:ascii="Courier New" w:hAnsi="Courier New" w:cs="Courier New" w:hint="default"/>
      </w:rPr>
    </w:lvl>
    <w:lvl w:ilvl="2" w:tplc="A4F26E26">
      <w:start w:val="1"/>
      <w:numFmt w:val="bullet"/>
      <w:lvlText w:val=""/>
      <w:lvlJc w:val="left"/>
      <w:pPr>
        <w:ind w:left="2160" w:hanging="360"/>
      </w:pPr>
      <w:rPr>
        <w:rFonts w:ascii="Wingdings" w:hAnsi="Wingdings" w:hint="default"/>
      </w:rPr>
    </w:lvl>
    <w:lvl w:ilvl="3" w:tplc="0986AD42">
      <w:start w:val="1"/>
      <w:numFmt w:val="bullet"/>
      <w:lvlText w:val=""/>
      <w:lvlJc w:val="left"/>
      <w:pPr>
        <w:ind w:left="2880" w:hanging="360"/>
      </w:pPr>
      <w:rPr>
        <w:rFonts w:ascii="Symbol" w:hAnsi="Symbol" w:hint="default"/>
      </w:rPr>
    </w:lvl>
    <w:lvl w:ilvl="4" w:tplc="3D542680">
      <w:start w:val="1"/>
      <w:numFmt w:val="bullet"/>
      <w:lvlText w:val="o"/>
      <w:lvlJc w:val="left"/>
      <w:pPr>
        <w:ind w:left="3600" w:hanging="360"/>
      </w:pPr>
      <w:rPr>
        <w:rFonts w:ascii="Courier New" w:hAnsi="Courier New" w:cs="Courier New" w:hint="default"/>
      </w:rPr>
    </w:lvl>
    <w:lvl w:ilvl="5" w:tplc="64C07A94">
      <w:start w:val="1"/>
      <w:numFmt w:val="bullet"/>
      <w:lvlText w:val=""/>
      <w:lvlJc w:val="left"/>
      <w:pPr>
        <w:ind w:left="4320" w:hanging="360"/>
      </w:pPr>
      <w:rPr>
        <w:rFonts w:ascii="Wingdings" w:hAnsi="Wingdings" w:hint="default"/>
      </w:rPr>
    </w:lvl>
    <w:lvl w:ilvl="6" w:tplc="14D20FCE">
      <w:start w:val="1"/>
      <w:numFmt w:val="bullet"/>
      <w:lvlText w:val=""/>
      <w:lvlJc w:val="left"/>
      <w:pPr>
        <w:ind w:left="5040" w:hanging="360"/>
      </w:pPr>
      <w:rPr>
        <w:rFonts w:ascii="Symbol" w:hAnsi="Symbol" w:hint="default"/>
      </w:rPr>
    </w:lvl>
    <w:lvl w:ilvl="7" w:tplc="BDF27B46">
      <w:start w:val="1"/>
      <w:numFmt w:val="bullet"/>
      <w:lvlText w:val="o"/>
      <w:lvlJc w:val="left"/>
      <w:pPr>
        <w:ind w:left="5760" w:hanging="360"/>
      </w:pPr>
      <w:rPr>
        <w:rFonts w:ascii="Courier New" w:hAnsi="Courier New" w:cs="Courier New" w:hint="default"/>
      </w:rPr>
    </w:lvl>
    <w:lvl w:ilvl="8" w:tplc="B4C0B1DE">
      <w:start w:val="1"/>
      <w:numFmt w:val="bullet"/>
      <w:lvlText w:val=""/>
      <w:lvlJc w:val="left"/>
      <w:pPr>
        <w:ind w:left="6480" w:hanging="360"/>
      </w:pPr>
      <w:rPr>
        <w:rFonts w:ascii="Wingdings" w:hAnsi="Wingdings" w:hint="default"/>
      </w:rPr>
    </w:lvl>
  </w:abstractNum>
  <w:abstractNum w:abstractNumId="64" w15:restartNumberingAfterBreak="0">
    <w:nsid w:val="40676282"/>
    <w:multiLevelType w:val="hybridMultilevel"/>
    <w:tmpl w:val="81284488"/>
    <w:lvl w:ilvl="0" w:tplc="1B143432">
      <w:numFmt w:val="bullet"/>
      <w:lvlText w:val="-"/>
      <w:lvlJc w:val="left"/>
      <w:pPr>
        <w:ind w:left="700" w:hanging="360"/>
      </w:pPr>
      <w:rPr>
        <w:rFonts w:ascii="Arial" w:eastAsia="Times New Roman" w:hAnsi="Arial" w:cs="Arial" w:hint="default"/>
      </w:rPr>
    </w:lvl>
    <w:lvl w:ilvl="1" w:tplc="DC206DAE" w:tentative="1">
      <w:start w:val="1"/>
      <w:numFmt w:val="bullet"/>
      <w:lvlText w:val="o"/>
      <w:lvlJc w:val="left"/>
      <w:pPr>
        <w:ind w:left="1420" w:hanging="360"/>
      </w:pPr>
      <w:rPr>
        <w:rFonts w:ascii="Courier New" w:hAnsi="Courier New" w:cs="Courier New" w:hint="default"/>
      </w:rPr>
    </w:lvl>
    <w:lvl w:ilvl="2" w:tplc="2E328B36" w:tentative="1">
      <w:start w:val="1"/>
      <w:numFmt w:val="bullet"/>
      <w:lvlText w:val=""/>
      <w:lvlJc w:val="left"/>
      <w:pPr>
        <w:ind w:left="2140" w:hanging="360"/>
      </w:pPr>
      <w:rPr>
        <w:rFonts w:ascii="Wingdings" w:hAnsi="Wingdings" w:hint="default"/>
      </w:rPr>
    </w:lvl>
    <w:lvl w:ilvl="3" w:tplc="2EDABE44" w:tentative="1">
      <w:start w:val="1"/>
      <w:numFmt w:val="bullet"/>
      <w:lvlText w:val=""/>
      <w:lvlJc w:val="left"/>
      <w:pPr>
        <w:ind w:left="2860" w:hanging="360"/>
      </w:pPr>
      <w:rPr>
        <w:rFonts w:ascii="Symbol" w:hAnsi="Symbol" w:hint="default"/>
      </w:rPr>
    </w:lvl>
    <w:lvl w:ilvl="4" w:tplc="CD62D5A6" w:tentative="1">
      <w:start w:val="1"/>
      <w:numFmt w:val="bullet"/>
      <w:lvlText w:val="o"/>
      <w:lvlJc w:val="left"/>
      <w:pPr>
        <w:ind w:left="3580" w:hanging="360"/>
      </w:pPr>
      <w:rPr>
        <w:rFonts w:ascii="Courier New" w:hAnsi="Courier New" w:cs="Courier New" w:hint="default"/>
      </w:rPr>
    </w:lvl>
    <w:lvl w:ilvl="5" w:tplc="F882409C" w:tentative="1">
      <w:start w:val="1"/>
      <w:numFmt w:val="bullet"/>
      <w:lvlText w:val=""/>
      <w:lvlJc w:val="left"/>
      <w:pPr>
        <w:ind w:left="4300" w:hanging="360"/>
      </w:pPr>
      <w:rPr>
        <w:rFonts w:ascii="Wingdings" w:hAnsi="Wingdings" w:hint="default"/>
      </w:rPr>
    </w:lvl>
    <w:lvl w:ilvl="6" w:tplc="2BB6648C" w:tentative="1">
      <w:start w:val="1"/>
      <w:numFmt w:val="bullet"/>
      <w:lvlText w:val=""/>
      <w:lvlJc w:val="left"/>
      <w:pPr>
        <w:ind w:left="5020" w:hanging="360"/>
      </w:pPr>
      <w:rPr>
        <w:rFonts w:ascii="Symbol" w:hAnsi="Symbol" w:hint="default"/>
      </w:rPr>
    </w:lvl>
    <w:lvl w:ilvl="7" w:tplc="E06AD79E" w:tentative="1">
      <w:start w:val="1"/>
      <w:numFmt w:val="bullet"/>
      <w:lvlText w:val="o"/>
      <w:lvlJc w:val="left"/>
      <w:pPr>
        <w:ind w:left="5740" w:hanging="360"/>
      </w:pPr>
      <w:rPr>
        <w:rFonts w:ascii="Courier New" w:hAnsi="Courier New" w:cs="Courier New" w:hint="default"/>
      </w:rPr>
    </w:lvl>
    <w:lvl w:ilvl="8" w:tplc="49408A2E" w:tentative="1">
      <w:start w:val="1"/>
      <w:numFmt w:val="bullet"/>
      <w:lvlText w:val=""/>
      <w:lvlJc w:val="left"/>
      <w:pPr>
        <w:ind w:left="6460" w:hanging="360"/>
      </w:pPr>
      <w:rPr>
        <w:rFonts w:ascii="Wingdings" w:hAnsi="Wingdings" w:hint="default"/>
      </w:rPr>
    </w:lvl>
  </w:abstractNum>
  <w:abstractNum w:abstractNumId="65" w15:restartNumberingAfterBreak="0">
    <w:nsid w:val="40DB568D"/>
    <w:multiLevelType w:val="hybridMultilevel"/>
    <w:tmpl w:val="5D40E2BC"/>
    <w:lvl w:ilvl="0" w:tplc="04CA1C76">
      <w:start w:val="1"/>
      <w:numFmt w:val="lowerLetter"/>
      <w:lvlText w:val="(%1)"/>
      <w:lvlJc w:val="left"/>
      <w:pPr>
        <w:ind w:left="360" w:hanging="360"/>
      </w:pPr>
      <w:rPr>
        <w:rFonts w:ascii="Arial" w:eastAsia="Times New Roman" w:hAnsi="Arial" w:cs="Times New Roman"/>
      </w:rPr>
    </w:lvl>
    <w:lvl w:ilvl="1" w:tplc="3EBE5DA2" w:tentative="1">
      <w:start w:val="1"/>
      <w:numFmt w:val="lowerLetter"/>
      <w:lvlText w:val="%2."/>
      <w:lvlJc w:val="left"/>
      <w:pPr>
        <w:ind w:left="1440" w:hanging="360"/>
      </w:pPr>
    </w:lvl>
    <w:lvl w:ilvl="2" w:tplc="AA700908" w:tentative="1">
      <w:start w:val="1"/>
      <w:numFmt w:val="lowerRoman"/>
      <w:lvlText w:val="%3."/>
      <w:lvlJc w:val="right"/>
      <w:pPr>
        <w:ind w:left="2160" w:hanging="180"/>
      </w:pPr>
    </w:lvl>
    <w:lvl w:ilvl="3" w:tplc="C01A529C" w:tentative="1">
      <w:start w:val="1"/>
      <w:numFmt w:val="decimal"/>
      <w:lvlText w:val="%4."/>
      <w:lvlJc w:val="left"/>
      <w:pPr>
        <w:ind w:left="2880" w:hanging="360"/>
      </w:pPr>
    </w:lvl>
    <w:lvl w:ilvl="4" w:tplc="C2E8F004" w:tentative="1">
      <w:start w:val="1"/>
      <w:numFmt w:val="lowerLetter"/>
      <w:lvlText w:val="%5."/>
      <w:lvlJc w:val="left"/>
      <w:pPr>
        <w:ind w:left="3600" w:hanging="360"/>
      </w:pPr>
    </w:lvl>
    <w:lvl w:ilvl="5" w:tplc="5448CD96" w:tentative="1">
      <w:start w:val="1"/>
      <w:numFmt w:val="lowerRoman"/>
      <w:lvlText w:val="%6."/>
      <w:lvlJc w:val="right"/>
      <w:pPr>
        <w:ind w:left="4320" w:hanging="180"/>
      </w:pPr>
    </w:lvl>
    <w:lvl w:ilvl="6" w:tplc="B33EDA08" w:tentative="1">
      <w:start w:val="1"/>
      <w:numFmt w:val="decimal"/>
      <w:lvlText w:val="%7."/>
      <w:lvlJc w:val="left"/>
      <w:pPr>
        <w:ind w:left="5040" w:hanging="360"/>
      </w:pPr>
    </w:lvl>
    <w:lvl w:ilvl="7" w:tplc="26D4D612" w:tentative="1">
      <w:start w:val="1"/>
      <w:numFmt w:val="lowerLetter"/>
      <w:lvlText w:val="%8."/>
      <w:lvlJc w:val="left"/>
      <w:pPr>
        <w:ind w:left="5760" w:hanging="360"/>
      </w:pPr>
    </w:lvl>
    <w:lvl w:ilvl="8" w:tplc="0B0C33A0" w:tentative="1">
      <w:start w:val="1"/>
      <w:numFmt w:val="lowerRoman"/>
      <w:lvlText w:val="%9."/>
      <w:lvlJc w:val="right"/>
      <w:pPr>
        <w:ind w:left="6480" w:hanging="180"/>
      </w:pPr>
    </w:lvl>
  </w:abstractNum>
  <w:abstractNum w:abstractNumId="66" w15:restartNumberingAfterBreak="0">
    <w:nsid w:val="41562FCC"/>
    <w:multiLevelType w:val="hybridMultilevel"/>
    <w:tmpl w:val="D6D0879E"/>
    <w:lvl w:ilvl="0" w:tplc="6C86CC5C">
      <w:start w:val="1"/>
      <w:numFmt w:val="lowerLetter"/>
      <w:lvlText w:val="(%1)"/>
      <w:lvlJc w:val="left"/>
      <w:pPr>
        <w:ind w:left="360" w:hanging="360"/>
      </w:pPr>
      <w:rPr>
        <w:rFonts w:ascii="Arial" w:hAnsi="Arial" w:cs="Times New Roman" w:hint="default"/>
        <w:b w:val="0"/>
        <w:i w:val="0"/>
        <w:sz w:val="16"/>
        <w:szCs w:val="16"/>
      </w:rPr>
    </w:lvl>
    <w:lvl w:ilvl="1" w:tplc="83781072">
      <w:start w:val="1"/>
      <w:numFmt w:val="lowerLetter"/>
      <w:lvlText w:val="%2."/>
      <w:lvlJc w:val="left"/>
      <w:pPr>
        <w:ind w:left="1080" w:hanging="360"/>
      </w:pPr>
    </w:lvl>
    <w:lvl w:ilvl="2" w:tplc="2592D29A">
      <w:start w:val="1"/>
      <w:numFmt w:val="lowerRoman"/>
      <w:lvlText w:val="%3."/>
      <w:lvlJc w:val="right"/>
      <w:pPr>
        <w:ind w:left="1800" w:hanging="180"/>
      </w:pPr>
    </w:lvl>
    <w:lvl w:ilvl="3" w:tplc="D3DA025C">
      <w:start w:val="1"/>
      <w:numFmt w:val="decimal"/>
      <w:lvlText w:val="%4."/>
      <w:lvlJc w:val="left"/>
      <w:pPr>
        <w:ind w:left="2520" w:hanging="360"/>
      </w:pPr>
    </w:lvl>
    <w:lvl w:ilvl="4" w:tplc="EC6692CE">
      <w:start w:val="1"/>
      <w:numFmt w:val="lowerLetter"/>
      <w:lvlText w:val="%5."/>
      <w:lvlJc w:val="left"/>
      <w:pPr>
        <w:ind w:left="3240" w:hanging="360"/>
      </w:pPr>
    </w:lvl>
    <w:lvl w:ilvl="5" w:tplc="5560BC78">
      <w:start w:val="1"/>
      <w:numFmt w:val="lowerRoman"/>
      <w:lvlText w:val="%6."/>
      <w:lvlJc w:val="right"/>
      <w:pPr>
        <w:ind w:left="3960" w:hanging="180"/>
      </w:pPr>
    </w:lvl>
    <w:lvl w:ilvl="6" w:tplc="FADC846E">
      <w:start w:val="1"/>
      <w:numFmt w:val="decimal"/>
      <w:lvlText w:val="%7."/>
      <w:lvlJc w:val="left"/>
      <w:pPr>
        <w:ind w:left="4680" w:hanging="360"/>
      </w:pPr>
    </w:lvl>
    <w:lvl w:ilvl="7" w:tplc="1652A7A8">
      <w:start w:val="1"/>
      <w:numFmt w:val="lowerLetter"/>
      <w:lvlText w:val="%8."/>
      <w:lvlJc w:val="left"/>
      <w:pPr>
        <w:ind w:left="5400" w:hanging="360"/>
      </w:pPr>
    </w:lvl>
    <w:lvl w:ilvl="8" w:tplc="756E926E">
      <w:start w:val="1"/>
      <w:numFmt w:val="lowerRoman"/>
      <w:lvlText w:val="%9."/>
      <w:lvlJc w:val="right"/>
      <w:pPr>
        <w:ind w:left="6120" w:hanging="180"/>
      </w:pPr>
    </w:lvl>
  </w:abstractNum>
  <w:abstractNum w:abstractNumId="67" w15:restartNumberingAfterBreak="0">
    <w:nsid w:val="420612BE"/>
    <w:multiLevelType w:val="hybridMultilevel"/>
    <w:tmpl w:val="775EAEBE"/>
    <w:lvl w:ilvl="0" w:tplc="7ACE9A0C">
      <w:start w:val="1"/>
      <w:numFmt w:val="bullet"/>
      <w:lvlText w:val=""/>
      <w:lvlJc w:val="left"/>
      <w:pPr>
        <w:ind w:left="720" w:hanging="360"/>
      </w:pPr>
      <w:rPr>
        <w:rFonts w:ascii="Symbol" w:hAnsi="Symbol" w:hint="default"/>
      </w:rPr>
    </w:lvl>
    <w:lvl w:ilvl="1" w:tplc="594AEF54" w:tentative="1">
      <w:start w:val="1"/>
      <w:numFmt w:val="bullet"/>
      <w:lvlText w:val="o"/>
      <w:lvlJc w:val="left"/>
      <w:pPr>
        <w:ind w:left="1440" w:hanging="360"/>
      </w:pPr>
      <w:rPr>
        <w:rFonts w:ascii="Courier New" w:hAnsi="Courier New" w:cs="Courier New" w:hint="default"/>
      </w:rPr>
    </w:lvl>
    <w:lvl w:ilvl="2" w:tplc="0D1EA178" w:tentative="1">
      <w:start w:val="1"/>
      <w:numFmt w:val="bullet"/>
      <w:lvlText w:val=""/>
      <w:lvlJc w:val="left"/>
      <w:pPr>
        <w:ind w:left="2160" w:hanging="360"/>
      </w:pPr>
      <w:rPr>
        <w:rFonts w:ascii="Wingdings" w:hAnsi="Wingdings" w:hint="default"/>
      </w:rPr>
    </w:lvl>
    <w:lvl w:ilvl="3" w:tplc="F41C8E3C" w:tentative="1">
      <w:start w:val="1"/>
      <w:numFmt w:val="bullet"/>
      <w:lvlText w:val=""/>
      <w:lvlJc w:val="left"/>
      <w:pPr>
        <w:ind w:left="2880" w:hanging="360"/>
      </w:pPr>
      <w:rPr>
        <w:rFonts w:ascii="Symbol" w:hAnsi="Symbol" w:hint="default"/>
      </w:rPr>
    </w:lvl>
    <w:lvl w:ilvl="4" w:tplc="3126E392" w:tentative="1">
      <w:start w:val="1"/>
      <w:numFmt w:val="bullet"/>
      <w:lvlText w:val="o"/>
      <w:lvlJc w:val="left"/>
      <w:pPr>
        <w:ind w:left="3600" w:hanging="360"/>
      </w:pPr>
      <w:rPr>
        <w:rFonts w:ascii="Courier New" w:hAnsi="Courier New" w:cs="Courier New" w:hint="default"/>
      </w:rPr>
    </w:lvl>
    <w:lvl w:ilvl="5" w:tplc="05BC7A8C" w:tentative="1">
      <w:start w:val="1"/>
      <w:numFmt w:val="bullet"/>
      <w:lvlText w:val=""/>
      <w:lvlJc w:val="left"/>
      <w:pPr>
        <w:ind w:left="4320" w:hanging="360"/>
      </w:pPr>
      <w:rPr>
        <w:rFonts w:ascii="Wingdings" w:hAnsi="Wingdings" w:hint="default"/>
      </w:rPr>
    </w:lvl>
    <w:lvl w:ilvl="6" w:tplc="CDDABD28" w:tentative="1">
      <w:start w:val="1"/>
      <w:numFmt w:val="bullet"/>
      <w:lvlText w:val=""/>
      <w:lvlJc w:val="left"/>
      <w:pPr>
        <w:ind w:left="5040" w:hanging="360"/>
      </w:pPr>
      <w:rPr>
        <w:rFonts w:ascii="Symbol" w:hAnsi="Symbol" w:hint="default"/>
      </w:rPr>
    </w:lvl>
    <w:lvl w:ilvl="7" w:tplc="61046F54" w:tentative="1">
      <w:start w:val="1"/>
      <w:numFmt w:val="bullet"/>
      <w:lvlText w:val="o"/>
      <w:lvlJc w:val="left"/>
      <w:pPr>
        <w:ind w:left="5760" w:hanging="360"/>
      </w:pPr>
      <w:rPr>
        <w:rFonts w:ascii="Courier New" w:hAnsi="Courier New" w:cs="Courier New" w:hint="default"/>
      </w:rPr>
    </w:lvl>
    <w:lvl w:ilvl="8" w:tplc="5F1C1586" w:tentative="1">
      <w:start w:val="1"/>
      <w:numFmt w:val="bullet"/>
      <w:lvlText w:val=""/>
      <w:lvlJc w:val="left"/>
      <w:pPr>
        <w:ind w:left="6480" w:hanging="360"/>
      </w:pPr>
      <w:rPr>
        <w:rFonts w:ascii="Wingdings" w:hAnsi="Wingdings" w:hint="default"/>
      </w:rPr>
    </w:lvl>
  </w:abstractNum>
  <w:abstractNum w:abstractNumId="68" w15:restartNumberingAfterBreak="0">
    <w:nsid w:val="42A62AC8"/>
    <w:multiLevelType w:val="hybridMultilevel"/>
    <w:tmpl w:val="D15681AA"/>
    <w:lvl w:ilvl="0" w:tplc="0B7CF0A8">
      <w:start w:val="1"/>
      <w:numFmt w:val="bullet"/>
      <w:lvlText w:val=""/>
      <w:lvlJc w:val="left"/>
      <w:pPr>
        <w:ind w:left="720" w:hanging="360"/>
      </w:pPr>
      <w:rPr>
        <w:rFonts w:ascii="Symbol" w:hAnsi="Symbol" w:hint="default"/>
      </w:rPr>
    </w:lvl>
    <w:lvl w:ilvl="1" w:tplc="0818FDD6" w:tentative="1">
      <w:start w:val="1"/>
      <w:numFmt w:val="bullet"/>
      <w:lvlText w:val="o"/>
      <w:lvlJc w:val="left"/>
      <w:pPr>
        <w:ind w:left="1440" w:hanging="360"/>
      </w:pPr>
      <w:rPr>
        <w:rFonts w:ascii="Courier New" w:hAnsi="Courier New" w:cs="Courier New" w:hint="default"/>
      </w:rPr>
    </w:lvl>
    <w:lvl w:ilvl="2" w:tplc="AEA0D836" w:tentative="1">
      <w:start w:val="1"/>
      <w:numFmt w:val="bullet"/>
      <w:lvlText w:val=""/>
      <w:lvlJc w:val="left"/>
      <w:pPr>
        <w:ind w:left="2160" w:hanging="360"/>
      </w:pPr>
      <w:rPr>
        <w:rFonts w:ascii="Wingdings" w:hAnsi="Wingdings" w:hint="default"/>
      </w:rPr>
    </w:lvl>
    <w:lvl w:ilvl="3" w:tplc="1DEA11DE" w:tentative="1">
      <w:start w:val="1"/>
      <w:numFmt w:val="bullet"/>
      <w:lvlText w:val=""/>
      <w:lvlJc w:val="left"/>
      <w:pPr>
        <w:ind w:left="2880" w:hanging="360"/>
      </w:pPr>
      <w:rPr>
        <w:rFonts w:ascii="Symbol" w:hAnsi="Symbol" w:hint="default"/>
      </w:rPr>
    </w:lvl>
    <w:lvl w:ilvl="4" w:tplc="CDF4905A" w:tentative="1">
      <w:start w:val="1"/>
      <w:numFmt w:val="bullet"/>
      <w:lvlText w:val="o"/>
      <w:lvlJc w:val="left"/>
      <w:pPr>
        <w:ind w:left="3600" w:hanging="360"/>
      </w:pPr>
      <w:rPr>
        <w:rFonts w:ascii="Courier New" w:hAnsi="Courier New" w:cs="Courier New" w:hint="default"/>
      </w:rPr>
    </w:lvl>
    <w:lvl w:ilvl="5" w:tplc="67164FD4" w:tentative="1">
      <w:start w:val="1"/>
      <w:numFmt w:val="bullet"/>
      <w:lvlText w:val=""/>
      <w:lvlJc w:val="left"/>
      <w:pPr>
        <w:ind w:left="4320" w:hanging="360"/>
      </w:pPr>
      <w:rPr>
        <w:rFonts w:ascii="Wingdings" w:hAnsi="Wingdings" w:hint="default"/>
      </w:rPr>
    </w:lvl>
    <w:lvl w:ilvl="6" w:tplc="077A5420" w:tentative="1">
      <w:start w:val="1"/>
      <w:numFmt w:val="bullet"/>
      <w:lvlText w:val=""/>
      <w:lvlJc w:val="left"/>
      <w:pPr>
        <w:ind w:left="5040" w:hanging="360"/>
      </w:pPr>
      <w:rPr>
        <w:rFonts w:ascii="Symbol" w:hAnsi="Symbol" w:hint="default"/>
      </w:rPr>
    </w:lvl>
    <w:lvl w:ilvl="7" w:tplc="DBDE533A" w:tentative="1">
      <w:start w:val="1"/>
      <w:numFmt w:val="bullet"/>
      <w:lvlText w:val="o"/>
      <w:lvlJc w:val="left"/>
      <w:pPr>
        <w:ind w:left="5760" w:hanging="360"/>
      </w:pPr>
      <w:rPr>
        <w:rFonts w:ascii="Courier New" w:hAnsi="Courier New" w:cs="Courier New" w:hint="default"/>
      </w:rPr>
    </w:lvl>
    <w:lvl w:ilvl="8" w:tplc="5BB23586" w:tentative="1">
      <w:start w:val="1"/>
      <w:numFmt w:val="bullet"/>
      <w:lvlText w:val=""/>
      <w:lvlJc w:val="left"/>
      <w:pPr>
        <w:ind w:left="6480" w:hanging="360"/>
      </w:pPr>
      <w:rPr>
        <w:rFonts w:ascii="Wingdings" w:hAnsi="Wingdings" w:hint="default"/>
      </w:rPr>
    </w:lvl>
  </w:abstractNum>
  <w:abstractNum w:abstractNumId="69" w15:restartNumberingAfterBreak="0">
    <w:nsid w:val="42B735D3"/>
    <w:multiLevelType w:val="hybridMultilevel"/>
    <w:tmpl w:val="A9582966"/>
    <w:lvl w:ilvl="0" w:tplc="50E4B248">
      <w:start w:val="1"/>
      <w:numFmt w:val="lowerLetter"/>
      <w:lvlText w:val="(%1)"/>
      <w:lvlJc w:val="left"/>
      <w:pPr>
        <w:ind w:left="720" w:hanging="360"/>
      </w:pPr>
      <w:rPr>
        <w:rFonts w:hint="default"/>
      </w:rPr>
    </w:lvl>
    <w:lvl w:ilvl="1" w:tplc="FEDCDE2E" w:tentative="1">
      <w:start w:val="1"/>
      <w:numFmt w:val="lowerLetter"/>
      <w:lvlText w:val="%2."/>
      <w:lvlJc w:val="left"/>
      <w:pPr>
        <w:ind w:left="1440" w:hanging="360"/>
      </w:pPr>
    </w:lvl>
    <w:lvl w:ilvl="2" w:tplc="1AB012E8" w:tentative="1">
      <w:start w:val="1"/>
      <w:numFmt w:val="lowerRoman"/>
      <w:lvlText w:val="%3."/>
      <w:lvlJc w:val="right"/>
      <w:pPr>
        <w:ind w:left="2160" w:hanging="180"/>
      </w:pPr>
    </w:lvl>
    <w:lvl w:ilvl="3" w:tplc="D2849470" w:tentative="1">
      <w:start w:val="1"/>
      <w:numFmt w:val="decimal"/>
      <w:lvlText w:val="%4."/>
      <w:lvlJc w:val="left"/>
      <w:pPr>
        <w:ind w:left="2880" w:hanging="360"/>
      </w:pPr>
    </w:lvl>
    <w:lvl w:ilvl="4" w:tplc="034272C6" w:tentative="1">
      <w:start w:val="1"/>
      <w:numFmt w:val="lowerLetter"/>
      <w:lvlText w:val="%5."/>
      <w:lvlJc w:val="left"/>
      <w:pPr>
        <w:ind w:left="3600" w:hanging="360"/>
      </w:pPr>
    </w:lvl>
    <w:lvl w:ilvl="5" w:tplc="79CC1866" w:tentative="1">
      <w:start w:val="1"/>
      <w:numFmt w:val="lowerRoman"/>
      <w:lvlText w:val="%6."/>
      <w:lvlJc w:val="right"/>
      <w:pPr>
        <w:ind w:left="4320" w:hanging="180"/>
      </w:pPr>
    </w:lvl>
    <w:lvl w:ilvl="6" w:tplc="786A2008" w:tentative="1">
      <w:start w:val="1"/>
      <w:numFmt w:val="decimal"/>
      <w:lvlText w:val="%7."/>
      <w:lvlJc w:val="left"/>
      <w:pPr>
        <w:ind w:left="5040" w:hanging="360"/>
      </w:pPr>
    </w:lvl>
    <w:lvl w:ilvl="7" w:tplc="5EBCA82A" w:tentative="1">
      <w:start w:val="1"/>
      <w:numFmt w:val="lowerLetter"/>
      <w:lvlText w:val="%8."/>
      <w:lvlJc w:val="left"/>
      <w:pPr>
        <w:ind w:left="5760" w:hanging="360"/>
      </w:pPr>
    </w:lvl>
    <w:lvl w:ilvl="8" w:tplc="0064654E" w:tentative="1">
      <w:start w:val="1"/>
      <w:numFmt w:val="lowerRoman"/>
      <w:lvlText w:val="%9."/>
      <w:lvlJc w:val="right"/>
      <w:pPr>
        <w:ind w:left="6480" w:hanging="180"/>
      </w:pPr>
    </w:lvl>
  </w:abstractNum>
  <w:abstractNum w:abstractNumId="70" w15:restartNumberingAfterBreak="0">
    <w:nsid w:val="42DC2BA7"/>
    <w:multiLevelType w:val="hybridMultilevel"/>
    <w:tmpl w:val="B8D2D500"/>
    <w:lvl w:ilvl="0" w:tplc="BB505EBC">
      <w:start w:val="1"/>
      <w:numFmt w:val="lowerLetter"/>
      <w:lvlText w:val="(%1)"/>
      <w:lvlJc w:val="left"/>
      <w:pPr>
        <w:ind w:left="360" w:hanging="360"/>
      </w:pPr>
    </w:lvl>
    <w:lvl w:ilvl="1" w:tplc="B3B00FE8" w:tentative="1">
      <w:start w:val="1"/>
      <w:numFmt w:val="lowerLetter"/>
      <w:lvlText w:val="%2."/>
      <w:lvlJc w:val="left"/>
      <w:pPr>
        <w:ind w:left="1080" w:hanging="360"/>
      </w:pPr>
    </w:lvl>
    <w:lvl w:ilvl="2" w:tplc="8D207B22" w:tentative="1">
      <w:start w:val="1"/>
      <w:numFmt w:val="lowerRoman"/>
      <w:lvlText w:val="%3."/>
      <w:lvlJc w:val="right"/>
      <w:pPr>
        <w:ind w:left="1800" w:hanging="180"/>
      </w:pPr>
    </w:lvl>
    <w:lvl w:ilvl="3" w:tplc="62B6748C" w:tentative="1">
      <w:start w:val="1"/>
      <w:numFmt w:val="decimal"/>
      <w:lvlText w:val="%4."/>
      <w:lvlJc w:val="left"/>
      <w:pPr>
        <w:ind w:left="2520" w:hanging="360"/>
      </w:pPr>
    </w:lvl>
    <w:lvl w:ilvl="4" w:tplc="7A98906E" w:tentative="1">
      <w:start w:val="1"/>
      <w:numFmt w:val="lowerLetter"/>
      <w:lvlText w:val="%5."/>
      <w:lvlJc w:val="left"/>
      <w:pPr>
        <w:ind w:left="3240" w:hanging="360"/>
      </w:pPr>
    </w:lvl>
    <w:lvl w:ilvl="5" w:tplc="6DBEA7AC" w:tentative="1">
      <w:start w:val="1"/>
      <w:numFmt w:val="lowerRoman"/>
      <w:lvlText w:val="%6."/>
      <w:lvlJc w:val="right"/>
      <w:pPr>
        <w:ind w:left="3960" w:hanging="180"/>
      </w:pPr>
    </w:lvl>
    <w:lvl w:ilvl="6" w:tplc="0342746C" w:tentative="1">
      <w:start w:val="1"/>
      <w:numFmt w:val="decimal"/>
      <w:lvlText w:val="%7."/>
      <w:lvlJc w:val="left"/>
      <w:pPr>
        <w:ind w:left="4680" w:hanging="360"/>
      </w:pPr>
    </w:lvl>
    <w:lvl w:ilvl="7" w:tplc="E11469FE" w:tentative="1">
      <w:start w:val="1"/>
      <w:numFmt w:val="lowerLetter"/>
      <w:lvlText w:val="%8."/>
      <w:lvlJc w:val="left"/>
      <w:pPr>
        <w:ind w:left="5400" w:hanging="360"/>
      </w:pPr>
    </w:lvl>
    <w:lvl w:ilvl="8" w:tplc="B358C786" w:tentative="1">
      <w:start w:val="1"/>
      <w:numFmt w:val="lowerRoman"/>
      <w:lvlText w:val="%9."/>
      <w:lvlJc w:val="right"/>
      <w:pPr>
        <w:ind w:left="6120" w:hanging="180"/>
      </w:pPr>
    </w:lvl>
  </w:abstractNum>
  <w:abstractNum w:abstractNumId="71" w15:restartNumberingAfterBreak="0">
    <w:nsid w:val="4344D409"/>
    <w:multiLevelType w:val="hybridMultilevel"/>
    <w:tmpl w:val="AA18EF34"/>
    <w:lvl w:ilvl="0" w:tplc="14F457FC">
      <w:start w:val="1"/>
      <w:numFmt w:val="bullet"/>
      <w:lvlText w:val=""/>
      <w:lvlJc w:val="left"/>
      <w:pPr>
        <w:ind w:left="720" w:hanging="360"/>
      </w:pPr>
      <w:rPr>
        <w:rFonts w:ascii="Symbol" w:hAnsi="Symbol" w:hint="default"/>
        <w:color w:val="auto"/>
      </w:rPr>
    </w:lvl>
    <w:lvl w:ilvl="1" w:tplc="ECCE37A8">
      <w:start w:val="1"/>
      <w:numFmt w:val="bullet"/>
      <w:lvlText w:val="o"/>
      <w:lvlJc w:val="left"/>
      <w:pPr>
        <w:ind w:left="1440" w:hanging="360"/>
      </w:pPr>
      <w:rPr>
        <w:rFonts w:ascii="Courier New" w:hAnsi="Courier New" w:cs="Courier New" w:hint="default"/>
      </w:rPr>
    </w:lvl>
    <w:lvl w:ilvl="2" w:tplc="A4C81068">
      <w:start w:val="1"/>
      <w:numFmt w:val="bullet"/>
      <w:lvlText w:val=""/>
      <w:lvlJc w:val="left"/>
      <w:pPr>
        <w:ind w:left="2160" w:hanging="360"/>
      </w:pPr>
      <w:rPr>
        <w:rFonts w:ascii="Wingdings" w:hAnsi="Wingdings" w:hint="default"/>
      </w:rPr>
    </w:lvl>
    <w:lvl w:ilvl="3" w:tplc="AA7E12C6">
      <w:start w:val="1"/>
      <w:numFmt w:val="bullet"/>
      <w:lvlText w:val=""/>
      <w:lvlJc w:val="left"/>
      <w:pPr>
        <w:ind w:left="2880" w:hanging="360"/>
      </w:pPr>
      <w:rPr>
        <w:rFonts w:ascii="Symbol" w:hAnsi="Symbol" w:hint="default"/>
      </w:rPr>
    </w:lvl>
    <w:lvl w:ilvl="4" w:tplc="B69052D6">
      <w:start w:val="1"/>
      <w:numFmt w:val="bullet"/>
      <w:lvlText w:val="o"/>
      <w:lvlJc w:val="left"/>
      <w:pPr>
        <w:ind w:left="3600" w:hanging="360"/>
      </w:pPr>
      <w:rPr>
        <w:rFonts w:ascii="Courier New" w:hAnsi="Courier New" w:cs="Courier New" w:hint="default"/>
      </w:rPr>
    </w:lvl>
    <w:lvl w:ilvl="5" w:tplc="6FB4B1EA">
      <w:start w:val="1"/>
      <w:numFmt w:val="bullet"/>
      <w:lvlText w:val=""/>
      <w:lvlJc w:val="left"/>
      <w:pPr>
        <w:ind w:left="4320" w:hanging="360"/>
      </w:pPr>
      <w:rPr>
        <w:rFonts w:ascii="Wingdings" w:hAnsi="Wingdings" w:hint="default"/>
      </w:rPr>
    </w:lvl>
    <w:lvl w:ilvl="6" w:tplc="EF4491B0">
      <w:start w:val="1"/>
      <w:numFmt w:val="bullet"/>
      <w:lvlText w:val=""/>
      <w:lvlJc w:val="left"/>
      <w:pPr>
        <w:ind w:left="5040" w:hanging="360"/>
      </w:pPr>
      <w:rPr>
        <w:rFonts w:ascii="Symbol" w:hAnsi="Symbol" w:hint="default"/>
      </w:rPr>
    </w:lvl>
    <w:lvl w:ilvl="7" w:tplc="A0D21402">
      <w:start w:val="1"/>
      <w:numFmt w:val="bullet"/>
      <w:lvlText w:val="o"/>
      <w:lvlJc w:val="left"/>
      <w:pPr>
        <w:ind w:left="5760" w:hanging="360"/>
      </w:pPr>
      <w:rPr>
        <w:rFonts w:ascii="Courier New" w:hAnsi="Courier New" w:cs="Courier New" w:hint="default"/>
      </w:rPr>
    </w:lvl>
    <w:lvl w:ilvl="8" w:tplc="D616B706">
      <w:start w:val="1"/>
      <w:numFmt w:val="bullet"/>
      <w:lvlText w:val=""/>
      <w:lvlJc w:val="left"/>
      <w:pPr>
        <w:ind w:left="6480" w:hanging="360"/>
      </w:pPr>
      <w:rPr>
        <w:rFonts w:ascii="Wingdings" w:hAnsi="Wingdings" w:hint="default"/>
      </w:rPr>
    </w:lvl>
  </w:abstractNum>
  <w:abstractNum w:abstractNumId="72" w15:restartNumberingAfterBreak="0">
    <w:nsid w:val="43AE2718"/>
    <w:multiLevelType w:val="multilevel"/>
    <w:tmpl w:val="F88CBDE4"/>
    <w:lvl w:ilvl="0">
      <w:start w:val="1"/>
      <w:numFmt w:val="bullet"/>
      <w:lvlText w:val=""/>
      <w:lvlJc w:val="left"/>
      <w:pPr>
        <w:tabs>
          <w:tab w:val="num" w:pos="284"/>
        </w:tabs>
        <w:ind w:left="284" w:hanging="284"/>
      </w:pPr>
      <w:rPr>
        <w:rFonts w:ascii="Symbol" w:hAnsi="Symbol" w:hint="default"/>
        <w:b w:val="0"/>
        <w:i w:val="0"/>
        <w:color w:val="auto"/>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454B904C"/>
    <w:multiLevelType w:val="hybridMultilevel"/>
    <w:tmpl w:val="B8D2D500"/>
    <w:lvl w:ilvl="0" w:tplc="A5C02546">
      <w:start w:val="1"/>
      <w:numFmt w:val="lowerLetter"/>
      <w:lvlText w:val="(%1)"/>
      <w:lvlJc w:val="left"/>
      <w:pPr>
        <w:ind w:left="360" w:hanging="360"/>
      </w:pPr>
    </w:lvl>
    <w:lvl w:ilvl="1" w:tplc="7478AD3E" w:tentative="1">
      <w:start w:val="1"/>
      <w:numFmt w:val="lowerLetter"/>
      <w:lvlText w:val="%2."/>
      <w:lvlJc w:val="left"/>
      <w:pPr>
        <w:ind w:left="1080" w:hanging="360"/>
      </w:pPr>
    </w:lvl>
    <w:lvl w:ilvl="2" w:tplc="C3D2CFD4" w:tentative="1">
      <w:start w:val="1"/>
      <w:numFmt w:val="lowerRoman"/>
      <w:lvlText w:val="%3."/>
      <w:lvlJc w:val="right"/>
      <w:pPr>
        <w:ind w:left="1800" w:hanging="180"/>
      </w:pPr>
    </w:lvl>
    <w:lvl w:ilvl="3" w:tplc="965E15C2" w:tentative="1">
      <w:start w:val="1"/>
      <w:numFmt w:val="decimal"/>
      <w:lvlText w:val="%4."/>
      <w:lvlJc w:val="left"/>
      <w:pPr>
        <w:ind w:left="2520" w:hanging="360"/>
      </w:pPr>
    </w:lvl>
    <w:lvl w:ilvl="4" w:tplc="2B608F46" w:tentative="1">
      <w:start w:val="1"/>
      <w:numFmt w:val="lowerLetter"/>
      <w:lvlText w:val="%5."/>
      <w:lvlJc w:val="left"/>
      <w:pPr>
        <w:ind w:left="3240" w:hanging="360"/>
      </w:pPr>
    </w:lvl>
    <w:lvl w:ilvl="5" w:tplc="DB922490" w:tentative="1">
      <w:start w:val="1"/>
      <w:numFmt w:val="lowerRoman"/>
      <w:lvlText w:val="%6."/>
      <w:lvlJc w:val="right"/>
      <w:pPr>
        <w:ind w:left="3960" w:hanging="180"/>
      </w:pPr>
    </w:lvl>
    <w:lvl w:ilvl="6" w:tplc="33B2ADEC" w:tentative="1">
      <w:start w:val="1"/>
      <w:numFmt w:val="decimal"/>
      <w:lvlText w:val="%7."/>
      <w:lvlJc w:val="left"/>
      <w:pPr>
        <w:ind w:left="4680" w:hanging="360"/>
      </w:pPr>
    </w:lvl>
    <w:lvl w:ilvl="7" w:tplc="AF2CA714" w:tentative="1">
      <w:start w:val="1"/>
      <w:numFmt w:val="lowerLetter"/>
      <w:lvlText w:val="%8."/>
      <w:lvlJc w:val="left"/>
      <w:pPr>
        <w:ind w:left="5400" w:hanging="360"/>
      </w:pPr>
    </w:lvl>
    <w:lvl w:ilvl="8" w:tplc="35AEBA62" w:tentative="1">
      <w:start w:val="1"/>
      <w:numFmt w:val="lowerRoman"/>
      <w:lvlText w:val="%9."/>
      <w:lvlJc w:val="right"/>
      <w:pPr>
        <w:ind w:left="6120" w:hanging="180"/>
      </w:pPr>
    </w:lvl>
  </w:abstractNum>
  <w:abstractNum w:abstractNumId="74" w15:restartNumberingAfterBreak="0">
    <w:nsid w:val="46D47B9A"/>
    <w:multiLevelType w:val="multilevel"/>
    <w:tmpl w:val="36246458"/>
    <w:lvl w:ilvl="0">
      <w:numFmt w:val="bullet"/>
      <w:lvlText w:val="·"/>
      <w:lvlJc w:val="left"/>
      <w:pPr>
        <w:tabs>
          <w:tab w:val="left" w:pos="288"/>
        </w:tabs>
        <w:ind w:left="0" w:firstLine="0"/>
      </w:pPr>
      <w:rPr>
        <w:rFonts w:ascii="Symbol" w:eastAsia="Symbol" w:hAnsi="Symbol"/>
        <w:color w:val="000000"/>
        <w:spacing w:val="0"/>
        <w:w w:val="100"/>
        <w:sz w:val="20"/>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4804725B"/>
    <w:multiLevelType w:val="hybridMultilevel"/>
    <w:tmpl w:val="F6328CCC"/>
    <w:lvl w:ilvl="0" w:tplc="5D10909E">
      <w:start w:val="1"/>
      <w:numFmt w:val="lowerLetter"/>
      <w:lvlText w:val="(%1)"/>
      <w:lvlJc w:val="left"/>
      <w:pPr>
        <w:ind w:left="360" w:hanging="360"/>
      </w:pPr>
      <w:rPr>
        <w:rFonts w:hint="default"/>
      </w:rPr>
    </w:lvl>
    <w:lvl w:ilvl="1" w:tplc="6AB8ACF8" w:tentative="1">
      <w:start w:val="1"/>
      <w:numFmt w:val="lowerLetter"/>
      <w:lvlText w:val="%2."/>
      <w:lvlJc w:val="left"/>
      <w:pPr>
        <w:ind w:left="1080" w:hanging="360"/>
      </w:pPr>
    </w:lvl>
    <w:lvl w:ilvl="2" w:tplc="41ACF12C" w:tentative="1">
      <w:start w:val="1"/>
      <w:numFmt w:val="lowerRoman"/>
      <w:lvlText w:val="%3."/>
      <w:lvlJc w:val="right"/>
      <w:pPr>
        <w:ind w:left="1800" w:hanging="180"/>
      </w:pPr>
    </w:lvl>
    <w:lvl w:ilvl="3" w:tplc="DCAE9086" w:tentative="1">
      <w:start w:val="1"/>
      <w:numFmt w:val="decimal"/>
      <w:lvlText w:val="%4."/>
      <w:lvlJc w:val="left"/>
      <w:pPr>
        <w:ind w:left="2520" w:hanging="360"/>
      </w:pPr>
    </w:lvl>
    <w:lvl w:ilvl="4" w:tplc="0DEEAED8" w:tentative="1">
      <w:start w:val="1"/>
      <w:numFmt w:val="lowerLetter"/>
      <w:lvlText w:val="%5."/>
      <w:lvlJc w:val="left"/>
      <w:pPr>
        <w:ind w:left="3240" w:hanging="360"/>
      </w:pPr>
    </w:lvl>
    <w:lvl w:ilvl="5" w:tplc="38F8FCB4" w:tentative="1">
      <w:start w:val="1"/>
      <w:numFmt w:val="lowerRoman"/>
      <w:lvlText w:val="%6."/>
      <w:lvlJc w:val="right"/>
      <w:pPr>
        <w:ind w:left="3960" w:hanging="180"/>
      </w:pPr>
    </w:lvl>
    <w:lvl w:ilvl="6" w:tplc="3102905E" w:tentative="1">
      <w:start w:val="1"/>
      <w:numFmt w:val="decimal"/>
      <w:lvlText w:val="%7."/>
      <w:lvlJc w:val="left"/>
      <w:pPr>
        <w:ind w:left="4680" w:hanging="360"/>
      </w:pPr>
    </w:lvl>
    <w:lvl w:ilvl="7" w:tplc="E82C72BA" w:tentative="1">
      <w:start w:val="1"/>
      <w:numFmt w:val="lowerLetter"/>
      <w:lvlText w:val="%8."/>
      <w:lvlJc w:val="left"/>
      <w:pPr>
        <w:ind w:left="5400" w:hanging="360"/>
      </w:pPr>
    </w:lvl>
    <w:lvl w:ilvl="8" w:tplc="B3F08784" w:tentative="1">
      <w:start w:val="1"/>
      <w:numFmt w:val="lowerRoman"/>
      <w:lvlText w:val="%9."/>
      <w:lvlJc w:val="right"/>
      <w:pPr>
        <w:ind w:left="6120" w:hanging="180"/>
      </w:pPr>
    </w:lvl>
  </w:abstractNum>
  <w:abstractNum w:abstractNumId="76" w15:restartNumberingAfterBreak="0">
    <w:nsid w:val="48EB2259"/>
    <w:multiLevelType w:val="hybridMultilevel"/>
    <w:tmpl w:val="BECE9C80"/>
    <w:lvl w:ilvl="0" w:tplc="8C8091AC">
      <w:start w:val="1"/>
      <w:numFmt w:val="lowerLetter"/>
      <w:lvlText w:val="(%1)"/>
      <w:lvlJc w:val="left"/>
      <w:pPr>
        <w:ind w:left="360" w:hanging="360"/>
      </w:pPr>
      <w:rPr>
        <w:rFonts w:ascii="Arial" w:hAnsi="Arial" w:cs="Arial" w:hint="default"/>
      </w:rPr>
    </w:lvl>
    <w:lvl w:ilvl="1" w:tplc="F912C116" w:tentative="1">
      <w:start w:val="1"/>
      <w:numFmt w:val="lowerLetter"/>
      <w:lvlText w:val="%2."/>
      <w:lvlJc w:val="left"/>
      <w:pPr>
        <w:ind w:left="1080" w:hanging="360"/>
      </w:pPr>
    </w:lvl>
    <w:lvl w:ilvl="2" w:tplc="069C0ECA" w:tentative="1">
      <w:start w:val="1"/>
      <w:numFmt w:val="lowerRoman"/>
      <w:lvlText w:val="%3."/>
      <w:lvlJc w:val="right"/>
      <w:pPr>
        <w:ind w:left="1800" w:hanging="180"/>
      </w:pPr>
    </w:lvl>
    <w:lvl w:ilvl="3" w:tplc="B8983764" w:tentative="1">
      <w:start w:val="1"/>
      <w:numFmt w:val="decimal"/>
      <w:lvlText w:val="%4."/>
      <w:lvlJc w:val="left"/>
      <w:pPr>
        <w:ind w:left="2520" w:hanging="360"/>
      </w:pPr>
    </w:lvl>
    <w:lvl w:ilvl="4" w:tplc="738A0BAA" w:tentative="1">
      <w:start w:val="1"/>
      <w:numFmt w:val="lowerLetter"/>
      <w:lvlText w:val="%5."/>
      <w:lvlJc w:val="left"/>
      <w:pPr>
        <w:ind w:left="3240" w:hanging="360"/>
      </w:pPr>
    </w:lvl>
    <w:lvl w:ilvl="5" w:tplc="D430BD14" w:tentative="1">
      <w:start w:val="1"/>
      <w:numFmt w:val="lowerRoman"/>
      <w:lvlText w:val="%6."/>
      <w:lvlJc w:val="right"/>
      <w:pPr>
        <w:ind w:left="3960" w:hanging="180"/>
      </w:pPr>
    </w:lvl>
    <w:lvl w:ilvl="6" w:tplc="1F6AA372" w:tentative="1">
      <w:start w:val="1"/>
      <w:numFmt w:val="decimal"/>
      <w:lvlText w:val="%7."/>
      <w:lvlJc w:val="left"/>
      <w:pPr>
        <w:ind w:left="4680" w:hanging="360"/>
      </w:pPr>
    </w:lvl>
    <w:lvl w:ilvl="7" w:tplc="CE10C916" w:tentative="1">
      <w:start w:val="1"/>
      <w:numFmt w:val="lowerLetter"/>
      <w:lvlText w:val="%8."/>
      <w:lvlJc w:val="left"/>
      <w:pPr>
        <w:ind w:left="5400" w:hanging="360"/>
      </w:pPr>
    </w:lvl>
    <w:lvl w:ilvl="8" w:tplc="05D64754" w:tentative="1">
      <w:start w:val="1"/>
      <w:numFmt w:val="lowerRoman"/>
      <w:lvlText w:val="%9."/>
      <w:lvlJc w:val="right"/>
      <w:pPr>
        <w:ind w:left="6120" w:hanging="180"/>
      </w:pPr>
    </w:lvl>
  </w:abstractNum>
  <w:abstractNum w:abstractNumId="77" w15:restartNumberingAfterBreak="0">
    <w:nsid w:val="4A7F389B"/>
    <w:multiLevelType w:val="hybridMultilevel"/>
    <w:tmpl w:val="36C234DC"/>
    <w:lvl w:ilvl="0" w:tplc="E1286BC8">
      <w:start w:val="1"/>
      <w:numFmt w:val="lowerLetter"/>
      <w:lvlText w:val="(%1)"/>
      <w:lvlJc w:val="left"/>
      <w:pPr>
        <w:ind w:left="360" w:hanging="360"/>
      </w:pPr>
      <w:rPr>
        <w:rFonts w:hint="default"/>
      </w:rPr>
    </w:lvl>
    <w:lvl w:ilvl="1" w:tplc="3684DFEC" w:tentative="1">
      <w:start w:val="1"/>
      <w:numFmt w:val="lowerLetter"/>
      <w:lvlText w:val="%2."/>
      <w:lvlJc w:val="left"/>
      <w:pPr>
        <w:ind w:left="1080" w:hanging="360"/>
      </w:pPr>
    </w:lvl>
    <w:lvl w:ilvl="2" w:tplc="0F2A3278" w:tentative="1">
      <w:start w:val="1"/>
      <w:numFmt w:val="lowerRoman"/>
      <w:lvlText w:val="%3."/>
      <w:lvlJc w:val="right"/>
      <w:pPr>
        <w:ind w:left="1800" w:hanging="180"/>
      </w:pPr>
    </w:lvl>
    <w:lvl w:ilvl="3" w:tplc="B6AEBFC8" w:tentative="1">
      <w:start w:val="1"/>
      <w:numFmt w:val="decimal"/>
      <w:lvlText w:val="%4."/>
      <w:lvlJc w:val="left"/>
      <w:pPr>
        <w:ind w:left="2520" w:hanging="360"/>
      </w:pPr>
    </w:lvl>
    <w:lvl w:ilvl="4" w:tplc="09241A32" w:tentative="1">
      <w:start w:val="1"/>
      <w:numFmt w:val="lowerLetter"/>
      <w:lvlText w:val="%5."/>
      <w:lvlJc w:val="left"/>
      <w:pPr>
        <w:ind w:left="3240" w:hanging="360"/>
      </w:pPr>
    </w:lvl>
    <w:lvl w:ilvl="5" w:tplc="72D869E2" w:tentative="1">
      <w:start w:val="1"/>
      <w:numFmt w:val="lowerRoman"/>
      <w:lvlText w:val="%6."/>
      <w:lvlJc w:val="right"/>
      <w:pPr>
        <w:ind w:left="3960" w:hanging="180"/>
      </w:pPr>
    </w:lvl>
    <w:lvl w:ilvl="6" w:tplc="A21E009E" w:tentative="1">
      <w:start w:val="1"/>
      <w:numFmt w:val="decimal"/>
      <w:lvlText w:val="%7."/>
      <w:lvlJc w:val="left"/>
      <w:pPr>
        <w:ind w:left="4680" w:hanging="360"/>
      </w:pPr>
    </w:lvl>
    <w:lvl w:ilvl="7" w:tplc="202C88CA" w:tentative="1">
      <w:start w:val="1"/>
      <w:numFmt w:val="lowerLetter"/>
      <w:lvlText w:val="%8."/>
      <w:lvlJc w:val="left"/>
      <w:pPr>
        <w:ind w:left="5400" w:hanging="360"/>
      </w:pPr>
    </w:lvl>
    <w:lvl w:ilvl="8" w:tplc="216EEE3A" w:tentative="1">
      <w:start w:val="1"/>
      <w:numFmt w:val="lowerRoman"/>
      <w:lvlText w:val="%9."/>
      <w:lvlJc w:val="right"/>
      <w:pPr>
        <w:ind w:left="6120" w:hanging="180"/>
      </w:pPr>
    </w:lvl>
  </w:abstractNum>
  <w:abstractNum w:abstractNumId="78" w15:restartNumberingAfterBreak="0">
    <w:nsid w:val="4AF9691D"/>
    <w:multiLevelType w:val="hybridMultilevel"/>
    <w:tmpl w:val="2FA67D8A"/>
    <w:lvl w:ilvl="0" w:tplc="6C38189E">
      <w:start w:val="1"/>
      <w:numFmt w:val="decimal"/>
      <w:lvlText w:val="%1."/>
      <w:lvlJc w:val="left"/>
      <w:pPr>
        <w:ind w:left="720" w:hanging="360"/>
      </w:pPr>
      <w:rPr>
        <w:i w:val="0"/>
        <w:color w:val="auto"/>
      </w:rPr>
    </w:lvl>
    <w:lvl w:ilvl="1" w:tplc="E398CF46">
      <w:start w:val="1"/>
      <w:numFmt w:val="lowerLetter"/>
      <w:lvlText w:val="%2."/>
      <w:lvlJc w:val="left"/>
      <w:pPr>
        <w:ind w:left="1440" w:hanging="360"/>
      </w:pPr>
    </w:lvl>
    <w:lvl w:ilvl="2" w:tplc="5FE42E6A">
      <w:start w:val="1"/>
      <w:numFmt w:val="lowerRoman"/>
      <w:lvlText w:val="%3."/>
      <w:lvlJc w:val="right"/>
      <w:pPr>
        <w:ind w:left="2160" w:hanging="180"/>
      </w:pPr>
    </w:lvl>
    <w:lvl w:ilvl="3" w:tplc="E79E1DF8">
      <w:start w:val="1"/>
      <w:numFmt w:val="decimal"/>
      <w:lvlText w:val="%4."/>
      <w:lvlJc w:val="left"/>
      <w:pPr>
        <w:ind w:left="2880" w:hanging="360"/>
      </w:pPr>
    </w:lvl>
    <w:lvl w:ilvl="4" w:tplc="1C24153C">
      <w:start w:val="1"/>
      <w:numFmt w:val="lowerLetter"/>
      <w:lvlText w:val="%5."/>
      <w:lvlJc w:val="left"/>
      <w:pPr>
        <w:ind w:left="3600" w:hanging="360"/>
      </w:pPr>
    </w:lvl>
    <w:lvl w:ilvl="5" w:tplc="DFC05148">
      <w:start w:val="1"/>
      <w:numFmt w:val="lowerRoman"/>
      <w:lvlText w:val="%6."/>
      <w:lvlJc w:val="right"/>
      <w:pPr>
        <w:ind w:left="4320" w:hanging="180"/>
      </w:pPr>
    </w:lvl>
    <w:lvl w:ilvl="6" w:tplc="9B5CBF9C">
      <w:start w:val="1"/>
      <w:numFmt w:val="decimal"/>
      <w:lvlText w:val="%7."/>
      <w:lvlJc w:val="left"/>
      <w:pPr>
        <w:ind w:left="5040" w:hanging="360"/>
      </w:pPr>
    </w:lvl>
    <w:lvl w:ilvl="7" w:tplc="443AD710">
      <w:start w:val="1"/>
      <w:numFmt w:val="lowerLetter"/>
      <w:lvlText w:val="%8."/>
      <w:lvlJc w:val="left"/>
      <w:pPr>
        <w:ind w:left="5760" w:hanging="360"/>
      </w:pPr>
    </w:lvl>
    <w:lvl w:ilvl="8" w:tplc="19202D9E">
      <w:start w:val="1"/>
      <w:numFmt w:val="lowerRoman"/>
      <w:lvlText w:val="%9."/>
      <w:lvlJc w:val="right"/>
      <w:pPr>
        <w:ind w:left="6480" w:hanging="180"/>
      </w:pPr>
    </w:lvl>
  </w:abstractNum>
  <w:abstractNum w:abstractNumId="79" w15:restartNumberingAfterBreak="0">
    <w:nsid w:val="4C957CD5"/>
    <w:multiLevelType w:val="hybridMultilevel"/>
    <w:tmpl w:val="D1B6B1B8"/>
    <w:lvl w:ilvl="0" w:tplc="7848D9EC">
      <w:start w:val="1"/>
      <w:numFmt w:val="lowerLetter"/>
      <w:lvlText w:val="(%1)"/>
      <w:lvlJc w:val="left"/>
      <w:pPr>
        <w:ind w:left="360" w:hanging="360"/>
      </w:pPr>
      <w:rPr>
        <w:rFonts w:hint="default"/>
      </w:rPr>
    </w:lvl>
    <w:lvl w:ilvl="1" w:tplc="C616BEAE" w:tentative="1">
      <w:start w:val="1"/>
      <w:numFmt w:val="lowerLetter"/>
      <w:lvlText w:val="%2."/>
      <w:lvlJc w:val="left"/>
      <w:pPr>
        <w:ind w:left="1080" w:hanging="360"/>
      </w:pPr>
    </w:lvl>
    <w:lvl w:ilvl="2" w:tplc="C1A69398" w:tentative="1">
      <w:start w:val="1"/>
      <w:numFmt w:val="lowerRoman"/>
      <w:lvlText w:val="%3."/>
      <w:lvlJc w:val="right"/>
      <w:pPr>
        <w:ind w:left="1800" w:hanging="180"/>
      </w:pPr>
    </w:lvl>
    <w:lvl w:ilvl="3" w:tplc="BB34392E" w:tentative="1">
      <w:start w:val="1"/>
      <w:numFmt w:val="decimal"/>
      <w:lvlText w:val="%4."/>
      <w:lvlJc w:val="left"/>
      <w:pPr>
        <w:ind w:left="2520" w:hanging="360"/>
      </w:pPr>
    </w:lvl>
    <w:lvl w:ilvl="4" w:tplc="F9D026BE" w:tentative="1">
      <w:start w:val="1"/>
      <w:numFmt w:val="lowerLetter"/>
      <w:lvlText w:val="%5."/>
      <w:lvlJc w:val="left"/>
      <w:pPr>
        <w:ind w:left="3240" w:hanging="360"/>
      </w:pPr>
    </w:lvl>
    <w:lvl w:ilvl="5" w:tplc="C8BA40E2" w:tentative="1">
      <w:start w:val="1"/>
      <w:numFmt w:val="lowerRoman"/>
      <w:lvlText w:val="%6."/>
      <w:lvlJc w:val="right"/>
      <w:pPr>
        <w:ind w:left="3960" w:hanging="180"/>
      </w:pPr>
    </w:lvl>
    <w:lvl w:ilvl="6" w:tplc="9D6CCE2E" w:tentative="1">
      <w:start w:val="1"/>
      <w:numFmt w:val="decimal"/>
      <w:lvlText w:val="%7."/>
      <w:lvlJc w:val="left"/>
      <w:pPr>
        <w:ind w:left="4680" w:hanging="360"/>
      </w:pPr>
    </w:lvl>
    <w:lvl w:ilvl="7" w:tplc="380ED71A" w:tentative="1">
      <w:start w:val="1"/>
      <w:numFmt w:val="lowerLetter"/>
      <w:lvlText w:val="%8."/>
      <w:lvlJc w:val="left"/>
      <w:pPr>
        <w:ind w:left="5400" w:hanging="360"/>
      </w:pPr>
    </w:lvl>
    <w:lvl w:ilvl="8" w:tplc="A48650AA" w:tentative="1">
      <w:start w:val="1"/>
      <w:numFmt w:val="lowerRoman"/>
      <w:lvlText w:val="%9."/>
      <w:lvlJc w:val="right"/>
      <w:pPr>
        <w:ind w:left="6120" w:hanging="180"/>
      </w:pPr>
    </w:lvl>
  </w:abstractNum>
  <w:abstractNum w:abstractNumId="80" w15:restartNumberingAfterBreak="0">
    <w:nsid w:val="4D1A1344"/>
    <w:multiLevelType w:val="hybridMultilevel"/>
    <w:tmpl w:val="463836AE"/>
    <w:lvl w:ilvl="0" w:tplc="6D84FABA">
      <w:start w:val="1"/>
      <w:numFmt w:val="lowerLetter"/>
      <w:lvlText w:val="(%1)"/>
      <w:lvlJc w:val="left"/>
      <w:pPr>
        <w:ind w:left="360" w:hanging="360"/>
      </w:pPr>
      <w:rPr>
        <w:rFonts w:ascii="Arial" w:hAnsi="Arial" w:cs="Arial" w:hint="default"/>
        <w:i w:val="0"/>
        <w:sz w:val="16"/>
        <w:szCs w:val="16"/>
      </w:rPr>
    </w:lvl>
    <w:lvl w:ilvl="1" w:tplc="53A09F0A">
      <w:start w:val="1"/>
      <w:numFmt w:val="lowerLetter"/>
      <w:lvlText w:val="%2."/>
      <w:lvlJc w:val="left"/>
      <w:pPr>
        <w:ind w:left="1080" w:hanging="360"/>
      </w:pPr>
    </w:lvl>
    <w:lvl w:ilvl="2" w:tplc="B79C794C">
      <w:start w:val="1"/>
      <w:numFmt w:val="lowerRoman"/>
      <w:lvlText w:val="%3."/>
      <w:lvlJc w:val="right"/>
      <w:pPr>
        <w:ind w:left="1800" w:hanging="180"/>
      </w:pPr>
    </w:lvl>
    <w:lvl w:ilvl="3" w:tplc="BCA248BE">
      <w:start w:val="1"/>
      <w:numFmt w:val="decimal"/>
      <w:lvlText w:val="%4."/>
      <w:lvlJc w:val="left"/>
      <w:pPr>
        <w:ind w:left="2520" w:hanging="360"/>
      </w:pPr>
    </w:lvl>
    <w:lvl w:ilvl="4" w:tplc="34283872">
      <w:start w:val="1"/>
      <w:numFmt w:val="lowerLetter"/>
      <w:lvlText w:val="%5."/>
      <w:lvlJc w:val="left"/>
      <w:pPr>
        <w:ind w:left="3240" w:hanging="360"/>
      </w:pPr>
    </w:lvl>
    <w:lvl w:ilvl="5" w:tplc="BFE434D2">
      <w:start w:val="1"/>
      <w:numFmt w:val="lowerRoman"/>
      <w:lvlText w:val="%6."/>
      <w:lvlJc w:val="right"/>
      <w:pPr>
        <w:ind w:left="3960" w:hanging="180"/>
      </w:pPr>
    </w:lvl>
    <w:lvl w:ilvl="6" w:tplc="C2F844A6">
      <w:start w:val="1"/>
      <w:numFmt w:val="decimal"/>
      <w:lvlText w:val="%7."/>
      <w:lvlJc w:val="left"/>
      <w:pPr>
        <w:ind w:left="4680" w:hanging="360"/>
      </w:pPr>
    </w:lvl>
    <w:lvl w:ilvl="7" w:tplc="1F1E21D0">
      <w:start w:val="1"/>
      <w:numFmt w:val="lowerLetter"/>
      <w:lvlText w:val="%8."/>
      <w:lvlJc w:val="left"/>
      <w:pPr>
        <w:ind w:left="5400" w:hanging="360"/>
      </w:pPr>
    </w:lvl>
    <w:lvl w:ilvl="8" w:tplc="8B2806DE">
      <w:start w:val="1"/>
      <w:numFmt w:val="lowerRoman"/>
      <w:lvlText w:val="%9."/>
      <w:lvlJc w:val="right"/>
      <w:pPr>
        <w:ind w:left="6120" w:hanging="180"/>
      </w:pPr>
    </w:lvl>
  </w:abstractNum>
  <w:abstractNum w:abstractNumId="81" w15:restartNumberingAfterBreak="0">
    <w:nsid w:val="4E3A4BFD"/>
    <w:multiLevelType w:val="hybridMultilevel"/>
    <w:tmpl w:val="E9F04A5A"/>
    <w:lvl w:ilvl="0" w:tplc="F4261F86">
      <w:start w:val="1"/>
      <w:numFmt w:val="bullet"/>
      <w:lvlText w:val=""/>
      <w:lvlJc w:val="left"/>
      <w:pPr>
        <w:ind w:left="720" w:hanging="360"/>
      </w:pPr>
      <w:rPr>
        <w:rFonts w:ascii="Symbol" w:hAnsi="Symbol" w:hint="default"/>
      </w:rPr>
    </w:lvl>
    <w:lvl w:ilvl="1" w:tplc="D8D4B5C0" w:tentative="1">
      <w:start w:val="1"/>
      <w:numFmt w:val="bullet"/>
      <w:lvlText w:val="o"/>
      <w:lvlJc w:val="left"/>
      <w:pPr>
        <w:ind w:left="1440" w:hanging="360"/>
      </w:pPr>
      <w:rPr>
        <w:rFonts w:ascii="Courier New" w:hAnsi="Courier New" w:cs="Courier New" w:hint="default"/>
      </w:rPr>
    </w:lvl>
    <w:lvl w:ilvl="2" w:tplc="3F7CEA6A" w:tentative="1">
      <w:start w:val="1"/>
      <w:numFmt w:val="bullet"/>
      <w:lvlText w:val=""/>
      <w:lvlJc w:val="left"/>
      <w:pPr>
        <w:ind w:left="2160" w:hanging="360"/>
      </w:pPr>
      <w:rPr>
        <w:rFonts w:ascii="Wingdings" w:hAnsi="Wingdings" w:hint="default"/>
      </w:rPr>
    </w:lvl>
    <w:lvl w:ilvl="3" w:tplc="AB8CCE80" w:tentative="1">
      <w:start w:val="1"/>
      <w:numFmt w:val="bullet"/>
      <w:lvlText w:val=""/>
      <w:lvlJc w:val="left"/>
      <w:pPr>
        <w:ind w:left="2880" w:hanging="360"/>
      </w:pPr>
      <w:rPr>
        <w:rFonts w:ascii="Symbol" w:hAnsi="Symbol" w:hint="default"/>
      </w:rPr>
    </w:lvl>
    <w:lvl w:ilvl="4" w:tplc="7BEA6526" w:tentative="1">
      <w:start w:val="1"/>
      <w:numFmt w:val="bullet"/>
      <w:lvlText w:val="o"/>
      <w:lvlJc w:val="left"/>
      <w:pPr>
        <w:ind w:left="3600" w:hanging="360"/>
      </w:pPr>
      <w:rPr>
        <w:rFonts w:ascii="Courier New" w:hAnsi="Courier New" w:cs="Courier New" w:hint="default"/>
      </w:rPr>
    </w:lvl>
    <w:lvl w:ilvl="5" w:tplc="CC3C93EC" w:tentative="1">
      <w:start w:val="1"/>
      <w:numFmt w:val="bullet"/>
      <w:lvlText w:val=""/>
      <w:lvlJc w:val="left"/>
      <w:pPr>
        <w:ind w:left="4320" w:hanging="360"/>
      </w:pPr>
      <w:rPr>
        <w:rFonts w:ascii="Wingdings" w:hAnsi="Wingdings" w:hint="default"/>
      </w:rPr>
    </w:lvl>
    <w:lvl w:ilvl="6" w:tplc="414A1328" w:tentative="1">
      <w:start w:val="1"/>
      <w:numFmt w:val="bullet"/>
      <w:lvlText w:val=""/>
      <w:lvlJc w:val="left"/>
      <w:pPr>
        <w:ind w:left="5040" w:hanging="360"/>
      </w:pPr>
      <w:rPr>
        <w:rFonts w:ascii="Symbol" w:hAnsi="Symbol" w:hint="default"/>
      </w:rPr>
    </w:lvl>
    <w:lvl w:ilvl="7" w:tplc="6B1813DA" w:tentative="1">
      <w:start w:val="1"/>
      <w:numFmt w:val="bullet"/>
      <w:lvlText w:val="o"/>
      <w:lvlJc w:val="left"/>
      <w:pPr>
        <w:ind w:left="5760" w:hanging="360"/>
      </w:pPr>
      <w:rPr>
        <w:rFonts w:ascii="Courier New" w:hAnsi="Courier New" w:cs="Courier New" w:hint="default"/>
      </w:rPr>
    </w:lvl>
    <w:lvl w:ilvl="8" w:tplc="E2B2848E" w:tentative="1">
      <w:start w:val="1"/>
      <w:numFmt w:val="bullet"/>
      <w:lvlText w:val=""/>
      <w:lvlJc w:val="left"/>
      <w:pPr>
        <w:ind w:left="6480" w:hanging="360"/>
      </w:pPr>
      <w:rPr>
        <w:rFonts w:ascii="Wingdings" w:hAnsi="Wingdings" w:hint="default"/>
      </w:rPr>
    </w:lvl>
  </w:abstractNum>
  <w:abstractNum w:abstractNumId="82" w15:restartNumberingAfterBreak="0">
    <w:nsid w:val="4FC50FCF"/>
    <w:multiLevelType w:val="hybridMultilevel"/>
    <w:tmpl w:val="736EB42A"/>
    <w:lvl w:ilvl="0" w:tplc="A7586CC2">
      <w:start w:val="1"/>
      <w:numFmt w:val="lowerLetter"/>
      <w:lvlText w:val="(%1)"/>
      <w:lvlJc w:val="left"/>
      <w:pPr>
        <w:ind w:left="360" w:hanging="360"/>
      </w:pPr>
      <w:rPr>
        <w:rFonts w:hint="default"/>
      </w:rPr>
    </w:lvl>
    <w:lvl w:ilvl="1" w:tplc="B9E29680" w:tentative="1">
      <w:start w:val="1"/>
      <w:numFmt w:val="lowerLetter"/>
      <w:lvlText w:val="%2."/>
      <w:lvlJc w:val="left"/>
      <w:pPr>
        <w:ind w:left="1080" w:hanging="360"/>
      </w:pPr>
    </w:lvl>
    <w:lvl w:ilvl="2" w:tplc="4E9C2AF2" w:tentative="1">
      <w:start w:val="1"/>
      <w:numFmt w:val="lowerRoman"/>
      <w:lvlText w:val="%3."/>
      <w:lvlJc w:val="right"/>
      <w:pPr>
        <w:ind w:left="1800" w:hanging="180"/>
      </w:pPr>
    </w:lvl>
    <w:lvl w:ilvl="3" w:tplc="0ECAC3BC" w:tentative="1">
      <w:start w:val="1"/>
      <w:numFmt w:val="decimal"/>
      <w:lvlText w:val="%4."/>
      <w:lvlJc w:val="left"/>
      <w:pPr>
        <w:ind w:left="2520" w:hanging="360"/>
      </w:pPr>
    </w:lvl>
    <w:lvl w:ilvl="4" w:tplc="8ADE00BA" w:tentative="1">
      <w:start w:val="1"/>
      <w:numFmt w:val="lowerLetter"/>
      <w:lvlText w:val="%5."/>
      <w:lvlJc w:val="left"/>
      <w:pPr>
        <w:ind w:left="3240" w:hanging="360"/>
      </w:pPr>
    </w:lvl>
    <w:lvl w:ilvl="5" w:tplc="5D5E79F8" w:tentative="1">
      <w:start w:val="1"/>
      <w:numFmt w:val="lowerRoman"/>
      <w:lvlText w:val="%6."/>
      <w:lvlJc w:val="right"/>
      <w:pPr>
        <w:ind w:left="3960" w:hanging="180"/>
      </w:pPr>
    </w:lvl>
    <w:lvl w:ilvl="6" w:tplc="9952733E" w:tentative="1">
      <w:start w:val="1"/>
      <w:numFmt w:val="decimal"/>
      <w:lvlText w:val="%7."/>
      <w:lvlJc w:val="left"/>
      <w:pPr>
        <w:ind w:left="4680" w:hanging="360"/>
      </w:pPr>
    </w:lvl>
    <w:lvl w:ilvl="7" w:tplc="72ACC0A6" w:tentative="1">
      <w:start w:val="1"/>
      <w:numFmt w:val="lowerLetter"/>
      <w:lvlText w:val="%8."/>
      <w:lvlJc w:val="left"/>
      <w:pPr>
        <w:ind w:left="5400" w:hanging="360"/>
      </w:pPr>
    </w:lvl>
    <w:lvl w:ilvl="8" w:tplc="17D008CE" w:tentative="1">
      <w:start w:val="1"/>
      <w:numFmt w:val="lowerRoman"/>
      <w:lvlText w:val="%9."/>
      <w:lvlJc w:val="right"/>
      <w:pPr>
        <w:ind w:left="6120" w:hanging="180"/>
      </w:pPr>
    </w:lvl>
  </w:abstractNum>
  <w:abstractNum w:abstractNumId="83" w15:restartNumberingAfterBreak="0">
    <w:nsid w:val="509391B6"/>
    <w:multiLevelType w:val="singleLevel"/>
    <w:tmpl w:val="D1ECF872"/>
    <w:lvl w:ilvl="0">
      <w:start w:val="1"/>
      <w:numFmt w:val="lowerLetter"/>
      <w:pStyle w:val="ChartandTableFootnotenumbered"/>
      <w:lvlText w:val="(%1)"/>
      <w:lvlJc w:val="left"/>
      <w:pPr>
        <w:ind w:left="360" w:hanging="360"/>
      </w:pPr>
      <w:rPr>
        <w:rFonts w:ascii="Arial" w:eastAsia="Times New Roman" w:hAnsi="Arial" w:cs="Arial"/>
        <w:b w:val="0"/>
        <w:i w:val="0"/>
        <w:color w:val="000000"/>
        <w:sz w:val="16"/>
      </w:rPr>
    </w:lvl>
  </w:abstractNum>
  <w:abstractNum w:abstractNumId="84" w15:restartNumberingAfterBreak="0">
    <w:nsid w:val="50A346F1"/>
    <w:multiLevelType w:val="hybridMultilevel"/>
    <w:tmpl w:val="9C84F97E"/>
    <w:lvl w:ilvl="0" w:tplc="31B41746">
      <w:start w:val="1"/>
      <w:numFmt w:val="bullet"/>
      <w:lvlText w:val=""/>
      <w:lvlJc w:val="left"/>
      <w:pPr>
        <w:ind w:left="720" w:hanging="360"/>
      </w:pPr>
      <w:rPr>
        <w:rFonts w:ascii="Symbol" w:hAnsi="Symbol" w:hint="default"/>
      </w:rPr>
    </w:lvl>
    <w:lvl w:ilvl="1" w:tplc="388E2894" w:tentative="1">
      <w:start w:val="1"/>
      <w:numFmt w:val="bullet"/>
      <w:lvlText w:val="o"/>
      <w:lvlJc w:val="left"/>
      <w:pPr>
        <w:ind w:left="1440" w:hanging="360"/>
      </w:pPr>
      <w:rPr>
        <w:rFonts w:ascii="Courier New" w:hAnsi="Courier New" w:cs="Courier New" w:hint="default"/>
      </w:rPr>
    </w:lvl>
    <w:lvl w:ilvl="2" w:tplc="2E8E8E00" w:tentative="1">
      <w:start w:val="1"/>
      <w:numFmt w:val="bullet"/>
      <w:lvlText w:val=""/>
      <w:lvlJc w:val="left"/>
      <w:pPr>
        <w:ind w:left="2160" w:hanging="360"/>
      </w:pPr>
      <w:rPr>
        <w:rFonts w:ascii="Wingdings" w:hAnsi="Wingdings" w:hint="default"/>
      </w:rPr>
    </w:lvl>
    <w:lvl w:ilvl="3" w:tplc="3E0848B0" w:tentative="1">
      <w:start w:val="1"/>
      <w:numFmt w:val="bullet"/>
      <w:lvlText w:val=""/>
      <w:lvlJc w:val="left"/>
      <w:pPr>
        <w:ind w:left="2880" w:hanging="360"/>
      </w:pPr>
      <w:rPr>
        <w:rFonts w:ascii="Symbol" w:hAnsi="Symbol" w:hint="default"/>
      </w:rPr>
    </w:lvl>
    <w:lvl w:ilvl="4" w:tplc="16B443FA" w:tentative="1">
      <w:start w:val="1"/>
      <w:numFmt w:val="bullet"/>
      <w:lvlText w:val="o"/>
      <w:lvlJc w:val="left"/>
      <w:pPr>
        <w:ind w:left="3600" w:hanging="360"/>
      </w:pPr>
      <w:rPr>
        <w:rFonts w:ascii="Courier New" w:hAnsi="Courier New" w:cs="Courier New" w:hint="default"/>
      </w:rPr>
    </w:lvl>
    <w:lvl w:ilvl="5" w:tplc="19E01C1C" w:tentative="1">
      <w:start w:val="1"/>
      <w:numFmt w:val="bullet"/>
      <w:lvlText w:val=""/>
      <w:lvlJc w:val="left"/>
      <w:pPr>
        <w:ind w:left="4320" w:hanging="360"/>
      </w:pPr>
      <w:rPr>
        <w:rFonts w:ascii="Wingdings" w:hAnsi="Wingdings" w:hint="default"/>
      </w:rPr>
    </w:lvl>
    <w:lvl w:ilvl="6" w:tplc="B1C45C78" w:tentative="1">
      <w:start w:val="1"/>
      <w:numFmt w:val="bullet"/>
      <w:lvlText w:val=""/>
      <w:lvlJc w:val="left"/>
      <w:pPr>
        <w:ind w:left="5040" w:hanging="360"/>
      </w:pPr>
      <w:rPr>
        <w:rFonts w:ascii="Symbol" w:hAnsi="Symbol" w:hint="default"/>
      </w:rPr>
    </w:lvl>
    <w:lvl w:ilvl="7" w:tplc="FC3AF74E" w:tentative="1">
      <w:start w:val="1"/>
      <w:numFmt w:val="bullet"/>
      <w:lvlText w:val="o"/>
      <w:lvlJc w:val="left"/>
      <w:pPr>
        <w:ind w:left="5760" w:hanging="360"/>
      </w:pPr>
      <w:rPr>
        <w:rFonts w:ascii="Courier New" w:hAnsi="Courier New" w:cs="Courier New" w:hint="default"/>
      </w:rPr>
    </w:lvl>
    <w:lvl w:ilvl="8" w:tplc="2F22B15A" w:tentative="1">
      <w:start w:val="1"/>
      <w:numFmt w:val="bullet"/>
      <w:lvlText w:val=""/>
      <w:lvlJc w:val="left"/>
      <w:pPr>
        <w:ind w:left="6480" w:hanging="360"/>
      </w:pPr>
      <w:rPr>
        <w:rFonts w:ascii="Wingdings" w:hAnsi="Wingdings" w:hint="default"/>
      </w:rPr>
    </w:lvl>
  </w:abstractNum>
  <w:abstractNum w:abstractNumId="85" w15:restartNumberingAfterBreak="0">
    <w:nsid w:val="5184738C"/>
    <w:multiLevelType w:val="hybridMultilevel"/>
    <w:tmpl w:val="73A85B14"/>
    <w:lvl w:ilvl="0" w:tplc="6108D376">
      <w:numFmt w:val="bullet"/>
      <w:lvlText w:val="-"/>
      <w:lvlJc w:val="left"/>
      <w:pPr>
        <w:ind w:left="393" w:hanging="360"/>
      </w:pPr>
      <w:rPr>
        <w:rFonts w:ascii="Arial" w:eastAsia="Calibri" w:hAnsi="Arial" w:cs="Arial" w:hint="default"/>
      </w:rPr>
    </w:lvl>
    <w:lvl w:ilvl="1" w:tplc="E37EF2D8" w:tentative="1">
      <w:start w:val="1"/>
      <w:numFmt w:val="bullet"/>
      <w:lvlText w:val="o"/>
      <w:lvlJc w:val="left"/>
      <w:pPr>
        <w:ind w:left="1113" w:hanging="360"/>
      </w:pPr>
      <w:rPr>
        <w:rFonts w:ascii="Courier New" w:hAnsi="Courier New" w:cs="Courier New" w:hint="default"/>
      </w:rPr>
    </w:lvl>
    <w:lvl w:ilvl="2" w:tplc="D7D21796" w:tentative="1">
      <w:start w:val="1"/>
      <w:numFmt w:val="bullet"/>
      <w:lvlText w:val=""/>
      <w:lvlJc w:val="left"/>
      <w:pPr>
        <w:ind w:left="1833" w:hanging="360"/>
      </w:pPr>
      <w:rPr>
        <w:rFonts w:ascii="Wingdings" w:hAnsi="Wingdings" w:hint="default"/>
      </w:rPr>
    </w:lvl>
    <w:lvl w:ilvl="3" w:tplc="4B8A6B28" w:tentative="1">
      <w:start w:val="1"/>
      <w:numFmt w:val="bullet"/>
      <w:lvlText w:val=""/>
      <w:lvlJc w:val="left"/>
      <w:pPr>
        <w:ind w:left="2553" w:hanging="360"/>
      </w:pPr>
      <w:rPr>
        <w:rFonts w:ascii="Symbol" w:hAnsi="Symbol" w:hint="default"/>
      </w:rPr>
    </w:lvl>
    <w:lvl w:ilvl="4" w:tplc="37F05AC8" w:tentative="1">
      <w:start w:val="1"/>
      <w:numFmt w:val="bullet"/>
      <w:lvlText w:val="o"/>
      <w:lvlJc w:val="left"/>
      <w:pPr>
        <w:ind w:left="3273" w:hanging="360"/>
      </w:pPr>
      <w:rPr>
        <w:rFonts w:ascii="Courier New" w:hAnsi="Courier New" w:cs="Courier New" w:hint="default"/>
      </w:rPr>
    </w:lvl>
    <w:lvl w:ilvl="5" w:tplc="42B44A3C" w:tentative="1">
      <w:start w:val="1"/>
      <w:numFmt w:val="bullet"/>
      <w:lvlText w:val=""/>
      <w:lvlJc w:val="left"/>
      <w:pPr>
        <w:ind w:left="3993" w:hanging="360"/>
      </w:pPr>
      <w:rPr>
        <w:rFonts w:ascii="Wingdings" w:hAnsi="Wingdings" w:hint="default"/>
      </w:rPr>
    </w:lvl>
    <w:lvl w:ilvl="6" w:tplc="2EAE151A" w:tentative="1">
      <w:start w:val="1"/>
      <w:numFmt w:val="bullet"/>
      <w:lvlText w:val=""/>
      <w:lvlJc w:val="left"/>
      <w:pPr>
        <w:ind w:left="4713" w:hanging="360"/>
      </w:pPr>
      <w:rPr>
        <w:rFonts w:ascii="Symbol" w:hAnsi="Symbol" w:hint="default"/>
      </w:rPr>
    </w:lvl>
    <w:lvl w:ilvl="7" w:tplc="D0EA2230" w:tentative="1">
      <w:start w:val="1"/>
      <w:numFmt w:val="bullet"/>
      <w:lvlText w:val="o"/>
      <w:lvlJc w:val="left"/>
      <w:pPr>
        <w:ind w:left="5433" w:hanging="360"/>
      </w:pPr>
      <w:rPr>
        <w:rFonts w:ascii="Courier New" w:hAnsi="Courier New" w:cs="Courier New" w:hint="default"/>
      </w:rPr>
    </w:lvl>
    <w:lvl w:ilvl="8" w:tplc="0E924EE4" w:tentative="1">
      <w:start w:val="1"/>
      <w:numFmt w:val="bullet"/>
      <w:lvlText w:val=""/>
      <w:lvlJc w:val="left"/>
      <w:pPr>
        <w:ind w:left="6153" w:hanging="360"/>
      </w:pPr>
      <w:rPr>
        <w:rFonts w:ascii="Wingdings" w:hAnsi="Wingdings" w:hint="default"/>
      </w:rPr>
    </w:lvl>
  </w:abstractNum>
  <w:abstractNum w:abstractNumId="86" w15:restartNumberingAfterBreak="0">
    <w:nsid w:val="53022DCB"/>
    <w:multiLevelType w:val="hybridMultilevel"/>
    <w:tmpl w:val="A9582966"/>
    <w:lvl w:ilvl="0" w:tplc="FBF6D318">
      <w:start w:val="1"/>
      <w:numFmt w:val="lowerLetter"/>
      <w:lvlText w:val="(%1)"/>
      <w:lvlJc w:val="left"/>
      <w:pPr>
        <w:ind w:left="720" w:hanging="360"/>
      </w:pPr>
      <w:rPr>
        <w:rFonts w:hint="default"/>
      </w:rPr>
    </w:lvl>
    <w:lvl w:ilvl="1" w:tplc="CF30157E" w:tentative="1">
      <w:start w:val="1"/>
      <w:numFmt w:val="lowerLetter"/>
      <w:lvlText w:val="%2."/>
      <w:lvlJc w:val="left"/>
      <w:pPr>
        <w:ind w:left="1440" w:hanging="360"/>
      </w:pPr>
    </w:lvl>
    <w:lvl w:ilvl="2" w:tplc="ED883D96" w:tentative="1">
      <w:start w:val="1"/>
      <w:numFmt w:val="lowerRoman"/>
      <w:lvlText w:val="%3."/>
      <w:lvlJc w:val="right"/>
      <w:pPr>
        <w:ind w:left="2160" w:hanging="180"/>
      </w:pPr>
    </w:lvl>
    <w:lvl w:ilvl="3" w:tplc="FE78F51C" w:tentative="1">
      <w:start w:val="1"/>
      <w:numFmt w:val="decimal"/>
      <w:lvlText w:val="%4."/>
      <w:lvlJc w:val="left"/>
      <w:pPr>
        <w:ind w:left="2880" w:hanging="360"/>
      </w:pPr>
    </w:lvl>
    <w:lvl w:ilvl="4" w:tplc="BD2CBFD4" w:tentative="1">
      <w:start w:val="1"/>
      <w:numFmt w:val="lowerLetter"/>
      <w:lvlText w:val="%5."/>
      <w:lvlJc w:val="left"/>
      <w:pPr>
        <w:ind w:left="3600" w:hanging="360"/>
      </w:pPr>
    </w:lvl>
    <w:lvl w:ilvl="5" w:tplc="ABD47036" w:tentative="1">
      <w:start w:val="1"/>
      <w:numFmt w:val="lowerRoman"/>
      <w:lvlText w:val="%6."/>
      <w:lvlJc w:val="right"/>
      <w:pPr>
        <w:ind w:left="4320" w:hanging="180"/>
      </w:pPr>
    </w:lvl>
    <w:lvl w:ilvl="6" w:tplc="3D10E8EC" w:tentative="1">
      <w:start w:val="1"/>
      <w:numFmt w:val="decimal"/>
      <w:lvlText w:val="%7."/>
      <w:lvlJc w:val="left"/>
      <w:pPr>
        <w:ind w:left="5040" w:hanging="360"/>
      </w:pPr>
    </w:lvl>
    <w:lvl w:ilvl="7" w:tplc="66844F9E" w:tentative="1">
      <w:start w:val="1"/>
      <w:numFmt w:val="lowerLetter"/>
      <w:lvlText w:val="%8."/>
      <w:lvlJc w:val="left"/>
      <w:pPr>
        <w:ind w:left="5760" w:hanging="360"/>
      </w:pPr>
    </w:lvl>
    <w:lvl w:ilvl="8" w:tplc="E904DC0C" w:tentative="1">
      <w:start w:val="1"/>
      <w:numFmt w:val="lowerRoman"/>
      <w:lvlText w:val="%9."/>
      <w:lvlJc w:val="right"/>
      <w:pPr>
        <w:ind w:left="6480" w:hanging="180"/>
      </w:pPr>
    </w:lvl>
  </w:abstractNum>
  <w:abstractNum w:abstractNumId="87" w15:restartNumberingAfterBreak="0">
    <w:nsid w:val="53AF381E"/>
    <w:multiLevelType w:val="hybridMultilevel"/>
    <w:tmpl w:val="9EB4007C"/>
    <w:lvl w:ilvl="0" w:tplc="C8782BE0">
      <w:start w:val="1"/>
      <w:numFmt w:val="bullet"/>
      <w:lvlText w:val=""/>
      <w:lvlJc w:val="left"/>
      <w:pPr>
        <w:ind w:left="899" w:hanging="360"/>
      </w:pPr>
      <w:rPr>
        <w:rFonts w:ascii="Symbol" w:hAnsi="Symbol" w:hint="default"/>
      </w:rPr>
    </w:lvl>
    <w:lvl w:ilvl="1" w:tplc="779E69DE">
      <w:numFmt w:val="bullet"/>
      <w:lvlText w:val="·"/>
      <w:lvlJc w:val="left"/>
      <w:pPr>
        <w:ind w:left="1619" w:hanging="360"/>
      </w:pPr>
      <w:rPr>
        <w:rFonts w:ascii="Book Antiqua" w:eastAsia="Times New Roman" w:hAnsi="Book Antiqua" w:cs="Arial" w:hint="default"/>
        <w:color w:val="000000"/>
        <w:sz w:val="20"/>
      </w:rPr>
    </w:lvl>
    <w:lvl w:ilvl="2" w:tplc="FC78121A">
      <w:start w:val="1"/>
      <w:numFmt w:val="bullet"/>
      <w:lvlText w:val=""/>
      <w:lvlJc w:val="left"/>
      <w:pPr>
        <w:ind w:left="2339" w:hanging="360"/>
      </w:pPr>
      <w:rPr>
        <w:rFonts w:ascii="Wingdings" w:hAnsi="Wingdings" w:hint="default"/>
      </w:rPr>
    </w:lvl>
    <w:lvl w:ilvl="3" w:tplc="CA1C2184">
      <w:start w:val="1"/>
      <w:numFmt w:val="bullet"/>
      <w:lvlText w:val=""/>
      <w:lvlJc w:val="left"/>
      <w:pPr>
        <w:ind w:left="3059" w:hanging="360"/>
      </w:pPr>
      <w:rPr>
        <w:rFonts w:ascii="Symbol" w:hAnsi="Symbol" w:hint="default"/>
      </w:rPr>
    </w:lvl>
    <w:lvl w:ilvl="4" w:tplc="20D03744">
      <w:start w:val="1"/>
      <w:numFmt w:val="bullet"/>
      <w:lvlText w:val="o"/>
      <w:lvlJc w:val="left"/>
      <w:pPr>
        <w:ind w:left="3779" w:hanging="360"/>
      </w:pPr>
      <w:rPr>
        <w:rFonts w:ascii="Courier New" w:hAnsi="Courier New" w:cs="Courier New" w:hint="default"/>
      </w:rPr>
    </w:lvl>
    <w:lvl w:ilvl="5" w:tplc="A882FA06">
      <w:start w:val="1"/>
      <w:numFmt w:val="bullet"/>
      <w:lvlText w:val=""/>
      <w:lvlJc w:val="left"/>
      <w:pPr>
        <w:ind w:left="4499" w:hanging="360"/>
      </w:pPr>
      <w:rPr>
        <w:rFonts w:ascii="Wingdings" w:hAnsi="Wingdings" w:hint="default"/>
      </w:rPr>
    </w:lvl>
    <w:lvl w:ilvl="6" w:tplc="8006E862">
      <w:start w:val="1"/>
      <w:numFmt w:val="bullet"/>
      <w:lvlText w:val=""/>
      <w:lvlJc w:val="left"/>
      <w:pPr>
        <w:ind w:left="5219" w:hanging="360"/>
      </w:pPr>
      <w:rPr>
        <w:rFonts w:ascii="Symbol" w:hAnsi="Symbol" w:hint="default"/>
      </w:rPr>
    </w:lvl>
    <w:lvl w:ilvl="7" w:tplc="8A6A7C58">
      <w:start w:val="1"/>
      <w:numFmt w:val="bullet"/>
      <w:lvlText w:val="o"/>
      <w:lvlJc w:val="left"/>
      <w:pPr>
        <w:ind w:left="5939" w:hanging="360"/>
      </w:pPr>
      <w:rPr>
        <w:rFonts w:ascii="Courier New" w:hAnsi="Courier New" w:cs="Courier New" w:hint="default"/>
      </w:rPr>
    </w:lvl>
    <w:lvl w:ilvl="8" w:tplc="A1D6129C">
      <w:start w:val="1"/>
      <w:numFmt w:val="bullet"/>
      <w:lvlText w:val=""/>
      <w:lvlJc w:val="left"/>
      <w:pPr>
        <w:ind w:left="6659" w:hanging="360"/>
      </w:pPr>
      <w:rPr>
        <w:rFonts w:ascii="Wingdings" w:hAnsi="Wingdings" w:hint="default"/>
      </w:rPr>
    </w:lvl>
  </w:abstractNum>
  <w:abstractNum w:abstractNumId="88" w15:restartNumberingAfterBreak="0">
    <w:nsid w:val="53F1069D"/>
    <w:multiLevelType w:val="hybridMultilevel"/>
    <w:tmpl w:val="97E80DB0"/>
    <w:lvl w:ilvl="0" w:tplc="F76A4204">
      <w:start w:val="1"/>
      <w:numFmt w:val="bullet"/>
      <w:lvlText w:val="-"/>
      <w:lvlJc w:val="left"/>
      <w:pPr>
        <w:ind w:left="720" w:hanging="360"/>
      </w:pPr>
      <w:rPr>
        <w:rFonts w:ascii="Arial" w:eastAsia="Times New Roman" w:hAnsi="Arial" w:cs="Arial" w:hint="default"/>
      </w:rPr>
    </w:lvl>
    <w:lvl w:ilvl="1" w:tplc="254673DA" w:tentative="1">
      <w:start w:val="1"/>
      <w:numFmt w:val="bullet"/>
      <w:lvlText w:val="o"/>
      <w:lvlJc w:val="left"/>
      <w:pPr>
        <w:ind w:left="1440" w:hanging="360"/>
      </w:pPr>
      <w:rPr>
        <w:rFonts w:ascii="Courier New" w:hAnsi="Courier New" w:cs="Courier New" w:hint="default"/>
      </w:rPr>
    </w:lvl>
    <w:lvl w:ilvl="2" w:tplc="1332C5A8" w:tentative="1">
      <w:start w:val="1"/>
      <w:numFmt w:val="bullet"/>
      <w:lvlText w:val=""/>
      <w:lvlJc w:val="left"/>
      <w:pPr>
        <w:ind w:left="2160" w:hanging="360"/>
      </w:pPr>
      <w:rPr>
        <w:rFonts w:ascii="Wingdings" w:hAnsi="Wingdings" w:hint="default"/>
      </w:rPr>
    </w:lvl>
    <w:lvl w:ilvl="3" w:tplc="5CDE3D86" w:tentative="1">
      <w:start w:val="1"/>
      <w:numFmt w:val="bullet"/>
      <w:lvlText w:val=""/>
      <w:lvlJc w:val="left"/>
      <w:pPr>
        <w:ind w:left="2880" w:hanging="360"/>
      </w:pPr>
      <w:rPr>
        <w:rFonts w:ascii="Symbol" w:hAnsi="Symbol" w:hint="default"/>
      </w:rPr>
    </w:lvl>
    <w:lvl w:ilvl="4" w:tplc="D12E8E94" w:tentative="1">
      <w:start w:val="1"/>
      <w:numFmt w:val="bullet"/>
      <w:lvlText w:val="o"/>
      <w:lvlJc w:val="left"/>
      <w:pPr>
        <w:ind w:left="3600" w:hanging="360"/>
      </w:pPr>
      <w:rPr>
        <w:rFonts w:ascii="Courier New" w:hAnsi="Courier New" w:cs="Courier New" w:hint="default"/>
      </w:rPr>
    </w:lvl>
    <w:lvl w:ilvl="5" w:tplc="5E263914" w:tentative="1">
      <w:start w:val="1"/>
      <w:numFmt w:val="bullet"/>
      <w:lvlText w:val=""/>
      <w:lvlJc w:val="left"/>
      <w:pPr>
        <w:ind w:left="4320" w:hanging="360"/>
      </w:pPr>
      <w:rPr>
        <w:rFonts w:ascii="Wingdings" w:hAnsi="Wingdings" w:hint="default"/>
      </w:rPr>
    </w:lvl>
    <w:lvl w:ilvl="6" w:tplc="11F06D48" w:tentative="1">
      <w:start w:val="1"/>
      <w:numFmt w:val="bullet"/>
      <w:lvlText w:val=""/>
      <w:lvlJc w:val="left"/>
      <w:pPr>
        <w:ind w:left="5040" w:hanging="360"/>
      </w:pPr>
      <w:rPr>
        <w:rFonts w:ascii="Symbol" w:hAnsi="Symbol" w:hint="default"/>
      </w:rPr>
    </w:lvl>
    <w:lvl w:ilvl="7" w:tplc="C118347A" w:tentative="1">
      <w:start w:val="1"/>
      <w:numFmt w:val="bullet"/>
      <w:lvlText w:val="o"/>
      <w:lvlJc w:val="left"/>
      <w:pPr>
        <w:ind w:left="5760" w:hanging="360"/>
      </w:pPr>
      <w:rPr>
        <w:rFonts w:ascii="Courier New" w:hAnsi="Courier New" w:cs="Courier New" w:hint="default"/>
      </w:rPr>
    </w:lvl>
    <w:lvl w:ilvl="8" w:tplc="7F707488" w:tentative="1">
      <w:start w:val="1"/>
      <w:numFmt w:val="bullet"/>
      <w:lvlText w:val=""/>
      <w:lvlJc w:val="left"/>
      <w:pPr>
        <w:ind w:left="6480" w:hanging="360"/>
      </w:pPr>
      <w:rPr>
        <w:rFonts w:ascii="Wingdings" w:hAnsi="Wingdings" w:hint="default"/>
      </w:rPr>
    </w:lvl>
  </w:abstractNum>
  <w:abstractNum w:abstractNumId="89" w15:restartNumberingAfterBreak="0">
    <w:nsid w:val="54F57F75"/>
    <w:multiLevelType w:val="hybridMultilevel"/>
    <w:tmpl w:val="835AA636"/>
    <w:lvl w:ilvl="0" w:tplc="8AD20FC8">
      <w:start w:val="1"/>
      <w:numFmt w:val="bullet"/>
      <w:lvlText w:val=""/>
      <w:lvlJc w:val="left"/>
      <w:pPr>
        <w:ind w:left="357" w:hanging="360"/>
      </w:pPr>
      <w:rPr>
        <w:rFonts w:ascii="Symbol" w:hAnsi="Symbol" w:hint="default"/>
      </w:rPr>
    </w:lvl>
    <w:lvl w:ilvl="1" w:tplc="E24C2B62">
      <w:start w:val="1"/>
      <w:numFmt w:val="bullet"/>
      <w:lvlText w:val="o"/>
      <w:lvlJc w:val="left"/>
      <w:pPr>
        <w:ind w:left="1077" w:hanging="360"/>
      </w:pPr>
      <w:rPr>
        <w:rFonts w:ascii="Courier New" w:hAnsi="Courier New" w:cs="Courier New" w:hint="default"/>
      </w:rPr>
    </w:lvl>
    <w:lvl w:ilvl="2" w:tplc="BC326EFA">
      <w:start w:val="1"/>
      <w:numFmt w:val="bullet"/>
      <w:lvlText w:val=""/>
      <w:lvlJc w:val="left"/>
      <w:pPr>
        <w:ind w:left="1797" w:hanging="360"/>
      </w:pPr>
      <w:rPr>
        <w:rFonts w:ascii="Wingdings" w:hAnsi="Wingdings" w:hint="default"/>
      </w:rPr>
    </w:lvl>
    <w:lvl w:ilvl="3" w:tplc="0C9AE1F2">
      <w:start w:val="1"/>
      <w:numFmt w:val="bullet"/>
      <w:lvlText w:val=""/>
      <w:lvlJc w:val="left"/>
      <w:pPr>
        <w:ind w:left="2517" w:hanging="360"/>
      </w:pPr>
      <w:rPr>
        <w:rFonts w:ascii="Symbol" w:hAnsi="Symbol" w:hint="default"/>
      </w:rPr>
    </w:lvl>
    <w:lvl w:ilvl="4" w:tplc="A84C0056">
      <w:start w:val="1"/>
      <w:numFmt w:val="bullet"/>
      <w:lvlText w:val="o"/>
      <w:lvlJc w:val="left"/>
      <w:pPr>
        <w:ind w:left="3237" w:hanging="360"/>
      </w:pPr>
      <w:rPr>
        <w:rFonts w:ascii="Courier New" w:hAnsi="Courier New" w:cs="Courier New" w:hint="default"/>
      </w:rPr>
    </w:lvl>
    <w:lvl w:ilvl="5" w:tplc="1D5EE9BA">
      <w:start w:val="1"/>
      <w:numFmt w:val="bullet"/>
      <w:lvlText w:val=""/>
      <w:lvlJc w:val="left"/>
      <w:pPr>
        <w:ind w:left="3957" w:hanging="360"/>
      </w:pPr>
      <w:rPr>
        <w:rFonts w:ascii="Wingdings" w:hAnsi="Wingdings" w:hint="default"/>
      </w:rPr>
    </w:lvl>
    <w:lvl w:ilvl="6" w:tplc="4BA2D4D4">
      <w:start w:val="1"/>
      <w:numFmt w:val="bullet"/>
      <w:lvlText w:val=""/>
      <w:lvlJc w:val="left"/>
      <w:pPr>
        <w:ind w:left="4677" w:hanging="360"/>
      </w:pPr>
      <w:rPr>
        <w:rFonts w:ascii="Symbol" w:hAnsi="Symbol" w:hint="default"/>
      </w:rPr>
    </w:lvl>
    <w:lvl w:ilvl="7" w:tplc="419C70FC">
      <w:start w:val="1"/>
      <w:numFmt w:val="bullet"/>
      <w:lvlText w:val="o"/>
      <w:lvlJc w:val="left"/>
      <w:pPr>
        <w:ind w:left="5397" w:hanging="360"/>
      </w:pPr>
      <w:rPr>
        <w:rFonts w:ascii="Courier New" w:hAnsi="Courier New" w:cs="Courier New" w:hint="default"/>
      </w:rPr>
    </w:lvl>
    <w:lvl w:ilvl="8" w:tplc="03006E0C">
      <w:start w:val="1"/>
      <w:numFmt w:val="bullet"/>
      <w:lvlText w:val=""/>
      <w:lvlJc w:val="left"/>
      <w:pPr>
        <w:ind w:left="6117" w:hanging="360"/>
      </w:pPr>
      <w:rPr>
        <w:rFonts w:ascii="Wingdings" w:hAnsi="Wingdings" w:hint="default"/>
      </w:rPr>
    </w:lvl>
  </w:abstractNum>
  <w:abstractNum w:abstractNumId="90" w15:restartNumberingAfterBreak="0">
    <w:nsid w:val="551C14E9"/>
    <w:multiLevelType w:val="hybridMultilevel"/>
    <w:tmpl w:val="5A8072B6"/>
    <w:lvl w:ilvl="0" w:tplc="3B7C8B7C">
      <w:start w:val="1"/>
      <w:numFmt w:val="bullet"/>
      <w:lvlText w:val=""/>
      <w:lvlJc w:val="left"/>
      <w:pPr>
        <w:ind w:left="720" w:hanging="360"/>
      </w:pPr>
      <w:rPr>
        <w:rFonts w:ascii="Symbol" w:hAnsi="Symbol" w:hint="default"/>
        <w:sz w:val="22"/>
      </w:rPr>
    </w:lvl>
    <w:lvl w:ilvl="1" w:tplc="9A9C02CC">
      <w:start w:val="1"/>
      <w:numFmt w:val="bullet"/>
      <w:lvlText w:val="o"/>
      <w:lvlJc w:val="left"/>
      <w:pPr>
        <w:ind w:left="1440" w:hanging="360"/>
      </w:pPr>
      <w:rPr>
        <w:rFonts w:ascii="Courier New" w:hAnsi="Courier New" w:cs="Courier New" w:hint="default"/>
      </w:rPr>
    </w:lvl>
    <w:lvl w:ilvl="2" w:tplc="8946C5DC">
      <w:start w:val="1"/>
      <w:numFmt w:val="bullet"/>
      <w:lvlText w:val=""/>
      <w:lvlJc w:val="left"/>
      <w:pPr>
        <w:ind w:left="2160" w:hanging="360"/>
      </w:pPr>
      <w:rPr>
        <w:rFonts w:ascii="Wingdings" w:hAnsi="Wingdings" w:hint="default"/>
      </w:rPr>
    </w:lvl>
    <w:lvl w:ilvl="3" w:tplc="37BC9074">
      <w:start w:val="1"/>
      <w:numFmt w:val="bullet"/>
      <w:lvlText w:val=""/>
      <w:lvlJc w:val="left"/>
      <w:pPr>
        <w:ind w:left="2880" w:hanging="360"/>
      </w:pPr>
      <w:rPr>
        <w:rFonts w:ascii="Symbol" w:hAnsi="Symbol" w:hint="default"/>
      </w:rPr>
    </w:lvl>
    <w:lvl w:ilvl="4" w:tplc="20AE2014">
      <w:start w:val="1"/>
      <w:numFmt w:val="bullet"/>
      <w:lvlText w:val="o"/>
      <w:lvlJc w:val="left"/>
      <w:pPr>
        <w:ind w:left="3600" w:hanging="360"/>
      </w:pPr>
      <w:rPr>
        <w:rFonts w:ascii="Courier New" w:hAnsi="Courier New" w:cs="Courier New" w:hint="default"/>
      </w:rPr>
    </w:lvl>
    <w:lvl w:ilvl="5" w:tplc="E2127D60">
      <w:start w:val="1"/>
      <w:numFmt w:val="bullet"/>
      <w:lvlText w:val=""/>
      <w:lvlJc w:val="left"/>
      <w:pPr>
        <w:ind w:left="4320" w:hanging="360"/>
      </w:pPr>
      <w:rPr>
        <w:rFonts w:ascii="Wingdings" w:hAnsi="Wingdings" w:hint="default"/>
      </w:rPr>
    </w:lvl>
    <w:lvl w:ilvl="6" w:tplc="28FCAF9C">
      <w:start w:val="1"/>
      <w:numFmt w:val="bullet"/>
      <w:lvlText w:val=""/>
      <w:lvlJc w:val="left"/>
      <w:pPr>
        <w:ind w:left="5040" w:hanging="360"/>
      </w:pPr>
      <w:rPr>
        <w:rFonts w:ascii="Symbol" w:hAnsi="Symbol" w:hint="default"/>
      </w:rPr>
    </w:lvl>
    <w:lvl w:ilvl="7" w:tplc="97CC14EE">
      <w:start w:val="1"/>
      <w:numFmt w:val="bullet"/>
      <w:lvlText w:val="o"/>
      <w:lvlJc w:val="left"/>
      <w:pPr>
        <w:ind w:left="5760" w:hanging="360"/>
      </w:pPr>
      <w:rPr>
        <w:rFonts w:ascii="Courier New" w:hAnsi="Courier New" w:cs="Courier New" w:hint="default"/>
      </w:rPr>
    </w:lvl>
    <w:lvl w:ilvl="8" w:tplc="40624DEA">
      <w:start w:val="1"/>
      <w:numFmt w:val="bullet"/>
      <w:lvlText w:val=""/>
      <w:lvlJc w:val="left"/>
      <w:pPr>
        <w:ind w:left="6480" w:hanging="360"/>
      </w:pPr>
      <w:rPr>
        <w:rFonts w:ascii="Wingdings" w:hAnsi="Wingdings" w:hint="default"/>
      </w:rPr>
    </w:lvl>
  </w:abstractNum>
  <w:abstractNum w:abstractNumId="91" w15:restartNumberingAfterBreak="0">
    <w:nsid w:val="55795BDC"/>
    <w:multiLevelType w:val="multilevel"/>
    <w:tmpl w:val="B540DD4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6640FBB"/>
    <w:multiLevelType w:val="multilevel"/>
    <w:tmpl w:val="F88CBDE4"/>
    <w:lvl w:ilvl="0">
      <w:start w:val="1"/>
      <w:numFmt w:val="bullet"/>
      <w:lvlText w:val=""/>
      <w:lvlJc w:val="left"/>
      <w:pPr>
        <w:tabs>
          <w:tab w:val="num" w:pos="284"/>
        </w:tabs>
        <w:ind w:left="284" w:hanging="284"/>
      </w:pPr>
      <w:rPr>
        <w:rFonts w:ascii="Symbol" w:hAnsi="Symbol" w:hint="default"/>
        <w:b w:val="0"/>
        <w:i w:val="0"/>
        <w:color w:val="auto"/>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3" w15:restartNumberingAfterBreak="0">
    <w:nsid w:val="578AF6EB"/>
    <w:multiLevelType w:val="multilevel"/>
    <w:tmpl w:val="E54882A4"/>
    <w:lvl w:ilvl="0">
      <w:start w:val="1"/>
      <w:numFmt w:val="lowerLetter"/>
      <w:lvlText w:val="(%1)"/>
      <w:lvlJc w:val="left"/>
      <w:pPr>
        <w:ind w:left="1353" w:hanging="360"/>
      </w:pPr>
      <w:rPr>
        <w:rFonts w:hint="default"/>
        <w:b w:val="0"/>
        <w:i w:val="0"/>
        <w:color w:val="000000"/>
        <w:sz w:val="16"/>
      </w:rPr>
    </w:lvl>
    <w:lvl w:ilvl="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94" w15:restartNumberingAfterBreak="0">
    <w:nsid w:val="5834EA3F"/>
    <w:multiLevelType w:val="hybridMultilevel"/>
    <w:tmpl w:val="A276FBD8"/>
    <w:lvl w:ilvl="0" w:tplc="52784128">
      <w:start w:val="1"/>
      <w:numFmt w:val="lowerLetter"/>
      <w:lvlText w:val="(%1)"/>
      <w:lvlJc w:val="left"/>
      <w:pPr>
        <w:ind w:left="360" w:hanging="360"/>
      </w:pPr>
      <w:rPr>
        <w:rFonts w:ascii="Arial" w:hAnsi="Arial" w:cs="Arial" w:hint="default"/>
      </w:rPr>
    </w:lvl>
    <w:lvl w:ilvl="1" w:tplc="E916AE2C" w:tentative="1">
      <w:start w:val="1"/>
      <w:numFmt w:val="lowerLetter"/>
      <w:lvlText w:val="%2."/>
      <w:lvlJc w:val="left"/>
      <w:pPr>
        <w:ind w:left="1080" w:hanging="360"/>
      </w:pPr>
    </w:lvl>
    <w:lvl w:ilvl="2" w:tplc="64D6FA04" w:tentative="1">
      <w:start w:val="1"/>
      <w:numFmt w:val="lowerRoman"/>
      <w:lvlText w:val="%3."/>
      <w:lvlJc w:val="right"/>
      <w:pPr>
        <w:ind w:left="1800" w:hanging="180"/>
      </w:pPr>
    </w:lvl>
    <w:lvl w:ilvl="3" w:tplc="160AC49A" w:tentative="1">
      <w:start w:val="1"/>
      <w:numFmt w:val="decimal"/>
      <w:lvlText w:val="%4."/>
      <w:lvlJc w:val="left"/>
      <w:pPr>
        <w:ind w:left="2520" w:hanging="360"/>
      </w:pPr>
    </w:lvl>
    <w:lvl w:ilvl="4" w:tplc="D5C45390" w:tentative="1">
      <w:start w:val="1"/>
      <w:numFmt w:val="lowerLetter"/>
      <w:lvlText w:val="%5."/>
      <w:lvlJc w:val="left"/>
      <w:pPr>
        <w:ind w:left="3240" w:hanging="360"/>
      </w:pPr>
    </w:lvl>
    <w:lvl w:ilvl="5" w:tplc="246493EE" w:tentative="1">
      <w:start w:val="1"/>
      <w:numFmt w:val="lowerRoman"/>
      <w:lvlText w:val="%6."/>
      <w:lvlJc w:val="right"/>
      <w:pPr>
        <w:ind w:left="3960" w:hanging="180"/>
      </w:pPr>
    </w:lvl>
    <w:lvl w:ilvl="6" w:tplc="9446BBB2" w:tentative="1">
      <w:start w:val="1"/>
      <w:numFmt w:val="decimal"/>
      <w:lvlText w:val="%7."/>
      <w:lvlJc w:val="left"/>
      <w:pPr>
        <w:ind w:left="4680" w:hanging="360"/>
      </w:pPr>
    </w:lvl>
    <w:lvl w:ilvl="7" w:tplc="4740AE46" w:tentative="1">
      <w:start w:val="1"/>
      <w:numFmt w:val="lowerLetter"/>
      <w:lvlText w:val="%8."/>
      <w:lvlJc w:val="left"/>
      <w:pPr>
        <w:ind w:left="5400" w:hanging="360"/>
      </w:pPr>
    </w:lvl>
    <w:lvl w:ilvl="8" w:tplc="5142AE52" w:tentative="1">
      <w:start w:val="1"/>
      <w:numFmt w:val="lowerRoman"/>
      <w:lvlText w:val="%9."/>
      <w:lvlJc w:val="right"/>
      <w:pPr>
        <w:ind w:left="6120" w:hanging="180"/>
      </w:pPr>
    </w:lvl>
  </w:abstractNum>
  <w:abstractNum w:abstractNumId="95" w15:restartNumberingAfterBreak="0">
    <w:nsid w:val="58C41905"/>
    <w:multiLevelType w:val="hybridMultilevel"/>
    <w:tmpl w:val="1DE2EEB0"/>
    <w:lvl w:ilvl="0" w:tplc="0538A1CC">
      <w:start w:val="1"/>
      <w:numFmt w:val="lowerLetter"/>
      <w:lvlText w:val="(%1)"/>
      <w:lvlJc w:val="left"/>
      <w:pPr>
        <w:ind w:left="360" w:hanging="360"/>
      </w:pPr>
      <w:rPr>
        <w:rFonts w:hint="default"/>
        <w:b w:val="0"/>
        <w:i w:val="0"/>
        <w:color w:val="000000"/>
        <w:sz w:val="16"/>
        <w:vertAlign w:val="baseline"/>
      </w:rPr>
    </w:lvl>
    <w:lvl w:ilvl="1" w:tplc="9B5E122E" w:tentative="1">
      <w:start w:val="1"/>
      <w:numFmt w:val="lowerLetter"/>
      <w:lvlText w:val="%2."/>
      <w:lvlJc w:val="left"/>
      <w:pPr>
        <w:ind w:left="1080" w:hanging="360"/>
      </w:pPr>
    </w:lvl>
    <w:lvl w:ilvl="2" w:tplc="CB3E8652" w:tentative="1">
      <w:start w:val="1"/>
      <w:numFmt w:val="lowerRoman"/>
      <w:lvlText w:val="%3."/>
      <w:lvlJc w:val="right"/>
      <w:pPr>
        <w:ind w:left="1800" w:hanging="180"/>
      </w:pPr>
    </w:lvl>
    <w:lvl w:ilvl="3" w:tplc="9F285A12" w:tentative="1">
      <w:start w:val="1"/>
      <w:numFmt w:val="decimal"/>
      <w:lvlText w:val="%4."/>
      <w:lvlJc w:val="left"/>
      <w:pPr>
        <w:ind w:left="2520" w:hanging="360"/>
      </w:pPr>
    </w:lvl>
    <w:lvl w:ilvl="4" w:tplc="FDDA3118" w:tentative="1">
      <w:start w:val="1"/>
      <w:numFmt w:val="lowerLetter"/>
      <w:lvlText w:val="%5."/>
      <w:lvlJc w:val="left"/>
      <w:pPr>
        <w:ind w:left="3240" w:hanging="360"/>
      </w:pPr>
    </w:lvl>
    <w:lvl w:ilvl="5" w:tplc="E95C157C" w:tentative="1">
      <w:start w:val="1"/>
      <w:numFmt w:val="lowerRoman"/>
      <w:lvlText w:val="%6."/>
      <w:lvlJc w:val="right"/>
      <w:pPr>
        <w:ind w:left="3960" w:hanging="180"/>
      </w:pPr>
    </w:lvl>
    <w:lvl w:ilvl="6" w:tplc="848ED34E" w:tentative="1">
      <w:start w:val="1"/>
      <w:numFmt w:val="decimal"/>
      <w:lvlText w:val="%7."/>
      <w:lvlJc w:val="left"/>
      <w:pPr>
        <w:ind w:left="4680" w:hanging="360"/>
      </w:pPr>
    </w:lvl>
    <w:lvl w:ilvl="7" w:tplc="D30E382E" w:tentative="1">
      <w:start w:val="1"/>
      <w:numFmt w:val="lowerLetter"/>
      <w:lvlText w:val="%8."/>
      <w:lvlJc w:val="left"/>
      <w:pPr>
        <w:ind w:left="5400" w:hanging="360"/>
      </w:pPr>
    </w:lvl>
    <w:lvl w:ilvl="8" w:tplc="C2222620" w:tentative="1">
      <w:start w:val="1"/>
      <w:numFmt w:val="lowerRoman"/>
      <w:lvlText w:val="%9."/>
      <w:lvlJc w:val="right"/>
      <w:pPr>
        <w:ind w:left="6120" w:hanging="180"/>
      </w:pPr>
    </w:lvl>
  </w:abstractNum>
  <w:abstractNum w:abstractNumId="96" w15:restartNumberingAfterBreak="0">
    <w:nsid w:val="591E2B45"/>
    <w:multiLevelType w:val="hybridMultilevel"/>
    <w:tmpl w:val="286AAF3E"/>
    <w:lvl w:ilvl="0" w:tplc="9E300348">
      <w:start w:val="1"/>
      <w:numFmt w:val="lowerLetter"/>
      <w:lvlText w:val="(%1)"/>
      <w:lvlJc w:val="left"/>
      <w:pPr>
        <w:ind w:left="360" w:hanging="360"/>
      </w:pPr>
      <w:rPr>
        <w:rFonts w:ascii="Arial" w:eastAsia="Times New Roman" w:hAnsi="Arial" w:cs="Times New Roman"/>
      </w:rPr>
    </w:lvl>
    <w:lvl w:ilvl="1" w:tplc="56267878">
      <w:start w:val="1"/>
      <w:numFmt w:val="lowerLetter"/>
      <w:lvlText w:val="%2."/>
      <w:lvlJc w:val="left"/>
      <w:pPr>
        <w:ind w:left="1080" w:hanging="360"/>
      </w:pPr>
    </w:lvl>
    <w:lvl w:ilvl="2" w:tplc="1F7C1A60">
      <w:start w:val="1"/>
      <w:numFmt w:val="lowerRoman"/>
      <w:lvlText w:val="%3."/>
      <w:lvlJc w:val="right"/>
      <w:pPr>
        <w:ind w:left="1800" w:hanging="180"/>
      </w:pPr>
    </w:lvl>
    <w:lvl w:ilvl="3" w:tplc="4DC29258">
      <w:start w:val="1"/>
      <w:numFmt w:val="decimal"/>
      <w:lvlText w:val="%4."/>
      <w:lvlJc w:val="left"/>
      <w:pPr>
        <w:ind w:left="2520" w:hanging="360"/>
      </w:pPr>
    </w:lvl>
    <w:lvl w:ilvl="4" w:tplc="CF0A365C">
      <w:start w:val="1"/>
      <w:numFmt w:val="lowerLetter"/>
      <w:lvlText w:val="%5."/>
      <w:lvlJc w:val="left"/>
      <w:pPr>
        <w:ind w:left="3240" w:hanging="360"/>
      </w:pPr>
    </w:lvl>
    <w:lvl w:ilvl="5" w:tplc="D0BA2026">
      <w:start w:val="1"/>
      <w:numFmt w:val="lowerRoman"/>
      <w:lvlText w:val="%6."/>
      <w:lvlJc w:val="right"/>
      <w:pPr>
        <w:ind w:left="3960" w:hanging="180"/>
      </w:pPr>
    </w:lvl>
    <w:lvl w:ilvl="6" w:tplc="A93A8A48">
      <w:start w:val="1"/>
      <w:numFmt w:val="decimal"/>
      <w:lvlText w:val="%7."/>
      <w:lvlJc w:val="left"/>
      <w:pPr>
        <w:ind w:left="4680" w:hanging="360"/>
      </w:pPr>
    </w:lvl>
    <w:lvl w:ilvl="7" w:tplc="897CC9E8">
      <w:start w:val="1"/>
      <w:numFmt w:val="lowerLetter"/>
      <w:lvlText w:val="%8."/>
      <w:lvlJc w:val="left"/>
      <w:pPr>
        <w:ind w:left="5400" w:hanging="360"/>
      </w:pPr>
    </w:lvl>
    <w:lvl w:ilvl="8" w:tplc="4B22B3D6">
      <w:start w:val="1"/>
      <w:numFmt w:val="lowerRoman"/>
      <w:lvlText w:val="%9."/>
      <w:lvlJc w:val="right"/>
      <w:pPr>
        <w:ind w:left="6120" w:hanging="180"/>
      </w:pPr>
    </w:lvl>
  </w:abstractNum>
  <w:abstractNum w:abstractNumId="97" w15:restartNumberingAfterBreak="0">
    <w:nsid w:val="594C73C0"/>
    <w:multiLevelType w:val="hybridMultilevel"/>
    <w:tmpl w:val="ADAABE32"/>
    <w:lvl w:ilvl="0" w:tplc="9EEC75F8">
      <w:start w:val="1"/>
      <w:numFmt w:val="lowerLetter"/>
      <w:lvlText w:val="%1)"/>
      <w:lvlJc w:val="left"/>
      <w:pPr>
        <w:ind w:left="720" w:hanging="360"/>
      </w:pPr>
    </w:lvl>
    <w:lvl w:ilvl="1" w:tplc="2E98E5BA" w:tentative="1">
      <w:start w:val="1"/>
      <w:numFmt w:val="lowerLetter"/>
      <w:lvlText w:val="%2."/>
      <w:lvlJc w:val="left"/>
      <w:pPr>
        <w:ind w:left="1440" w:hanging="360"/>
      </w:pPr>
    </w:lvl>
    <w:lvl w:ilvl="2" w:tplc="A9E2D036" w:tentative="1">
      <w:start w:val="1"/>
      <w:numFmt w:val="lowerRoman"/>
      <w:lvlText w:val="%3."/>
      <w:lvlJc w:val="right"/>
      <w:pPr>
        <w:ind w:left="2160" w:hanging="180"/>
      </w:pPr>
    </w:lvl>
    <w:lvl w:ilvl="3" w:tplc="3CF2710A" w:tentative="1">
      <w:start w:val="1"/>
      <w:numFmt w:val="decimal"/>
      <w:lvlText w:val="%4."/>
      <w:lvlJc w:val="left"/>
      <w:pPr>
        <w:ind w:left="2880" w:hanging="360"/>
      </w:pPr>
    </w:lvl>
    <w:lvl w:ilvl="4" w:tplc="F1C25BBC" w:tentative="1">
      <w:start w:val="1"/>
      <w:numFmt w:val="lowerLetter"/>
      <w:lvlText w:val="%5."/>
      <w:lvlJc w:val="left"/>
      <w:pPr>
        <w:ind w:left="3600" w:hanging="360"/>
      </w:pPr>
    </w:lvl>
    <w:lvl w:ilvl="5" w:tplc="A768F220" w:tentative="1">
      <w:start w:val="1"/>
      <w:numFmt w:val="lowerRoman"/>
      <w:lvlText w:val="%6."/>
      <w:lvlJc w:val="right"/>
      <w:pPr>
        <w:ind w:left="4320" w:hanging="180"/>
      </w:pPr>
    </w:lvl>
    <w:lvl w:ilvl="6" w:tplc="6178960C" w:tentative="1">
      <w:start w:val="1"/>
      <w:numFmt w:val="decimal"/>
      <w:lvlText w:val="%7."/>
      <w:lvlJc w:val="left"/>
      <w:pPr>
        <w:ind w:left="5040" w:hanging="360"/>
      </w:pPr>
    </w:lvl>
    <w:lvl w:ilvl="7" w:tplc="F3B6576A" w:tentative="1">
      <w:start w:val="1"/>
      <w:numFmt w:val="lowerLetter"/>
      <w:lvlText w:val="%8."/>
      <w:lvlJc w:val="left"/>
      <w:pPr>
        <w:ind w:left="5760" w:hanging="360"/>
      </w:pPr>
    </w:lvl>
    <w:lvl w:ilvl="8" w:tplc="EEC474F4" w:tentative="1">
      <w:start w:val="1"/>
      <w:numFmt w:val="lowerRoman"/>
      <w:lvlText w:val="%9."/>
      <w:lvlJc w:val="right"/>
      <w:pPr>
        <w:ind w:left="6480" w:hanging="180"/>
      </w:pPr>
    </w:lvl>
  </w:abstractNum>
  <w:abstractNum w:abstractNumId="98" w15:restartNumberingAfterBreak="0">
    <w:nsid w:val="5C405372"/>
    <w:multiLevelType w:val="hybridMultilevel"/>
    <w:tmpl w:val="970C13E8"/>
    <w:lvl w:ilvl="0" w:tplc="7312D2E0">
      <w:start w:val="1"/>
      <w:numFmt w:val="lowerLetter"/>
      <w:lvlText w:val="(%1)"/>
      <w:lvlJc w:val="left"/>
      <w:pPr>
        <w:ind w:left="720" w:hanging="360"/>
      </w:pPr>
      <w:rPr>
        <w:rFonts w:ascii="Arial" w:eastAsia="Times New Roman" w:hAnsi="Arial" w:cs="Times New Roman"/>
        <w:i w:val="0"/>
      </w:rPr>
    </w:lvl>
    <w:lvl w:ilvl="1" w:tplc="813E8C66" w:tentative="1">
      <w:start w:val="1"/>
      <w:numFmt w:val="lowerLetter"/>
      <w:lvlText w:val="%2."/>
      <w:lvlJc w:val="left"/>
      <w:pPr>
        <w:ind w:left="1440" w:hanging="360"/>
      </w:pPr>
    </w:lvl>
    <w:lvl w:ilvl="2" w:tplc="9C1A1D4E" w:tentative="1">
      <w:start w:val="1"/>
      <w:numFmt w:val="lowerRoman"/>
      <w:lvlText w:val="%3."/>
      <w:lvlJc w:val="right"/>
      <w:pPr>
        <w:ind w:left="2160" w:hanging="180"/>
      </w:pPr>
    </w:lvl>
    <w:lvl w:ilvl="3" w:tplc="9E3291F8" w:tentative="1">
      <w:start w:val="1"/>
      <w:numFmt w:val="decimal"/>
      <w:lvlText w:val="%4."/>
      <w:lvlJc w:val="left"/>
      <w:pPr>
        <w:ind w:left="2880" w:hanging="360"/>
      </w:pPr>
    </w:lvl>
    <w:lvl w:ilvl="4" w:tplc="43E638FA" w:tentative="1">
      <w:start w:val="1"/>
      <w:numFmt w:val="lowerLetter"/>
      <w:lvlText w:val="%5."/>
      <w:lvlJc w:val="left"/>
      <w:pPr>
        <w:ind w:left="3600" w:hanging="360"/>
      </w:pPr>
    </w:lvl>
    <w:lvl w:ilvl="5" w:tplc="36269A38" w:tentative="1">
      <w:start w:val="1"/>
      <w:numFmt w:val="lowerRoman"/>
      <w:lvlText w:val="%6."/>
      <w:lvlJc w:val="right"/>
      <w:pPr>
        <w:ind w:left="4320" w:hanging="180"/>
      </w:pPr>
    </w:lvl>
    <w:lvl w:ilvl="6" w:tplc="DBCA8FF8" w:tentative="1">
      <w:start w:val="1"/>
      <w:numFmt w:val="decimal"/>
      <w:lvlText w:val="%7."/>
      <w:lvlJc w:val="left"/>
      <w:pPr>
        <w:ind w:left="5040" w:hanging="360"/>
      </w:pPr>
    </w:lvl>
    <w:lvl w:ilvl="7" w:tplc="C84ED162" w:tentative="1">
      <w:start w:val="1"/>
      <w:numFmt w:val="lowerLetter"/>
      <w:lvlText w:val="%8."/>
      <w:lvlJc w:val="left"/>
      <w:pPr>
        <w:ind w:left="5760" w:hanging="360"/>
      </w:pPr>
    </w:lvl>
    <w:lvl w:ilvl="8" w:tplc="2DC4323C" w:tentative="1">
      <w:start w:val="1"/>
      <w:numFmt w:val="lowerRoman"/>
      <w:lvlText w:val="%9."/>
      <w:lvlJc w:val="right"/>
      <w:pPr>
        <w:ind w:left="6480" w:hanging="180"/>
      </w:pPr>
    </w:lvl>
  </w:abstractNum>
  <w:abstractNum w:abstractNumId="99" w15:restartNumberingAfterBreak="0">
    <w:nsid w:val="5CED7035"/>
    <w:multiLevelType w:val="hybridMultilevel"/>
    <w:tmpl w:val="B8D2D500"/>
    <w:lvl w:ilvl="0" w:tplc="43C68386">
      <w:start w:val="1"/>
      <w:numFmt w:val="lowerLetter"/>
      <w:lvlText w:val="(%1)"/>
      <w:lvlJc w:val="left"/>
      <w:pPr>
        <w:ind w:left="360" w:hanging="360"/>
      </w:pPr>
    </w:lvl>
    <w:lvl w:ilvl="1" w:tplc="11C64BDA" w:tentative="1">
      <w:start w:val="1"/>
      <w:numFmt w:val="lowerLetter"/>
      <w:lvlText w:val="%2."/>
      <w:lvlJc w:val="left"/>
      <w:pPr>
        <w:ind w:left="1080" w:hanging="360"/>
      </w:pPr>
    </w:lvl>
    <w:lvl w:ilvl="2" w:tplc="7CC4F0A2" w:tentative="1">
      <w:start w:val="1"/>
      <w:numFmt w:val="lowerRoman"/>
      <w:lvlText w:val="%3."/>
      <w:lvlJc w:val="right"/>
      <w:pPr>
        <w:ind w:left="1800" w:hanging="180"/>
      </w:pPr>
    </w:lvl>
    <w:lvl w:ilvl="3" w:tplc="1C04209C" w:tentative="1">
      <w:start w:val="1"/>
      <w:numFmt w:val="decimal"/>
      <w:lvlText w:val="%4."/>
      <w:lvlJc w:val="left"/>
      <w:pPr>
        <w:ind w:left="2520" w:hanging="360"/>
      </w:pPr>
    </w:lvl>
    <w:lvl w:ilvl="4" w:tplc="4C4427E6" w:tentative="1">
      <w:start w:val="1"/>
      <w:numFmt w:val="lowerLetter"/>
      <w:lvlText w:val="%5."/>
      <w:lvlJc w:val="left"/>
      <w:pPr>
        <w:ind w:left="3240" w:hanging="360"/>
      </w:pPr>
    </w:lvl>
    <w:lvl w:ilvl="5" w:tplc="20CA3F1C" w:tentative="1">
      <w:start w:val="1"/>
      <w:numFmt w:val="lowerRoman"/>
      <w:lvlText w:val="%6."/>
      <w:lvlJc w:val="right"/>
      <w:pPr>
        <w:ind w:left="3960" w:hanging="180"/>
      </w:pPr>
    </w:lvl>
    <w:lvl w:ilvl="6" w:tplc="8A4E4DF6" w:tentative="1">
      <w:start w:val="1"/>
      <w:numFmt w:val="decimal"/>
      <w:lvlText w:val="%7."/>
      <w:lvlJc w:val="left"/>
      <w:pPr>
        <w:ind w:left="4680" w:hanging="360"/>
      </w:pPr>
    </w:lvl>
    <w:lvl w:ilvl="7" w:tplc="3A02DE2A" w:tentative="1">
      <w:start w:val="1"/>
      <w:numFmt w:val="lowerLetter"/>
      <w:lvlText w:val="%8."/>
      <w:lvlJc w:val="left"/>
      <w:pPr>
        <w:ind w:left="5400" w:hanging="360"/>
      </w:pPr>
    </w:lvl>
    <w:lvl w:ilvl="8" w:tplc="AE7A203A" w:tentative="1">
      <w:start w:val="1"/>
      <w:numFmt w:val="lowerRoman"/>
      <w:lvlText w:val="%9."/>
      <w:lvlJc w:val="right"/>
      <w:pPr>
        <w:ind w:left="6120" w:hanging="180"/>
      </w:pPr>
    </w:lvl>
  </w:abstractNum>
  <w:abstractNum w:abstractNumId="100" w15:restartNumberingAfterBreak="0">
    <w:nsid w:val="5E0103BE"/>
    <w:multiLevelType w:val="hybridMultilevel"/>
    <w:tmpl w:val="D6BA171A"/>
    <w:lvl w:ilvl="0" w:tplc="69CAC068">
      <w:start w:val="3"/>
      <w:numFmt w:val="bullet"/>
      <w:lvlText w:val="-"/>
      <w:lvlJc w:val="left"/>
      <w:pPr>
        <w:ind w:left="720" w:hanging="360"/>
      </w:pPr>
      <w:rPr>
        <w:rFonts w:ascii="Arial" w:eastAsia="Calibri" w:hAnsi="Arial" w:cs="Arial" w:hint="default"/>
      </w:rPr>
    </w:lvl>
    <w:lvl w:ilvl="1" w:tplc="C8026B88" w:tentative="1">
      <w:start w:val="1"/>
      <w:numFmt w:val="bullet"/>
      <w:lvlText w:val="o"/>
      <w:lvlJc w:val="left"/>
      <w:pPr>
        <w:ind w:left="1440" w:hanging="360"/>
      </w:pPr>
      <w:rPr>
        <w:rFonts w:ascii="Courier New" w:hAnsi="Courier New" w:cs="Courier New" w:hint="default"/>
      </w:rPr>
    </w:lvl>
    <w:lvl w:ilvl="2" w:tplc="9E9404CE" w:tentative="1">
      <w:start w:val="1"/>
      <w:numFmt w:val="bullet"/>
      <w:lvlText w:val=""/>
      <w:lvlJc w:val="left"/>
      <w:pPr>
        <w:ind w:left="2160" w:hanging="360"/>
      </w:pPr>
      <w:rPr>
        <w:rFonts w:ascii="Wingdings" w:hAnsi="Wingdings" w:hint="default"/>
      </w:rPr>
    </w:lvl>
    <w:lvl w:ilvl="3" w:tplc="8B640992" w:tentative="1">
      <w:start w:val="1"/>
      <w:numFmt w:val="bullet"/>
      <w:lvlText w:val=""/>
      <w:lvlJc w:val="left"/>
      <w:pPr>
        <w:ind w:left="2880" w:hanging="360"/>
      </w:pPr>
      <w:rPr>
        <w:rFonts w:ascii="Symbol" w:hAnsi="Symbol" w:hint="default"/>
      </w:rPr>
    </w:lvl>
    <w:lvl w:ilvl="4" w:tplc="98F0AAC8" w:tentative="1">
      <w:start w:val="1"/>
      <w:numFmt w:val="bullet"/>
      <w:lvlText w:val="o"/>
      <w:lvlJc w:val="left"/>
      <w:pPr>
        <w:ind w:left="3600" w:hanging="360"/>
      </w:pPr>
      <w:rPr>
        <w:rFonts w:ascii="Courier New" w:hAnsi="Courier New" w:cs="Courier New" w:hint="default"/>
      </w:rPr>
    </w:lvl>
    <w:lvl w:ilvl="5" w:tplc="324606A0" w:tentative="1">
      <w:start w:val="1"/>
      <w:numFmt w:val="bullet"/>
      <w:lvlText w:val=""/>
      <w:lvlJc w:val="left"/>
      <w:pPr>
        <w:ind w:left="4320" w:hanging="360"/>
      </w:pPr>
      <w:rPr>
        <w:rFonts w:ascii="Wingdings" w:hAnsi="Wingdings" w:hint="default"/>
      </w:rPr>
    </w:lvl>
    <w:lvl w:ilvl="6" w:tplc="971E00FA" w:tentative="1">
      <w:start w:val="1"/>
      <w:numFmt w:val="bullet"/>
      <w:lvlText w:val=""/>
      <w:lvlJc w:val="left"/>
      <w:pPr>
        <w:ind w:left="5040" w:hanging="360"/>
      </w:pPr>
      <w:rPr>
        <w:rFonts w:ascii="Symbol" w:hAnsi="Symbol" w:hint="default"/>
      </w:rPr>
    </w:lvl>
    <w:lvl w:ilvl="7" w:tplc="C9926DD6" w:tentative="1">
      <w:start w:val="1"/>
      <w:numFmt w:val="bullet"/>
      <w:lvlText w:val="o"/>
      <w:lvlJc w:val="left"/>
      <w:pPr>
        <w:ind w:left="5760" w:hanging="360"/>
      </w:pPr>
      <w:rPr>
        <w:rFonts w:ascii="Courier New" w:hAnsi="Courier New" w:cs="Courier New" w:hint="default"/>
      </w:rPr>
    </w:lvl>
    <w:lvl w:ilvl="8" w:tplc="27D218E8" w:tentative="1">
      <w:start w:val="1"/>
      <w:numFmt w:val="bullet"/>
      <w:lvlText w:val=""/>
      <w:lvlJc w:val="left"/>
      <w:pPr>
        <w:ind w:left="6480" w:hanging="360"/>
      </w:pPr>
      <w:rPr>
        <w:rFonts w:ascii="Wingdings" w:hAnsi="Wingdings" w:hint="default"/>
      </w:rPr>
    </w:lvl>
  </w:abstractNum>
  <w:abstractNum w:abstractNumId="101" w15:restartNumberingAfterBreak="0">
    <w:nsid w:val="5E7319B5"/>
    <w:multiLevelType w:val="hybridMultilevel"/>
    <w:tmpl w:val="EC1ECF9C"/>
    <w:lvl w:ilvl="0" w:tplc="DB2818FC">
      <w:start w:val="1"/>
      <w:numFmt w:val="lowerLetter"/>
      <w:lvlText w:val="%1)"/>
      <w:lvlJc w:val="left"/>
      <w:pPr>
        <w:ind w:left="360" w:hanging="360"/>
      </w:pPr>
    </w:lvl>
    <w:lvl w:ilvl="1" w:tplc="C464A896" w:tentative="1">
      <w:start w:val="1"/>
      <w:numFmt w:val="lowerLetter"/>
      <w:lvlText w:val="%2."/>
      <w:lvlJc w:val="left"/>
      <w:pPr>
        <w:ind w:left="1080" w:hanging="360"/>
      </w:pPr>
    </w:lvl>
    <w:lvl w:ilvl="2" w:tplc="28BC361A" w:tentative="1">
      <w:start w:val="1"/>
      <w:numFmt w:val="lowerRoman"/>
      <w:lvlText w:val="%3."/>
      <w:lvlJc w:val="right"/>
      <w:pPr>
        <w:ind w:left="1800" w:hanging="180"/>
      </w:pPr>
    </w:lvl>
    <w:lvl w:ilvl="3" w:tplc="F1029D68" w:tentative="1">
      <w:start w:val="1"/>
      <w:numFmt w:val="decimal"/>
      <w:lvlText w:val="%4."/>
      <w:lvlJc w:val="left"/>
      <w:pPr>
        <w:ind w:left="2520" w:hanging="360"/>
      </w:pPr>
    </w:lvl>
    <w:lvl w:ilvl="4" w:tplc="284AF1C0" w:tentative="1">
      <w:start w:val="1"/>
      <w:numFmt w:val="lowerLetter"/>
      <w:lvlText w:val="%5."/>
      <w:lvlJc w:val="left"/>
      <w:pPr>
        <w:ind w:left="3240" w:hanging="360"/>
      </w:pPr>
    </w:lvl>
    <w:lvl w:ilvl="5" w:tplc="E7F4FD34" w:tentative="1">
      <w:start w:val="1"/>
      <w:numFmt w:val="lowerRoman"/>
      <w:lvlText w:val="%6."/>
      <w:lvlJc w:val="right"/>
      <w:pPr>
        <w:ind w:left="3960" w:hanging="180"/>
      </w:pPr>
    </w:lvl>
    <w:lvl w:ilvl="6" w:tplc="4044CFBC" w:tentative="1">
      <w:start w:val="1"/>
      <w:numFmt w:val="decimal"/>
      <w:lvlText w:val="%7."/>
      <w:lvlJc w:val="left"/>
      <w:pPr>
        <w:ind w:left="4680" w:hanging="360"/>
      </w:pPr>
    </w:lvl>
    <w:lvl w:ilvl="7" w:tplc="F74A61D6" w:tentative="1">
      <w:start w:val="1"/>
      <w:numFmt w:val="lowerLetter"/>
      <w:lvlText w:val="%8."/>
      <w:lvlJc w:val="left"/>
      <w:pPr>
        <w:ind w:left="5400" w:hanging="360"/>
      </w:pPr>
    </w:lvl>
    <w:lvl w:ilvl="8" w:tplc="BE0207CC" w:tentative="1">
      <w:start w:val="1"/>
      <w:numFmt w:val="lowerRoman"/>
      <w:lvlText w:val="%9."/>
      <w:lvlJc w:val="right"/>
      <w:pPr>
        <w:ind w:left="6120" w:hanging="180"/>
      </w:pPr>
    </w:lvl>
  </w:abstractNum>
  <w:abstractNum w:abstractNumId="102" w15:restartNumberingAfterBreak="0">
    <w:nsid w:val="5EDD116D"/>
    <w:multiLevelType w:val="hybridMultilevel"/>
    <w:tmpl w:val="04CEC68C"/>
    <w:lvl w:ilvl="0" w:tplc="58FAD5B4">
      <w:numFmt w:val="bullet"/>
      <w:lvlText w:val="•"/>
      <w:lvlJc w:val="left"/>
      <w:pPr>
        <w:ind w:left="720" w:hanging="360"/>
      </w:pPr>
      <w:rPr>
        <w:rFonts w:ascii="Arial" w:eastAsia="Times New Roman" w:hAnsi="Arial" w:cs="Arial" w:hint="default"/>
      </w:rPr>
    </w:lvl>
    <w:lvl w:ilvl="1" w:tplc="F044E11A" w:tentative="1">
      <w:start w:val="1"/>
      <w:numFmt w:val="bullet"/>
      <w:lvlText w:val="o"/>
      <w:lvlJc w:val="left"/>
      <w:pPr>
        <w:ind w:left="1440" w:hanging="360"/>
      </w:pPr>
      <w:rPr>
        <w:rFonts w:ascii="Courier New" w:hAnsi="Courier New" w:cs="Courier New" w:hint="default"/>
      </w:rPr>
    </w:lvl>
    <w:lvl w:ilvl="2" w:tplc="5C20A27C" w:tentative="1">
      <w:start w:val="1"/>
      <w:numFmt w:val="bullet"/>
      <w:lvlText w:val=""/>
      <w:lvlJc w:val="left"/>
      <w:pPr>
        <w:ind w:left="2160" w:hanging="360"/>
      </w:pPr>
      <w:rPr>
        <w:rFonts w:ascii="Wingdings" w:hAnsi="Wingdings" w:hint="default"/>
      </w:rPr>
    </w:lvl>
    <w:lvl w:ilvl="3" w:tplc="EF08B340" w:tentative="1">
      <w:start w:val="1"/>
      <w:numFmt w:val="bullet"/>
      <w:lvlText w:val=""/>
      <w:lvlJc w:val="left"/>
      <w:pPr>
        <w:ind w:left="2880" w:hanging="360"/>
      </w:pPr>
      <w:rPr>
        <w:rFonts w:ascii="Symbol" w:hAnsi="Symbol" w:hint="default"/>
      </w:rPr>
    </w:lvl>
    <w:lvl w:ilvl="4" w:tplc="26422D70" w:tentative="1">
      <w:start w:val="1"/>
      <w:numFmt w:val="bullet"/>
      <w:lvlText w:val="o"/>
      <w:lvlJc w:val="left"/>
      <w:pPr>
        <w:ind w:left="3600" w:hanging="360"/>
      </w:pPr>
      <w:rPr>
        <w:rFonts w:ascii="Courier New" w:hAnsi="Courier New" w:cs="Courier New" w:hint="default"/>
      </w:rPr>
    </w:lvl>
    <w:lvl w:ilvl="5" w:tplc="687CDE00" w:tentative="1">
      <w:start w:val="1"/>
      <w:numFmt w:val="bullet"/>
      <w:lvlText w:val=""/>
      <w:lvlJc w:val="left"/>
      <w:pPr>
        <w:ind w:left="4320" w:hanging="360"/>
      </w:pPr>
      <w:rPr>
        <w:rFonts w:ascii="Wingdings" w:hAnsi="Wingdings" w:hint="default"/>
      </w:rPr>
    </w:lvl>
    <w:lvl w:ilvl="6" w:tplc="6096C9DA" w:tentative="1">
      <w:start w:val="1"/>
      <w:numFmt w:val="bullet"/>
      <w:lvlText w:val=""/>
      <w:lvlJc w:val="left"/>
      <w:pPr>
        <w:ind w:left="5040" w:hanging="360"/>
      </w:pPr>
      <w:rPr>
        <w:rFonts w:ascii="Symbol" w:hAnsi="Symbol" w:hint="default"/>
      </w:rPr>
    </w:lvl>
    <w:lvl w:ilvl="7" w:tplc="2B12C0DE" w:tentative="1">
      <w:start w:val="1"/>
      <w:numFmt w:val="bullet"/>
      <w:lvlText w:val="o"/>
      <w:lvlJc w:val="left"/>
      <w:pPr>
        <w:ind w:left="5760" w:hanging="360"/>
      </w:pPr>
      <w:rPr>
        <w:rFonts w:ascii="Courier New" w:hAnsi="Courier New" w:cs="Courier New" w:hint="default"/>
      </w:rPr>
    </w:lvl>
    <w:lvl w:ilvl="8" w:tplc="AEDE172A" w:tentative="1">
      <w:start w:val="1"/>
      <w:numFmt w:val="bullet"/>
      <w:lvlText w:val=""/>
      <w:lvlJc w:val="left"/>
      <w:pPr>
        <w:ind w:left="6480" w:hanging="360"/>
      </w:pPr>
      <w:rPr>
        <w:rFonts w:ascii="Wingdings" w:hAnsi="Wingdings" w:hint="default"/>
      </w:rPr>
    </w:lvl>
  </w:abstractNum>
  <w:abstractNum w:abstractNumId="103" w15:restartNumberingAfterBreak="0">
    <w:nsid w:val="5F7856A4"/>
    <w:multiLevelType w:val="hybridMultilevel"/>
    <w:tmpl w:val="69882292"/>
    <w:lvl w:ilvl="0" w:tplc="277C22F4">
      <w:start w:val="1"/>
      <w:numFmt w:val="lowerLetter"/>
      <w:lvlText w:val="(%1)"/>
      <w:lvlJc w:val="left"/>
      <w:pPr>
        <w:ind w:left="360" w:hanging="360"/>
      </w:pPr>
      <w:rPr>
        <w:i w:val="0"/>
      </w:rPr>
    </w:lvl>
    <w:lvl w:ilvl="1" w:tplc="5406BD20">
      <w:start w:val="1"/>
      <w:numFmt w:val="lowerLetter"/>
      <w:lvlText w:val="%2."/>
      <w:lvlJc w:val="left"/>
      <w:pPr>
        <w:ind w:left="1080" w:hanging="360"/>
      </w:pPr>
    </w:lvl>
    <w:lvl w:ilvl="2" w:tplc="29BEC484">
      <w:start w:val="1"/>
      <w:numFmt w:val="lowerRoman"/>
      <w:lvlText w:val="%3."/>
      <w:lvlJc w:val="right"/>
      <w:pPr>
        <w:ind w:left="1800" w:hanging="180"/>
      </w:pPr>
    </w:lvl>
    <w:lvl w:ilvl="3" w:tplc="8B9C51DC">
      <w:start w:val="1"/>
      <w:numFmt w:val="decimal"/>
      <w:lvlText w:val="%4."/>
      <w:lvlJc w:val="left"/>
      <w:pPr>
        <w:ind w:left="2520" w:hanging="360"/>
      </w:pPr>
    </w:lvl>
    <w:lvl w:ilvl="4" w:tplc="D8887702">
      <w:start w:val="1"/>
      <w:numFmt w:val="lowerLetter"/>
      <w:lvlText w:val="%5."/>
      <w:lvlJc w:val="left"/>
      <w:pPr>
        <w:ind w:left="3240" w:hanging="360"/>
      </w:pPr>
    </w:lvl>
    <w:lvl w:ilvl="5" w:tplc="02C0E218">
      <w:start w:val="1"/>
      <w:numFmt w:val="lowerRoman"/>
      <w:lvlText w:val="%6."/>
      <w:lvlJc w:val="right"/>
      <w:pPr>
        <w:ind w:left="3960" w:hanging="180"/>
      </w:pPr>
    </w:lvl>
    <w:lvl w:ilvl="6" w:tplc="2CDC4862">
      <w:start w:val="1"/>
      <w:numFmt w:val="decimal"/>
      <w:lvlText w:val="%7."/>
      <w:lvlJc w:val="left"/>
      <w:pPr>
        <w:ind w:left="4680" w:hanging="360"/>
      </w:pPr>
    </w:lvl>
    <w:lvl w:ilvl="7" w:tplc="5CE06294">
      <w:start w:val="1"/>
      <w:numFmt w:val="lowerLetter"/>
      <w:lvlText w:val="%8."/>
      <w:lvlJc w:val="left"/>
      <w:pPr>
        <w:ind w:left="5400" w:hanging="360"/>
      </w:pPr>
    </w:lvl>
    <w:lvl w:ilvl="8" w:tplc="461C0CE4">
      <w:start w:val="1"/>
      <w:numFmt w:val="lowerRoman"/>
      <w:lvlText w:val="%9."/>
      <w:lvlJc w:val="right"/>
      <w:pPr>
        <w:ind w:left="6120" w:hanging="180"/>
      </w:pPr>
    </w:lvl>
  </w:abstractNum>
  <w:abstractNum w:abstractNumId="104" w15:restartNumberingAfterBreak="0">
    <w:nsid w:val="60073FE8"/>
    <w:multiLevelType w:val="hybridMultilevel"/>
    <w:tmpl w:val="D22EAB6E"/>
    <w:lvl w:ilvl="0" w:tplc="0C8842DC">
      <w:start w:val="1"/>
      <w:numFmt w:val="bullet"/>
      <w:lvlText w:val=""/>
      <w:lvlJc w:val="left"/>
      <w:pPr>
        <w:ind w:left="720" w:hanging="360"/>
      </w:pPr>
      <w:rPr>
        <w:rFonts w:ascii="Symbol" w:hAnsi="Symbol" w:hint="default"/>
        <w:color w:val="auto"/>
      </w:rPr>
    </w:lvl>
    <w:lvl w:ilvl="1" w:tplc="64B26B96">
      <w:start w:val="1"/>
      <w:numFmt w:val="bullet"/>
      <w:lvlText w:val="o"/>
      <w:lvlJc w:val="left"/>
      <w:pPr>
        <w:ind w:left="1440" w:hanging="360"/>
      </w:pPr>
      <w:rPr>
        <w:rFonts w:ascii="Courier New" w:hAnsi="Courier New" w:cs="Courier New" w:hint="default"/>
      </w:rPr>
    </w:lvl>
    <w:lvl w:ilvl="2" w:tplc="D06AE7EA">
      <w:start w:val="1"/>
      <w:numFmt w:val="bullet"/>
      <w:lvlText w:val=""/>
      <w:lvlJc w:val="left"/>
      <w:pPr>
        <w:ind w:left="2160" w:hanging="360"/>
      </w:pPr>
      <w:rPr>
        <w:rFonts w:ascii="Wingdings" w:hAnsi="Wingdings" w:hint="default"/>
      </w:rPr>
    </w:lvl>
    <w:lvl w:ilvl="3" w:tplc="C074CED0">
      <w:start w:val="1"/>
      <w:numFmt w:val="bullet"/>
      <w:lvlText w:val=""/>
      <w:lvlJc w:val="left"/>
      <w:pPr>
        <w:ind w:left="2880" w:hanging="360"/>
      </w:pPr>
      <w:rPr>
        <w:rFonts w:ascii="Symbol" w:hAnsi="Symbol" w:hint="default"/>
      </w:rPr>
    </w:lvl>
    <w:lvl w:ilvl="4" w:tplc="9C3E9982">
      <w:start w:val="1"/>
      <w:numFmt w:val="bullet"/>
      <w:lvlText w:val="o"/>
      <w:lvlJc w:val="left"/>
      <w:pPr>
        <w:ind w:left="3600" w:hanging="360"/>
      </w:pPr>
      <w:rPr>
        <w:rFonts w:ascii="Courier New" w:hAnsi="Courier New" w:cs="Courier New" w:hint="default"/>
      </w:rPr>
    </w:lvl>
    <w:lvl w:ilvl="5" w:tplc="8598ADAA">
      <w:start w:val="1"/>
      <w:numFmt w:val="bullet"/>
      <w:lvlText w:val=""/>
      <w:lvlJc w:val="left"/>
      <w:pPr>
        <w:ind w:left="4320" w:hanging="360"/>
      </w:pPr>
      <w:rPr>
        <w:rFonts w:ascii="Wingdings" w:hAnsi="Wingdings" w:hint="default"/>
      </w:rPr>
    </w:lvl>
    <w:lvl w:ilvl="6" w:tplc="E7705822">
      <w:start w:val="1"/>
      <w:numFmt w:val="bullet"/>
      <w:lvlText w:val=""/>
      <w:lvlJc w:val="left"/>
      <w:pPr>
        <w:ind w:left="5040" w:hanging="360"/>
      </w:pPr>
      <w:rPr>
        <w:rFonts w:ascii="Symbol" w:hAnsi="Symbol" w:hint="default"/>
      </w:rPr>
    </w:lvl>
    <w:lvl w:ilvl="7" w:tplc="88244A56">
      <w:start w:val="1"/>
      <w:numFmt w:val="bullet"/>
      <w:lvlText w:val="o"/>
      <w:lvlJc w:val="left"/>
      <w:pPr>
        <w:ind w:left="5760" w:hanging="360"/>
      </w:pPr>
      <w:rPr>
        <w:rFonts w:ascii="Courier New" w:hAnsi="Courier New" w:cs="Courier New" w:hint="default"/>
      </w:rPr>
    </w:lvl>
    <w:lvl w:ilvl="8" w:tplc="4F3AF8F2">
      <w:start w:val="1"/>
      <w:numFmt w:val="bullet"/>
      <w:lvlText w:val=""/>
      <w:lvlJc w:val="left"/>
      <w:pPr>
        <w:ind w:left="6480" w:hanging="360"/>
      </w:pPr>
      <w:rPr>
        <w:rFonts w:ascii="Wingdings" w:hAnsi="Wingdings" w:hint="default"/>
      </w:rPr>
    </w:lvl>
  </w:abstractNum>
  <w:abstractNum w:abstractNumId="105" w15:restartNumberingAfterBreak="0">
    <w:nsid w:val="60BC5F9A"/>
    <w:multiLevelType w:val="hybridMultilevel"/>
    <w:tmpl w:val="B0D204A8"/>
    <w:lvl w:ilvl="0" w:tplc="ABB827A0">
      <w:start w:val="2"/>
      <w:numFmt w:val="bullet"/>
      <w:lvlText w:val="-"/>
      <w:lvlJc w:val="left"/>
      <w:pPr>
        <w:ind w:left="1080" w:hanging="360"/>
      </w:pPr>
      <w:rPr>
        <w:rFonts w:ascii="Arial" w:eastAsia="Times New Roman" w:hAnsi="Arial" w:cs="Arial" w:hint="default"/>
      </w:rPr>
    </w:lvl>
    <w:lvl w:ilvl="1" w:tplc="A6D00BB2" w:tentative="1">
      <w:start w:val="1"/>
      <w:numFmt w:val="bullet"/>
      <w:lvlText w:val="o"/>
      <w:lvlJc w:val="left"/>
      <w:pPr>
        <w:ind w:left="1800" w:hanging="360"/>
      </w:pPr>
      <w:rPr>
        <w:rFonts w:ascii="Courier New" w:hAnsi="Courier New" w:cs="Courier New" w:hint="default"/>
      </w:rPr>
    </w:lvl>
    <w:lvl w:ilvl="2" w:tplc="0B086E82" w:tentative="1">
      <w:start w:val="1"/>
      <w:numFmt w:val="bullet"/>
      <w:lvlText w:val=""/>
      <w:lvlJc w:val="left"/>
      <w:pPr>
        <w:ind w:left="2520" w:hanging="360"/>
      </w:pPr>
      <w:rPr>
        <w:rFonts w:ascii="Wingdings" w:hAnsi="Wingdings" w:hint="default"/>
      </w:rPr>
    </w:lvl>
    <w:lvl w:ilvl="3" w:tplc="CE66A810" w:tentative="1">
      <w:start w:val="1"/>
      <w:numFmt w:val="bullet"/>
      <w:lvlText w:val=""/>
      <w:lvlJc w:val="left"/>
      <w:pPr>
        <w:ind w:left="3240" w:hanging="360"/>
      </w:pPr>
      <w:rPr>
        <w:rFonts w:ascii="Symbol" w:hAnsi="Symbol" w:hint="default"/>
      </w:rPr>
    </w:lvl>
    <w:lvl w:ilvl="4" w:tplc="1A74484C" w:tentative="1">
      <w:start w:val="1"/>
      <w:numFmt w:val="bullet"/>
      <w:lvlText w:val="o"/>
      <w:lvlJc w:val="left"/>
      <w:pPr>
        <w:ind w:left="3960" w:hanging="360"/>
      </w:pPr>
      <w:rPr>
        <w:rFonts w:ascii="Courier New" w:hAnsi="Courier New" w:cs="Courier New" w:hint="default"/>
      </w:rPr>
    </w:lvl>
    <w:lvl w:ilvl="5" w:tplc="09D20940" w:tentative="1">
      <w:start w:val="1"/>
      <w:numFmt w:val="bullet"/>
      <w:lvlText w:val=""/>
      <w:lvlJc w:val="left"/>
      <w:pPr>
        <w:ind w:left="4680" w:hanging="360"/>
      </w:pPr>
      <w:rPr>
        <w:rFonts w:ascii="Wingdings" w:hAnsi="Wingdings" w:hint="default"/>
      </w:rPr>
    </w:lvl>
    <w:lvl w:ilvl="6" w:tplc="207EE4BC" w:tentative="1">
      <w:start w:val="1"/>
      <w:numFmt w:val="bullet"/>
      <w:lvlText w:val=""/>
      <w:lvlJc w:val="left"/>
      <w:pPr>
        <w:ind w:left="5400" w:hanging="360"/>
      </w:pPr>
      <w:rPr>
        <w:rFonts w:ascii="Symbol" w:hAnsi="Symbol" w:hint="default"/>
      </w:rPr>
    </w:lvl>
    <w:lvl w:ilvl="7" w:tplc="9A4A9180" w:tentative="1">
      <w:start w:val="1"/>
      <w:numFmt w:val="bullet"/>
      <w:lvlText w:val="o"/>
      <w:lvlJc w:val="left"/>
      <w:pPr>
        <w:ind w:left="6120" w:hanging="360"/>
      </w:pPr>
      <w:rPr>
        <w:rFonts w:ascii="Courier New" w:hAnsi="Courier New" w:cs="Courier New" w:hint="default"/>
      </w:rPr>
    </w:lvl>
    <w:lvl w:ilvl="8" w:tplc="45D43096" w:tentative="1">
      <w:start w:val="1"/>
      <w:numFmt w:val="bullet"/>
      <w:lvlText w:val=""/>
      <w:lvlJc w:val="left"/>
      <w:pPr>
        <w:ind w:left="6840" w:hanging="360"/>
      </w:pPr>
      <w:rPr>
        <w:rFonts w:ascii="Wingdings" w:hAnsi="Wingdings" w:hint="default"/>
      </w:rPr>
    </w:lvl>
  </w:abstractNum>
  <w:abstractNum w:abstractNumId="106" w15:restartNumberingAfterBreak="0">
    <w:nsid w:val="60D950D8"/>
    <w:multiLevelType w:val="hybridMultilevel"/>
    <w:tmpl w:val="AA18EF34"/>
    <w:lvl w:ilvl="0" w:tplc="039853C4">
      <w:start w:val="1"/>
      <w:numFmt w:val="bullet"/>
      <w:lvlText w:val=""/>
      <w:lvlJc w:val="left"/>
      <w:pPr>
        <w:ind w:left="720" w:hanging="360"/>
      </w:pPr>
      <w:rPr>
        <w:rFonts w:ascii="Symbol" w:hAnsi="Symbol" w:hint="default"/>
        <w:color w:val="auto"/>
      </w:rPr>
    </w:lvl>
    <w:lvl w:ilvl="1" w:tplc="18668294">
      <w:start w:val="1"/>
      <w:numFmt w:val="bullet"/>
      <w:lvlText w:val="o"/>
      <w:lvlJc w:val="left"/>
      <w:pPr>
        <w:ind w:left="1440" w:hanging="360"/>
      </w:pPr>
      <w:rPr>
        <w:rFonts w:ascii="Courier New" w:hAnsi="Courier New" w:cs="Courier New" w:hint="default"/>
      </w:rPr>
    </w:lvl>
    <w:lvl w:ilvl="2" w:tplc="DEF0212C">
      <w:start w:val="1"/>
      <w:numFmt w:val="bullet"/>
      <w:lvlText w:val=""/>
      <w:lvlJc w:val="left"/>
      <w:pPr>
        <w:ind w:left="2160" w:hanging="360"/>
      </w:pPr>
      <w:rPr>
        <w:rFonts w:ascii="Wingdings" w:hAnsi="Wingdings" w:hint="default"/>
      </w:rPr>
    </w:lvl>
    <w:lvl w:ilvl="3" w:tplc="08248FFE">
      <w:start w:val="1"/>
      <w:numFmt w:val="bullet"/>
      <w:lvlText w:val=""/>
      <w:lvlJc w:val="left"/>
      <w:pPr>
        <w:ind w:left="2880" w:hanging="360"/>
      </w:pPr>
      <w:rPr>
        <w:rFonts w:ascii="Symbol" w:hAnsi="Symbol" w:hint="default"/>
      </w:rPr>
    </w:lvl>
    <w:lvl w:ilvl="4" w:tplc="933854A2">
      <w:start w:val="1"/>
      <w:numFmt w:val="bullet"/>
      <w:lvlText w:val="o"/>
      <w:lvlJc w:val="left"/>
      <w:pPr>
        <w:ind w:left="3600" w:hanging="360"/>
      </w:pPr>
      <w:rPr>
        <w:rFonts w:ascii="Courier New" w:hAnsi="Courier New" w:cs="Courier New" w:hint="default"/>
      </w:rPr>
    </w:lvl>
    <w:lvl w:ilvl="5" w:tplc="51246AD2">
      <w:start w:val="1"/>
      <w:numFmt w:val="bullet"/>
      <w:lvlText w:val=""/>
      <w:lvlJc w:val="left"/>
      <w:pPr>
        <w:ind w:left="4320" w:hanging="360"/>
      </w:pPr>
      <w:rPr>
        <w:rFonts w:ascii="Wingdings" w:hAnsi="Wingdings" w:hint="default"/>
      </w:rPr>
    </w:lvl>
    <w:lvl w:ilvl="6" w:tplc="6C124958">
      <w:start w:val="1"/>
      <w:numFmt w:val="bullet"/>
      <w:lvlText w:val=""/>
      <w:lvlJc w:val="left"/>
      <w:pPr>
        <w:ind w:left="5040" w:hanging="360"/>
      </w:pPr>
      <w:rPr>
        <w:rFonts w:ascii="Symbol" w:hAnsi="Symbol" w:hint="default"/>
      </w:rPr>
    </w:lvl>
    <w:lvl w:ilvl="7" w:tplc="1DA0C2C8">
      <w:start w:val="1"/>
      <w:numFmt w:val="bullet"/>
      <w:lvlText w:val="o"/>
      <w:lvlJc w:val="left"/>
      <w:pPr>
        <w:ind w:left="5760" w:hanging="360"/>
      </w:pPr>
      <w:rPr>
        <w:rFonts w:ascii="Courier New" w:hAnsi="Courier New" w:cs="Courier New" w:hint="default"/>
      </w:rPr>
    </w:lvl>
    <w:lvl w:ilvl="8" w:tplc="F41A17D2">
      <w:start w:val="1"/>
      <w:numFmt w:val="bullet"/>
      <w:lvlText w:val=""/>
      <w:lvlJc w:val="left"/>
      <w:pPr>
        <w:ind w:left="6480" w:hanging="360"/>
      </w:pPr>
      <w:rPr>
        <w:rFonts w:ascii="Wingdings" w:hAnsi="Wingdings" w:hint="default"/>
      </w:rPr>
    </w:lvl>
  </w:abstractNum>
  <w:abstractNum w:abstractNumId="107" w15:restartNumberingAfterBreak="0">
    <w:nsid w:val="61D50668"/>
    <w:multiLevelType w:val="hybridMultilevel"/>
    <w:tmpl w:val="C270F2BC"/>
    <w:lvl w:ilvl="0" w:tplc="86B42048">
      <w:start w:val="1"/>
      <w:numFmt w:val="bullet"/>
      <w:lvlText w:val=""/>
      <w:lvlJc w:val="left"/>
      <w:pPr>
        <w:ind w:left="360" w:hanging="360"/>
      </w:pPr>
      <w:rPr>
        <w:rFonts w:ascii="Symbol" w:hAnsi="Symbol" w:hint="default"/>
      </w:rPr>
    </w:lvl>
    <w:lvl w:ilvl="1" w:tplc="D35E4DB4">
      <w:start w:val="1"/>
      <w:numFmt w:val="bullet"/>
      <w:lvlText w:val="o"/>
      <w:lvlJc w:val="left"/>
      <w:pPr>
        <w:ind w:left="1080" w:hanging="360"/>
      </w:pPr>
      <w:rPr>
        <w:rFonts w:ascii="Courier New" w:hAnsi="Courier New" w:cs="Courier New" w:hint="default"/>
      </w:rPr>
    </w:lvl>
    <w:lvl w:ilvl="2" w:tplc="74905446">
      <w:start w:val="1"/>
      <w:numFmt w:val="bullet"/>
      <w:lvlText w:val=""/>
      <w:lvlJc w:val="left"/>
      <w:pPr>
        <w:ind w:left="1800" w:hanging="360"/>
      </w:pPr>
      <w:rPr>
        <w:rFonts w:ascii="Wingdings" w:hAnsi="Wingdings" w:hint="default"/>
      </w:rPr>
    </w:lvl>
    <w:lvl w:ilvl="3" w:tplc="7EE0EBE8">
      <w:start w:val="1"/>
      <w:numFmt w:val="bullet"/>
      <w:lvlText w:val=""/>
      <w:lvlJc w:val="left"/>
      <w:pPr>
        <w:ind w:left="2520" w:hanging="360"/>
      </w:pPr>
      <w:rPr>
        <w:rFonts w:ascii="Symbol" w:hAnsi="Symbol" w:hint="default"/>
      </w:rPr>
    </w:lvl>
    <w:lvl w:ilvl="4" w:tplc="ABCC3FB2">
      <w:start w:val="1"/>
      <w:numFmt w:val="bullet"/>
      <w:lvlText w:val="o"/>
      <w:lvlJc w:val="left"/>
      <w:pPr>
        <w:ind w:left="3240" w:hanging="360"/>
      </w:pPr>
      <w:rPr>
        <w:rFonts w:ascii="Courier New" w:hAnsi="Courier New" w:cs="Courier New" w:hint="default"/>
      </w:rPr>
    </w:lvl>
    <w:lvl w:ilvl="5" w:tplc="239C9130">
      <w:start w:val="1"/>
      <w:numFmt w:val="bullet"/>
      <w:lvlText w:val=""/>
      <w:lvlJc w:val="left"/>
      <w:pPr>
        <w:ind w:left="3960" w:hanging="360"/>
      </w:pPr>
      <w:rPr>
        <w:rFonts w:ascii="Wingdings" w:hAnsi="Wingdings" w:hint="default"/>
      </w:rPr>
    </w:lvl>
    <w:lvl w:ilvl="6" w:tplc="66485418">
      <w:start w:val="1"/>
      <w:numFmt w:val="bullet"/>
      <w:lvlText w:val=""/>
      <w:lvlJc w:val="left"/>
      <w:pPr>
        <w:ind w:left="4680" w:hanging="360"/>
      </w:pPr>
      <w:rPr>
        <w:rFonts w:ascii="Symbol" w:hAnsi="Symbol" w:hint="default"/>
      </w:rPr>
    </w:lvl>
    <w:lvl w:ilvl="7" w:tplc="B8AE797A">
      <w:start w:val="1"/>
      <w:numFmt w:val="bullet"/>
      <w:lvlText w:val="o"/>
      <w:lvlJc w:val="left"/>
      <w:pPr>
        <w:ind w:left="5400" w:hanging="360"/>
      </w:pPr>
      <w:rPr>
        <w:rFonts w:ascii="Courier New" w:hAnsi="Courier New" w:cs="Courier New" w:hint="default"/>
      </w:rPr>
    </w:lvl>
    <w:lvl w:ilvl="8" w:tplc="D1982E62">
      <w:start w:val="1"/>
      <w:numFmt w:val="bullet"/>
      <w:lvlText w:val=""/>
      <w:lvlJc w:val="left"/>
      <w:pPr>
        <w:ind w:left="6120" w:hanging="360"/>
      </w:pPr>
      <w:rPr>
        <w:rFonts w:ascii="Wingdings" w:hAnsi="Wingdings" w:hint="default"/>
      </w:rPr>
    </w:lvl>
  </w:abstractNum>
  <w:abstractNum w:abstractNumId="108" w15:restartNumberingAfterBreak="0">
    <w:nsid w:val="61D733EE"/>
    <w:multiLevelType w:val="hybridMultilevel"/>
    <w:tmpl w:val="22EC0412"/>
    <w:lvl w:ilvl="0" w:tplc="5DACE75E">
      <w:start w:val="1"/>
      <w:numFmt w:val="lowerLetter"/>
      <w:lvlText w:val="(%1)"/>
      <w:lvlJc w:val="left"/>
      <w:pPr>
        <w:ind w:left="720" w:hanging="360"/>
      </w:pPr>
      <w:rPr>
        <w:rFonts w:hint="default"/>
      </w:rPr>
    </w:lvl>
    <w:lvl w:ilvl="1" w:tplc="8B2238A0" w:tentative="1">
      <w:start w:val="1"/>
      <w:numFmt w:val="lowerLetter"/>
      <w:lvlText w:val="%2."/>
      <w:lvlJc w:val="left"/>
      <w:pPr>
        <w:ind w:left="1440" w:hanging="360"/>
      </w:pPr>
    </w:lvl>
    <w:lvl w:ilvl="2" w:tplc="E38C3640" w:tentative="1">
      <w:start w:val="1"/>
      <w:numFmt w:val="lowerRoman"/>
      <w:lvlText w:val="%3."/>
      <w:lvlJc w:val="right"/>
      <w:pPr>
        <w:ind w:left="2160" w:hanging="180"/>
      </w:pPr>
    </w:lvl>
    <w:lvl w:ilvl="3" w:tplc="88546724" w:tentative="1">
      <w:start w:val="1"/>
      <w:numFmt w:val="decimal"/>
      <w:lvlText w:val="%4."/>
      <w:lvlJc w:val="left"/>
      <w:pPr>
        <w:ind w:left="2880" w:hanging="360"/>
      </w:pPr>
    </w:lvl>
    <w:lvl w:ilvl="4" w:tplc="2D4660A8" w:tentative="1">
      <w:start w:val="1"/>
      <w:numFmt w:val="lowerLetter"/>
      <w:lvlText w:val="%5."/>
      <w:lvlJc w:val="left"/>
      <w:pPr>
        <w:ind w:left="3600" w:hanging="360"/>
      </w:pPr>
    </w:lvl>
    <w:lvl w:ilvl="5" w:tplc="A9EAF1C6" w:tentative="1">
      <w:start w:val="1"/>
      <w:numFmt w:val="lowerRoman"/>
      <w:lvlText w:val="%6."/>
      <w:lvlJc w:val="right"/>
      <w:pPr>
        <w:ind w:left="4320" w:hanging="180"/>
      </w:pPr>
    </w:lvl>
    <w:lvl w:ilvl="6" w:tplc="C384191C" w:tentative="1">
      <w:start w:val="1"/>
      <w:numFmt w:val="decimal"/>
      <w:lvlText w:val="%7."/>
      <w:lvlJc w:val="left"/>
      <w:pPr>
        <w:ind w:left="5040" w:hanging="360"/>
      </w:pPr>
    </w:lvl>
    <w:lvl w:ilvl="7" w:tplc="8A3A3D0C" w:tentative="1">
      <w:start w:val="1"/>
      <w:numFmt w:val="lowerLetter"/>
      <w:lvlText w:val="%8."/>
      <w:lvlJc w:val="left"/>
      <w:pPr>
        <w:ind w:left="5760" w:hanging="360"/>
      </w:pPr>
    </w:lvl>
    <w:lvl w:ilvl="8" w:tplc="6E40FCFE" w:tentative="1">
      <w:start w:val="1"/>
      <w:numFmt w:val="lowerRoman"/>
      <w:lvlText w:val="%9."/>
      <w:lvlJc w:val="right"/>
      <w:pPr>
        <w:ind w:left="6480" w:hanging="180"/>
      </w:pPr>
    </w:lvl>
  </w:abstractNum>
  <w:abstractNum w:abstractNumId="109" w15:restartNumberingAfterBreak="0">
    <w:nsid w:val="61DD3143"/>
    <w:multiLevelType w:val="hybridMultilevel"/>
    <w:tmpl w:val="ABBCCBCE"/>
    <w:lvl w:ilvl="0" w:tplc="D5721F0E">
      <w:start w:val="1"/>
      <w:numFmt w:val="lowerLetter"/>
      <w:lvlText w:val="(%1)"/>
      <w:lvlJc w:val="left"/>
      <w:pPr>
        <w:ind w:left="360" w:hanging="360"/>
      </w:pPr>
      <w:rPr>
        <w:rFonts w:ascii="Arial" w:eastAsia="Times New Roman" w:hAnsi="Arial" w:cs="Times New Roman"/>
        <w:i w:val="0"/>
      </w:rPr>
    </w:lvl>
    <w:lvl w:ilvl="1" w:tplc="E77E594C">
      <w:start w:val="1"/>
      <w:numFmt w:val="lowerLetter"/>
      <w:lvlText w:val="%2."/>
      <w:lvlJc w:val="left"/>
      <w:pPr>
        <w:ind w:left="1080" w:hanging="360"/>
      </w:pPr>
    </w:lvl>
    <w:lvl w:ilvl="2" w:tplc="0D76E7B4">
      <w:start w:val="1"/>
      <w:numFmt w:val="lowerRoman"/>
      <w:lvlText w:val="%3."/>
      <w:lvlJc w:val="right"/>
      <w:pPr>
        <w:ind w:left="1800" w:hanging="180"/>
      </w:pPr>
    </w:lvl>
    <w:lvl w:ilvl="3" w:tplc="62560DB4">
      <w:start w:val="1"/>
      <w:numFmt w:val="decimal"/>
      <w:lvlText w:val="%4."/>
      <w:lvlJc w:val="left"/>
      <w:pPr>
        <w:ind w:left="2520" w:hanging="360"/>
      </w:pPr>
    </w:lvl>
    <w:lvl w:ilvl="4" w:tplc="14CC32E6">
      <w:start w:val="1"/>
      <w:numFmt w:val="lowerLetter"/>
      <w:lvlText w:val="%5."/>
      <w:lvlJc w:val="left"/>
      <w:pPr>
        <w:ind w:left="3240" w:hanging="360"/>
      </w:pPr>
    </w:lvl>
    <w:lvl w:ilvl="5" w:tplc="243A0F3C">
      <w:start w:val="1"/>
      <w:numFmt w:val="lowerRoman"/>
      <w:lvlText w:val="%6."/>
      <w:lvlJc w:val="right"/>
      <w:pPr>
        <w:ind w:left="3960" w:hanging="180"/>
      </w:pPr>
    </w:lvl>
    <w:lvl w:ilvl="6" w:tplc="E4C27222">
      <w:start w:val="1"/>
      <w:numFmt w:val="decimal"/>
      <w:lvlText w:val="%7."/>
      <w:lvlJc w:val="left"/>
      <w:pPr>
        <w:ind w:left="4680" w:hanging="360"/>
      </w:pPr>
    </w:lvl>
    <w:lvl w:ilvl="7" w:tplc="0F5208B4">
      <w:start w:val="1"/>
      <w:numFmt w:val="lowerLetter"/>
      <w:lvlText w:val="%8."/>
      <w:lvlJc w:val="left"/>
      <w:pPr>
        <w:ind w:left="5400" w:hanging="360"/>
      </w:pPr>
    </w:lvl>
    <w:lvl w:ilvl="8" w:tplc="2CFE577E">
      <w:start w:val="1"/>
      <w:numFmt w:val="lowerRoman"/>
      <w:lvlText w:val="%9."/>
      <w:lvlJc w:val="right"/>
      <w:pPr>
        <w:ind w:left="6120" w:hanging="180"/>
      </w:pPr>
    </w:lvl>
  </w:abstractNum>
  <w:abstractNum w:abstractNumId="110" w15:restartNumberingAfterBreak="0">
    <w:nsid w:val="63894258"/>
    <w:multiLevelType w:val="singleLevel"/>
    <w:tmpl w:val="47108824"/>
    <w:lvl w:ilvl="0">
      <w:start w:val="1"/>
      <w:numFmt w:val="lowerLetter"/>
      <w:lvlText w:val="(%1)"/>
      <w:lvlJc w:val="left"/>
      <w:pPr>
        <w:ind w:left="360" w:hanging="360"/>
      </w:pPr>
      <w:rPr>
        <w:rFonts w:ascii="Arial" w:eastAsia="Times New Roman" w:hAnsi="Arial" w:cs="Times New Roman"/>
        <w:b w:val="0"/>
        <w:i w:val="0"/>
        <w:color w:val="000000"/>
        <w:sz w:val="16"/>
      </w:rPr>
    </w:lvl>
  </w:abstractNum>
  <w:abstractNum w:abstractNumId="111" w15:restartNumberingAfterBreak="0">
    <w:nsid w:val="64F54F7E"/>
    <w:multiLevelType w:val="hybridMultilevel"/>
    <w:tmpl w:val="B8DE9C92"/>
    <w:lvl w:ilvl="0" w:tplc="B87E5688">
      <w:start w:val="1"/>
      <w:numFmt w:val="bullet"/>
      <w:lvlText w:val=""/>
      <w:lvlJc w:val="left"/>
      <w:pPr>
        <w:ind w:left="720" w:hanging="360"/>
      </w:pPr>
      <w:rPr>
        <w:rFonts w:ascii="Symbol" w:hAnsi="Symbol" w:hint="default"/>
      </w:rPr>
    </w:lvl>
    <w:lvl w:ilvl="1" w:tplc="1D64E508">
      <w:start w:val="1"/>
      <w:numFmt w:val="bullet"/>
      <w:lvlText w:val="o"/>
      <w:lvlJc w:val="left"/>
      <w:pPr>
        <w:ind w:left="1440" w:hanging="360"/>
      </w:pPr>
      <w:rPr>
        <w:rFonts w:ascii="Courier New" w:hAnsi="Courier New" w:cs="Courier New" w:hint="default"/>
      </w:rPr>
    </w:lvl>
    <w:lvl w:ilvl="2" w:tplc="EA1857EE">
      <w:start w:val="1"/>
      <w:numFmt w:val="bullet"/>
      <w:lvlText w:val=""/>
      <w:lvlJc w:val="left"/>
      <w:pPr>
        <w:ind w:left="2160" w:hanging="360"/>
      </w:pPr>
      <w:rPr>
        <w:rFonts w:ascii="Wingdings" w:hAnsi="Wingdings" w:hint="default"/>
      </w:rPr>
    </w:lvl>
    <w:lvl w:ilvl="3" w:tplc="99EC7AB4">
      <w:start w:val="1"/>
      <w:numFmt w:val="bullet"/>
      <w:lvlText w:val=""/>
      <w:lvlJc w:val="left"/>
      <w:pPr>
        <w:ind w:left="2880" w:hanging="360"/>
      </w:pPr>
      <w:rPr>
        <w:rFonts w:ascii="Symbol" w:hAnsi="Symbol" w:hint="default"/>
      </w:rPr>
    </w:lvl>
    <w:lvl w:ilvl="4" w:tplc="ABF0C558">
      <w:start w:val="1"/>
      <w:numFmt w:val="bullet"/>
      <w:lvlText w:val="o"/>
      <w:lvlJc w:val="left"/>
      <w:pPr>
        <w:ind w:left="3600" w:hanging="360"/>
      </w:pPr>
      <w:rPr>
        <w:rFonts w:ascii="Courier New" w:hAnsi="Courier New" w:cs="Courier New" w:hint="default"/>
      </w:rPr>
    </w:lvl>
    <w:lvl w:ilvl="5" w:tplc="5B58966A">
      <w:start w:val="1"/>
      <w:numFmt w:val="bullet"/>
      <w:lvlText w:val=""/>
      <w:lvlJc w:val="left"/>
      <w:pPr>
        <w:ind w:left="4320" w:hanging="360"/>
      </w:pPr>
      <w:rPr>
        <w:rFonts w:ascii="Wingdings" w:hAnsi="Wingdings" w:hint="default"/>
      </w:rPr>
    </w:lvl>
    <w:lvl w:ilvl="6" w:tplc="F3A6B18C">
      <w:start w:val="1"/>
      <w:numFmt w:val="bullet"/>
      <w:lvlText w:val=""/>
      <w:lvlJc w:val="left"/>
      <w:pPr>
        <w:ind w:left="5040" w:hanging="360"/>
      </w:pPr>
      <w:rPr>
        <w:rFonts w:ascii="Symbol" w:hAnsi="Symbol" w:hint="default"/>
      </w:rPr>
    </w:lvl>
    <w:lvl w:ilvl="7" w:tplc="D1B6E696">
      <w:start w:val="1"/>
      <w:numFmt w:val="bullet"/>
      <w:lvlText w:val="o"/>
      <w:lvlJc w:val="left"/>
      <w:pPr>
        <w:ind w:left="5760" w:hanging="360"/>
      </w:pPr>
      <w:rPr>
        <w:rFonts w:ascii="Courier New" w:hAnsi="Courier New" w:cs="Courier New" w:hint="default"/>
      </w:rPr>
    </w:lvl>
    <w:lvl w:ilvl="8" w:tplc="94BA39D2">
      <w:start w:val="1"/>
      <w:numFmt w:val="bullet"/>
      <w:lvlText w:val=""/>
      <w:lvlJc w:val="left"/>
      <w:pPr>
        <w:ind w:left="6480" w:hanging="360"/>
      </w:pPr>
      <w:rPr>
        <w:rFonts w:ascii="Wingdings" w:hAnsi="Wingdings" w:hint="default"/>
      </w:rPr>
    </w:lvl>
  </w:abstractNum>
  <w:abstractNum w:abstractNumId="112" w15:restartNumberingAfterBreak="0">
    <w:nsid w:val="650A6E6D"/>
    <w:multiLevelType w:val="hybridMultilevel"/>
    <w:tmpl w:val="5A1AF91E"/>
    <w:lvl w:ilvl="0" w:tplc="79B2324A">
      <w:start w:val="1"/>
      <w:numFmt w:val="bullet"/>
      <w:lvlText w:val=""/>
      <w:lvlJc w:val="left"/>
      <w:pPr>
        <w:ind w:left="360" w:hanging="360"/>
      </w:pPr>
      <w:rPr>
        <w:rFonts w:ascii="Symbol" w:hAnsi="Symbol" w:hint="default"/>
      </w:rPr>
    </w:lvl>
    <w:lvl w:ilvl="1" w:tplc="C1E64316">
      <w:start w:val="1"/>
      <w:numFmt w:val="bullet"/>
      <w:lvlText w:val="o"/>
      <w:lvlJc w:val="left"/>
      <w:pPr>
        <w:ind w:left="1080" w:hanging="360"/>
      </w:pPr>
      <w:rPr>
        <w:rFonts w:ascii="Courier New" w:hAnsi="Courier New" w:cs="Courier New" w:hint="default"/>
      </w:rPr>
    </w:lvl>
    <w:lvl w:ilvl="2" w:tplc="0F883DF0">
      <w:start w:val="1"/>
      <w:numFmt w:val="bullet"/>
      <w:lvlText w:val=""/>
      <w:lvlJc w:val="left"/>
      <w:pPr>
        <w:ind w:left="1800" w:hanging="360"/>
      </w:pPr>
      <w:rPr>
        <w:rFonts w:ascii="Wingdings" w:hAnsi="Wingdings" w:hint="default"/>
      </w:rPr>
    </w:lvl>
    <w:lvl w:ilvl="3" w:tplc="97261D2C">
      <w:start w:val="1"/>
      <w:numFmt w:val="bullet"/>
      <w:lvlText w:val=""/>
      <w:lvlJc w:val="left"/>
      <w:pPr>
        <w:ind w:left="2520" w:hanging="360"/>
      </w:pPr>
      <w:rPr>
        <w:rFonts w:ascii="Symbol" w:hAnsi="Symbol" w:hint="default"/>
      </w:rPr>
    </w:lvl>
    <w:lvl w:ilvl="4" w:tplc="69D0D692">
      <w:start w:val="1"/>
      <w:numFmt w:val="bullet"/>
      <w:lvlText w:val="o"/>
      <w:lvlJc w:val="left"/>
      <w:pPr>
        <w:ind w:left="3240" w:hanging="360"/>
      </w:pPr>
      <w:rPr>
        <w:rFonts w:ascii="Courier New" w:hAnsi="Courier New" w:cs="Courier New" w:hint="default"/>
      </w:rPr>
    </w:lvl>
    <w:lvl w:ilvl="5" w:tplc="3376A658">
      <w:start w:val="1"/>
      <w:numFmt w:val="bullet"/>
      <w:lvlText w:val=""/>
      <w:lvlJc w:val="left"/>
      <w:pPr>
        <w:ind w:left="3960" w:hanging="360"/>
      </w:pPr>
      <w:rPr>
        <w:rFonts w:ascii="Wingdings" w:hAnsi="Wingdings" w:hint="default"/>
      </w:rPr>
    </w:lvl>
    <w:lvl w:ilvl="6" w:tplc="EC504C08">
      <w:start w:val="1"/>
      <w:numFmt w:val="bullet"/>
      <w:lvlText w:val=""/>
      <w:lvlJc w:val="left"/>
      <w:pPr>
        <w:ind w:left="4680" w:hanging="360"/>
      </w:pPr>
      <w:rPr>
        <w:rFonts w:ascii="Symbol" w:hAnsi="Symbol" w:hint="default"/>
      </w:rPr>
    </w:lvl>
    <w:lvl w:ilvl="7" w:tplc="61B6FC10">
      <w:start w:val="1"/>
      <w:numFmt w:val="bullet"/>
      <w:lvlText w:val="o"/>
      <w:lvlJc w:val="left"/>
      <w:pPr>
        <w:ind w:left="5400" w:hanging="360"/>
      </w:pPr>
      <w:rPr>
        <w:rFonts w:ascii="Courier New" w:hAnsi="Courier New" w:cs="Courier New" w:hint="default"/>
      </w:rPr>
    </w:lvl>
    <w:lvl w:ilvl="8" w:tplc="83DE75BC">
      <w:start w:val="1"/>
      <w:numFmt w:val="bullet"/>
      <w:lvlText w:val=""/>
      <w:lvlJc w:val="left"/>
      <w:pPr>
        <w:ind w:left="6120" w:hanging="360"/>
      </w:pPr>
      <w:rPr>
        <w:rFonts w:ascii="Wingdings" w:hAnsi="Wingdings" w:hint="default"/>
      </w:rPr>
    </w:lvl>
  </w:abstractNum>
  <w:abstractNum w:abstractNumId="113" w15:restartNumberingAfterBreak="0">
    <w:nsid w:val="6521683E"/>
    <w:multiLevelType w:val="hybridMultilevel"/>
    <w:tmpl w:val="40F090CE"/>
    <w:lvl w:ilvl="0" w:tplc="C8CA9456">
      <w:start w:val="1"/>
      <w:numFmt w:val="lowerLetter"/>
      <w:lvlText w:val="(%1)"/>
      <w:lvlJc w:val="left"/>
      <w:pPr>
        <w:ind w:left="360" w:hanging="360"/>
      </w:pPr>
      <w:rPr>
        <w:rFonts w:ascii="Arial" w:hAnsi="Arial" w:cs="Arial" w:hint="default"/>
        <w:i w:val="0"/>
        <w:sz w:val="16"/>
        <w:szCs w:val="18"/>
      </w:rPr>
    </w:lvl>
    <w:lvl w:ilvl="1" w:tplc="127C9B58">
      <w:start w:val="1"/>
      <w:numFmt w:val="lowerLetter"/>
      <w:lvlText w:val="%2."/>
      <w:lvlJc w:val="left"/>
      <w:pPr>
        <w:ind w:left="1080" w:hanging="360"/>
      </w:pPr>
    </w:lvl>
    <w:lvl w:ilvl="2" w:tplc="FD122BCC">
      <w:start w:val="1"/>
      <w:numFmt w:val="lowerRoman"/>
      <w:lvlText w:val="%3."/>
      <w:lvlJc w:val="right"/>
      <w:pPr>
        <w:ind w:left="1800" w:hanging="180"/>
      </w:pPr>
    </w:lvl>
    <w:lvl w:ilvl="3" w:tplc="9BE66B46">
      <w:start w:val="1"/>
      <w:numFmt w:val="decimal"/>
      <w:lvlText w:val="%4."/>
      <w:lvlJc w:val="left"/>
      <w:pPr>
        <w:ind w:left="2520" w:hanging="360"/>
      </w:pPr>
    </w:lvl>
    <w:lvl w:ilvl="4" w:tplc="B9CEBBFA">
      <w:start w:val="1"/>
      <w:numFmt w:val="lowerLetter"/>
      <w:lvlText w:val="%5."/>
      <w:lvlJc w:val="left"/>
      <w:pPr>
        <w:ind w:left="3240" w:hanging="360"/>
      </w:pPr>
    </w:lvl>
    <w:lvl w:ilvl="5" w:tplc="1FCC1812">
      <w:start w:val="1"/>
      <w:numFmt w:val="lowerRoman"/>
      <w:lvlText w:val="%6."/>
      <w:lvlJc w:val="right"/>
      <w:pPr>
        <w:ind w:left="3960" w:hanging="180"/>
      </w:pPr>
    </w:lvl>
    <w:lvl w:ilvl="6" w:tplc="C8BA2510">
      <w:start w:val="1"/>
      <w:numFmt w:val="decimal"/>
      <w:lvlText w:val="%7."/>
      <w:lvlJc w:val="left"/>
      <w:pPr>
        <w:ind w:left="4680" w:hanging="360"/>
      </w:pPr>
    </w:lvl>
    <w:lvl w:ilvl="7" w:tplc="562E8086">
      <w:start w:val="1"/>
      <w:numFmt w:val="lowerLetter"/>
      <w:lvlText w:val="%8."/>
      <w:lvlJc w:val="left"/>
      <w:pPr>
        <w:ind w:left="5400" w:hanging="360"/>
      </w:pPr>
    </w:lvl>
    <w:lvl w:ilvl="8" w:tplc="0AE06E38">
      <w:start w:val="1"/>
      <w:numFmt w:val="lowerRoman"/>
      <w:lvlText w:val="%9."/>
      <w:lvlJc w:val="right"/>
      <w:pPr>
        <w:ind w:left="6120" w:hanging="180"/>
      </w:pPr>
    </w:lvl>
  </w:abstractNum>
  <w:abstractNum w:abstractNumId="114" w15:restartNumberingAfterBreak="0">
    <w:nsid w:val="65640B0F"/>
    <w:multiLevelType w:val="hybridMultilevel"/>
    <w:tmpl w:val="C54C76B6"/>
    <w:lvl w:ilvl="0" w:tplc="4CE209CC">
      <w:start w:val="1"/>
      <w:numFmt w:val="bullet"/>
      <w:lvlText w:val=""/>
      <w:lvlJc w:val="left"/>
      <w:pPr>
        <w:ind w:left="170" w:hanging="170"/>
      </w:pPr>
      <w:rPr>
        <w:rFonts w:ascii="Symbol" w:hAnsi="Symbol" w:hint="default"/>
        <w:color w:val="auto"/>
        <w:sz w:val="16"/>
        <w:szCs w:val="16"/>
      </w:rPr>
    </w:lvl>
    <w:lvl w:ilvl="1" w:tplc="291ECB88">
      <w:start w:val="1"/>
      <w:numFmt w:val="bullet"/>
      <w:lvlText w:val="o"/>
      <w:lvlJc w:val="left"/>
      <w:pPr>
        <w:ind w:left="340" w:hanging="198"/>
      </w:pPr>
      <w:rPr>
        <w:rFonts w:ascii="Courier New" w:hAnsi="Courier New" w:cs="Times New Roman" w:hint="default"/>
      </w:rPr>
    </w:lvl>
    <w:lvl w:ilvl="2" w:tplc="DC3EB320">
      <w:start w:val="1"/>
      <w:numFmt w:val="bullet"/>
      <w:lvlText w:val=""/>
      <w:lvlJc w:val="left"/>
      <w:pPr>
        <w:ind w:left="2160" w:hanging="360"/>
      </w:pPr>
      <w:rPr>
        <w:rFonts w:ascii="Wingdings" w:hAnsi="Wingdings" w:hint="default"/>
      </w:rPr>
    </w:lvl>
    <w:lvl w:ilvl="3" w:tplc="8A4C171A">
      <w:start w:val="1"/>
      <w:numFmt w:val="bullet"/>
      <w:lvlText w:val=""/>
      <w:lvlJc w:val="left"/>
      <w:pPr>
        <w:ind w:left="2880" w:hanging="360"/>
      </w:pPr>
      <w:rPr>
        <w:rFonts w:ascii="Symbol" w:hAnsi="Symbol" w:hint="default"/>
      </w:rPr>
    </w:lvl>
    <w:lvl w:ilvl="4" w:tplc="BD7A7038">
      <w:start w:val="1"/>
      <w:numFmt w:val="bullet"/>
      <w:lvlText w:val="o"/>
      <w:lvlJc w:val="left"/>
      <w:pPr>
        <w:ind w:left="3600" w:hanging="360"/>
      </w:pPr>
      <w:rPr>
        <w:rFonts w:ascii="Courier New" w:hAnsi="Courier New" w:cs="Courier New" w:hint="default"/>
      </w:rPr>
    </w:lvl>
    <w:lvl w:ilvl="5" w:tplc="B6E6032E">
      <w:start w:val="1"/>
      <w:numFmt w:val="bullet"/>
      <w:lvlText w:val=""/>
      <w:lvlJc w:val="left"/>
      <w:pPr>
        <w:ind w:left="4320" w:hanging="360"/>
      </w:pPr>
      <w:rPr>
        <w:rFonts w:ascii="Wingdings" w:hAnsi="Wingdings" w:hint="default"/>
      </w:rPr>
    </w:lvl>
    <w:lvl w:ilvl="6" w:tplc="5F98D192">
      <w:start w:val="1"/>
      <w:numFmt w:val="bullet"/>
      <w:lvlText w:val=""/>
      <w:lvlJc w:val="left"/>
      <w:pPr>
        <w:ind w:left="5040" w:hanging="360"/>
      </w:pPr>
      <w:rPr>
        <w:rFonts w:ascii="Symbol" w:hAnsi="Symbol" w:hint="default"/>
      </w:rPr>
    </w:lvl>
    <w:lvl w:ilvl="7" w:tplc="86BEBC84">
      <w:start w:val="1"/>
      <w:numFmt w:val="bullet"/>
      <w:lvlText w:val="o"/>
      <w:lvlJc w:val="left"/>
      <w:pPr>
        <w:ind w:left="5760" w:hanging="360"/>
      </w:pPr>
      <w:rPr>
        <w:rFonts w:ascii="Courier New" w:hAnsi="Courier New" w:cs="Courier New" w:hint="default"/>
      </w:rPr>
    </w:lvl>
    <w:lvl w:ilvl="8" w:tplc="AF001ABE">
      <w:start w:val="1"/>
      <w:numFmt w:val="bullet"/>
      <w:lvlText w:val=""/>
      <w:lvlJc w:val="left"/>
      <w:pPr>
        <w:ind w:left="6480" w:hanging="360"/>
      </w:pPr>
      <w:rPr>
        <w:rFonts w:ascii="Wingdings" w:hAnsi="Wingdings" w:hint="default"/>
      </w:rPr>
    </w:lvl>
  </w:abstractNum>
  <w:abstractNum w:abstractNumId="115" w15:restartNumberingAfterBreak="0">
    <w:nsid w:val="664A6B15"/>
    <w:multiLevelType w:val="hybridMultilevel"/>
    <w:tmpl w:val="9E14FC3C"/>
    <w:lvl w:ilvl="0" w:tplc="BB4617B0">
      <w:start w:val="1"/>
      <w:numFmt w:val="bullet"/>
      <w:lvlText w:val=""/>
      <w:lvlJc w:val="left"/>
      <w:pPr>
        <w:ind w:left="2216" w:hanging="720"/>
      </w:pPr>
      <w:rPr>
        <w:rFonts w:ascii="Symbol" w:hAnsi="Symbol" w:hint="default"/>
      </w:rPr>
    </w:lvl>
    <w:lvl w:ilvl="1" w:tplc="398CFF58" w:tentative="1">
      <w:start w:val="1"/>
      <w:numFmt w:val="bullet"/>
      <w:lvlText w:val="o"/>
      <w:lvlJc w:val="left"/>
      <w:pPr>
        <w:ind w:left="2576" w:hanging="360"/>
      </w:pPr>
      <w:rPr>
        <w:rFonts w:ascii="Courier New" w:hAnsi="Courier New" w:cs="Courier New" w:hint="default"/>
      </w:rPr>
    </w:lvl>
    <w:lvl w:ilvl="2" w:tplc="823834A0" w:tentative="1">
      <w:start w:val="1"/>
      <w:numFmt w:val="bullet"/>
      <w:lvlText w:val=""/>
      <w:lvlJc w:val="left"/>
      <w:pPr>
        <w:ind w:left="3296" w:hanging="360"/>
      </w:pPr>
      <w:rPr>
        <w:rFonts w:ascii="Wingdings" w:hAnsi="Wingdings" w:hint="default"/>
      </w:rPr>
    </w:lvl>
    <w:lvl w:ilvl="3" w:tplc="492C751A" w:tentative="1">
      <w:start w:val="1"/>
      <w:numFmt w:val="bullet"/>
      <w:lvlText w:val=""/>
      <w:lvlJc w:val="left"/>
      <w:pPr>
        <w:ind w:left="4016" w:hanging="360"/>
      </w:pPr>
      <w:rPr>
        <w:rFonts w:ascii="Symbol" w:hAnsi="Symbol" w:hint="default"/>
      </w:rPr>
    </w:lvl>
    <w:lvl w:ilvl="4" w:tplc="F4F27584" w:tentative="1">
      <w:start w:val="1"/>
      <w:numFmt w:val="bullet"/>
      <w:lvlText w:val="o"/>
      <w:lvlJc w:val="left"/>
      <w:pPr>
        <w:ind w:left="4736" w:hanging="360"/>
      </w:pPr>
      <w:rPr>
        <w:rFonts w:ascii="Courier New" w:hAnsi="Courier New" w:cs="Courier New" w:hint="default"/>
      </w:rPr>
    </w:lvl>
    <w:lvl w:ilvl="5" w:tplc="D5EC7BF6" w:tentative="1">
      <w:start w:val="1"/>
      <w:numFmt w:val="bullet"/>
      <w:lvlText w:val=""/>
      <w:lvlJc w:val="left"/>
      <w:pPr>
        <w:ind w:left="5456" w:hanging="360"/>
      </w:pPr>
      <w:rPr>
        <w:rFonts w:ascii="Wingdings" w:hAnsi="Wingdings" w:hint="default"/>
      </w:rPr>
    </w:lvl>
    <w:lvl w:ilvl="6" w:tplc="0DBE8CE8" w:tentative="1">
      <w:start w:val="1"/>
      <w:numFmt w:val="bullet"/>
      <w:lvlText w:val=""/>
      <w:lvlJc w:val="left"/>
      <w:pPr>
        <w:ind w:left="6176" w:hanging="360"/>
      </w:pPr>
      <w:rPr>
        <w:rFonts w:ascii="Symbol" w:hAnsi="Symbol" w:hint="default"/>
      </w:rPr>
    </w:lvl>
    <w:lvl w:ilvl="7" w:tplc="3BB02952" w:tentative="1">
      <w:start w:val="1"/>
      <w:numFmt w:val="bullet"/>
      <w:lvlText w:val="o"/>
      <w:lvlJc w:val="left"/>
      <w:pPr>
        <w:ind w:left="6896" w:hanging="360"/>
      </w:pPr>
      <w:rPr>
        <w:rFonts w:ascii="Courier New" w:hAnsi="Courier New" w:cs="Courier New" w:hint="default"/>
      </w:rPr>
    </w:lvl>
    <w:lvl w:ilvl="8" w:tplc="B69E57F6" w:tentative="1">
      <w:start w:val="1"/>
      <w:numFmt w:val="bullet"/>
      <w:lvlText w:val=""/>
      <w:lvlJc w:val="left"/>
      <w:pPr>
        <w:ind w:left="7616" w:hanging="360"/>
      </w:pPr>
      <w:rPr>
        <w:rFonts w:ascii="Wingdings" w:hAnsi="Wingdings" w:hint="default"/>
      </w:rPr>
    </w:lvl>
  </w:abstractNum>
  <w:abstractNum w:abstractNumId="116" w15:restartNumberingAfterBreak="0">
    <w:nsid w:val="66977EA1"/>
    <w:multiLevelType w:val="hybridMultilevel"/>
    <w:tmpl w:val="B28C1314"/>
    <w:lvl w:ilvl="0" w:tplc="1CC655E8">
      <w:start w:val="1"/>
      <w:numFmt w:val="lowerLetter"/>
      <w:lvlText w:val="(%1)"/>
      <w:lvlJc w:val="left"/>
      <w:pPr>
        <w:tabs>
          <w:tab w:val="num" w:pos="397"/>
        </w:tabs>
        <w:ind w:left="397" w:hanging="397"/>
      </w:pPr>
      <w:rPr>
        <w:rFonts w:ascii="Arial" w:hAnsi="Arial" w:cs="Times New Roman" w:hint="default"/>
        <w:b w:val="0"/>
        <w:i w:val="0"/>
        <w:sz w:val="16"/>
        <w:szCs w:val="16"/>
      </w:rPr>
    </w:lvl>
    <w:lvl w:ilvl="1" w:tplc="F8CC7370">
      <w:start w:val="1"/>
      <w:numFmt w:val="lowerLetter"/>
      <w:lvlText w:val="%2."/>
      <w:lvlJc w:val="left"/>
      <w:pPr>
        <w:ind w:left="1440" w:hanging="360"/>
      </w:pPr>
    </w:lvl>
    <w:lvl w:ilvl="2" w:tplc="2032A686">
      <w:start w:val="1"/>
      <w:numFmt w:val="lowerRoman"/>
      <w:lvlText w:val="%3."/>
      <w:lvlJc w:val="right"/>
      <w:pPr>
        <w:ind w:left="2160" w:hanging="180"/>
      </w:pPr>
    </w:lvl>
    <w:lvl w:ilvl="3" w:tplc="0F465212">
      <w:start w:val="1"/>
      <w:numFmt w:val="decimal"/>
      <w:lvlText w:val="%4."/>
      <w:lvlJc w:val="left"/>
      <w:pPr>
        <w:ind w:left="2880" w:hanging="360"/>
      </w:pPr>
    </w:lvl>
    <w:lvl w:ilvl="4" w:tplc="0FA6D042">
      <w:start w:val="1"/>
      <w:numFmt w:val="lowerLetter"/>
      <w:lvlText w:val="%5."/>
      <w:lvlJc w:val="left"/>
      <w:pPr>
        <w:ind w:left="3600" w:hanging="360"/>
      </w:pPr>
    </w:lvl>
    <w:lvl w:ilvl="5" w:tplc="20945228">
      <w:start w:val="1"/>
      <w:numFmt w:val="lowerRoman"/>
      <w:lvlText w:val="%6."/>
      <w:lvlJc w:val="right"/>
      <w:pPr>
        <w:ind w:left="4320" w:hanging="180"/>
      </w:pPr>
    </w:lvl>
    <w:lvl w:ilvl="6" w:tplc="5B0C6E46">
      <w:start w:val="1"/>
      <w:numFmt w:val="decimal"/>
      <w:lvlText w:val="%7."/>
      <w:lvlJc w:val="left"/>
      <w:pPr>
        <w:ind w:left="5040" w:hanging="360"/>
      </w:pPr>
    </w:lvl>
    <w:lvl w:ilvl="7" w:tplc="E140E356">
      <w:start w:val="1"/>
      <w:numFmt w:val="lowerLetter"/>
      <w:lvlText w:val="%8."/>
      <w:lvlJc w:val="left"/>
      <w:pPr>
        <w:ind w:left="5760" w:hanging="360"/>
      </w:pPr>
    </w:lvl>
    <w:lvl w:ilvl="8" w:tplc="0836456C">
      <w:start w:val="1"/>
      <w:numFmt w:val="lowerRoman"/>
      <w:lvlText w:val="%9."/>
      <w:lvlJc w:val="right"/>
      <w:pPr>
        <w:ind w:left="6480" w:hanging="180"/>
      </w:pPr>
    </w:lvl>
  </w:abstractNum>
  <w:abstractNum w:abstractNumId="117" w15:restartNumberingAfterBreak="0">
    <w:nsid w:val="66EF3AF7"/>
    <w:multiLevelType w:val="hybridMultilevel"/>
    <w:tmpl w:val="C15C5BA6"/>
    <w:lvl w:ilvl="0" w:tplc="8A4C2756">
      <w:start w:val="1"/>
      <w:numFmt w:val="lowerLetter"/>
      <w:lvlText w:val="(%1)"/>
      <w:lvlJc w:val="left"/>
      <w:pPr>
        <w:ind w:left="360" w:hanging="360"/>
      </w:pPr>
      <w:rPr>
        <w:rFonts w:ascii="Arial" w:hAnsi="Arial" w:cs="Times New Roman" w:hint="default"/>
        <w:b w:val="0"/>
        <w:i w:val="0"/>
        <w:sz w:val="16"/>
        <w:szCs w:val="16"/>
      </w:rPr>
    </w:lvl>
    <w:lvl w:ilvl="1" w:tplc="66A8C01A" w:tentative="1">
      <w:start w:val="1"/>
      <w:numFmt w:val="lowerLetter"/>
      <w:lvlText w:val="%2."/>
      <w:lvlJc w:val="left"/>
      <w:pPr>
        <w:ind w:left="1080" w:hanging="360"/>
      </w:pPr>
    </w:lvl>
    <w:lvl w:ilvl="2" w:tplc="462C90BE" w:tentative="1">
      <w:start w:val="1"/>
      <w:numFmt w:val="lowerRoman"/>
      <w:lvlText w:val="%3."/>
      <w:lvlJc w:val="right"/>
      <w:pPr>
        <w:ind w:left="1800" w:hanging="180"/>
      </w:pPr>
    </w:lvl>
    <w:lvl w:ilvl="3" w:tplc="5B228FEA" w:tentative="1">
      <w:start w:val="1"/>
      <w:numFmt w:val="decimal"/>
      <w:lvlText w:val="%4."/>
      <w:lvlJc w:val="left"/>
      <w:pPr>
        <w:ind w:left="2520" w:hanging="360"/>
      </w:pPr>
    </w:lvl>
    <w:lvl w:ilvl="4" w:tplc="8B1A0120" w:tentative="1">
      <w:start w:val="1"/>
      <w:numFmt w:val="lowerLetter"/>
      <w:lvlText w:val="%5."/>
      <w:lvlJc w:val="left"/>
      <w:pPr>
        <w:ind w:left="3240" w:hanging="360"/>
      </w:pPr>
    </w:lvl>
    <w:lvl w:ilvl="5" w:tplc="74BA9D5A" w:tentative="1">
      <w:start w:val="1"/>
      <w:numFmt w:val="lowerRoman"/>
      <w:lvlText w:val="%6."/>
      <w:lvlJc w:val="right"/>
      <w:pPr>
        <w:ind w:left="3960" w:hanging="180"/>
      </w:pPr>
    </w:lvl>
    <w:lvl w:ilvl="6" w:tplc="0F9EA6E0" w:tentative="1">
      <w:start w:val="1"/>
      <w:numFmt w:val="decimal"/>
      <w:lvlText w:val="%7."/>
      <w:lvlJc w:val="left"/>
      <w:pPr>
        <w:ind w:left="4680" w:hanging="360"/>
      </w:pPr>
    </w:lvl>
    <w:lvl w:ilvl="7" w:tplc="7D1E4D4C" w:tentative="1">
      <w:start w:val="1"/>
      <w:numFmt w:val="lowerLetter"/>
      <w:lvlText w:val="%8."/>
      <w:lvlJc w:val="left"/>
      <w:pPr>
        <w:ind w:left="5400" w:hanging="360"/>
      </w:pPr>
    </w:lvl>
    <w:lvl w:ilvl="8" w:tplc="DF08F990" w:tentative="1">
      <w:start w:val="1"/>
      <w:numFmt w:val="lowerRoman"/>
      <w:lvlText w:val="%9."/>
      <w:lvlJc w:val="right"/>
      <w:pPr>
        <w:ind w:left="6120" w:hanging="180"/>
      </w:pPr>
    </w:lvl>
  </w:abstractNum>
  <w:abstractNum w:abstractNumId="118" w15:restartNumberingAfterBreak="0">
    <w:nsid w:val="676097AF"/>
    <w:multiLevelType w:val="hybridMultilevel"/>
    <w:tmpl w:val="CA187830"/>
    <w:lvl w:ilvl="0" w:tplc="037E78F4">
      <w:start w:val="1"/>
      <w:numFmt w:val="lowerLetter"/>
      <w:lvlText w:val="(%1)"/>
      <w:lvlJc w:val="left"/>
      <w:pPr>
        <w:ind w:left="360" w:hanging="360"/>
      </w:pPr>
      <w:rPr>
        <w:rFonts w:ascii="Arial" w:hAnsi="Arial" w:cs="Arial" w:hint="default"/>
        <w:i w:val="0"/>
        <w:sz w:val="16"/>
        <w:szCs w:val="16"/>
      </w:rPr>
    </w:lvl>
    <w:lvl w:ilvl="1" w:tplc="96581BA6">
      <w:start w:val="1"/>
      <w:numFmt w:val="lowerLetter"/>
      <w:lvlText w:val="%2."/>
      <w:lvlJc w:val="left"/>
      <w:pPr>
        <w:ind w:left="1080" w:hanging="360"/>
      </w:pPr>
    </w:lvl>
    <w:lvl w:ilvl="2" w:tplc="0588A4B0">
      <w:start w:val="1"/>
      <w:numFmt w:val="lowerRoman"/>
      <w:lvlText w:val="%3."/>
      <w:lvlJc w:val="right"/>
      <w:pPr>
        <w:ind w:left="1800" w:hanging="180"/>
      </w:pPr>
    </w:lvl>
    <w:lvl w:ilvl="3" w:tplc="60FE45CE">
      <w:start w:val="1"/>
      <w:numFmt w:val="decimal"/>
      <w:lvlText w:val="%4."/>
      <w:lvlJc w:val="left"/>
      <w:pPr>
        <w:ind w:left="2520" w:hanging="360"/>
      </w:pPr>
    </w:lvl>
    <w:lvl w:ilvl="4" w:tplc="66BA81BC">
      <w:start w:val="1"/>
      <w:numFmt w:val="lowerLetter"/>
      <w:lvlText w:val="%5."/>
      <w:lvlJc w:val="left"/>
      <w:pPr>
        <w:ind w:left="3240" w:hanging="360"/>
      </w:pPr>
    </w:lvl>
    <w:lvl w:ilvl="5" w:tplc="9AE4A518">
      <w:start w:val="1"/>
      <w:numFmt w:val="lowerRoman"/>
      <w:lvlText w:val="%6."/>
      <w:lvlJc w:val="right"/>
      <w:pPr>
        <w:ind w:left="3960" w:hanging="180"/>
      </w:pPr>
    </w:lvl>
    <w:lvl w:ilvl="6" w:tplc="F9FE1C26">
      <w:start w:val="1"/>
      <w:numFmt w:val="decimal"/>
      <w:lvlText w:val="%7."/>
      <w:lvlJc w:val="left"/>
      <w:pPr>
        <w:ind w:left="4680" w:hanging="360"/>
      </w:pPr>
    </w:lvl>
    <w:lvl w:ilvl="7" w:tplc="3E14F5B2">
      <w:start w:val="1"/>
      <w:numFmt w:val="lowerLetter"/>
      <w:lvlText w:val="%8."/>
      <w:lvlJc w:val="left"/>
      <w:pPr>
        <w:ind w:left="5400" w:hanging="360"/>
      </w:pPr>
    </w:lvl>
    <w:lvl w:ilvl="8" w:tplc="73D41F68">
      <w:start w:val="1"/>
      <w:numFmt w:val="lowerRoman"/>
      <w:lvlText w:val="%9."/>
      <w:lvlJc w:val="right"/>
      <w:pPr>
        <w:ind w:left="6120" w:hanging="180"/>
      </w:pPr>
    </w:lvl>
  </w:abstractNum>
  <w:abstractNum w:abstractNumId="119" w15:restartNumberingAfterBreak="0">
    <w:nsid w:val="681B2BBA"/>
    <w:multiLevelType w:val="multilevel"/>
    <w:tmpl w:val="E54882A4"/>
    <w:lvl w:ilvl="0">
      <w:start w:val="1"/>
      <w:numFmt w:val="lowerLetter"/>
      <w:lvlText w:val="(%1)"/>
      <w:lvlJc w:val="left"/>
      <w:pPr>
        <w:ind w:left="360" w:hanging="360"/>
      </w:pPr>
      <w:rPr>
        <w:rFonts w:hint="default"/>
        <w:b w:val="0"/>
        <w:i w:val="0"/>
        <w:color w:val="000000"/>
        <w:sz w:val="16"/>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0" w15:restartNumberingAfterBreak="0">
    <w:nsid w:val="685F58D7"/>
    <w:multiLevelType w:val="hybridMultilevel"/>
    <w:tmpl w:val="BD6A371C"/>
    <w:lvl w:ilvl="0" w:tplc="9BB01FDA">
      <w:start w:val="1"/>
      <w:numFmt w:val="bullet"/>
      <w:lvlText w:val=""/>
      <w:lvlJc w:val="left"/>
      <w:pPr>
        <w:ind w:left="899" w:hanging="360"/>
      </w:pPr>
      <w:rPr>
        <w:rFonts w:ascii="Symbol" w:hAnsi="Symbol" w:hint="default"/>
      </w:rPr>
    </w:lvl>
    <w:lvl w:ilvl="1" w:tplc="6624DFF0">
      <w:start w:val="1"/>
      <w:numFmt w:val="bullet"/>
      <w:lvlText w:val="o"/>
      <w:lvlJc w:val="left"/>
      <w:pPr>
        <w:ind w:left="1619" w:hanging="360"/>
      </w:pPr>
      <w:rPr>
        <w:rFonts w:ascii="Courier New" w:hAnsi="Courier New" w:cs="Courier New" w:hint="default"/>
      </w:rPr>
    </w:lvl>
    <w:lvl w:ilvl="2" w:tplc="B220EA50">
      <w:start w:val="1"/>
      <w:numFmt w:val="bullet"/>
      <w:lvlText w:val=""/>
      <w:lvlJc w:val="left"/>
      <w:pPr>
        <w:ind w:left="2339" w:hanging="360"/>
      </w:pPr>
      <w:rPr>
        <w:rFonts w:ascii="Wingdings" w:hAnsi="Wingdings" w:hint="default"/>
      </w:rPr>
    </w:lvl>
    <w:lvl w:ilvl="3" w:tplc="B2E6AAF4">
      <w:start w:val="1"/>
      <w:numFmt w:val="bullet"/>
      <w:lvlText w:val=""/>
      <w:lvlJc w:val="left"/>
      <w:pPr>
        <w:ind w:left="3059" w:hanging="360"/>
      </w:pPr>
      <w:rPr>
        <w:rFonts w:ascii="Symbol" w:hAnsi="Symbol" w:hint="default"/>
      </w:rPr>
    </w:lvl>
    <w:lvl w:ilvl="4" w:tplc="F79E15EA">
      <w:start w:val="1"/>
      <w:numFmt w:val="bullet"/>
      <w:lvlText w:val="o"/>
      <w:lvlJc w:val="left"/>
      <w:pPr>
        <w:ind w:left="3779" w:hanging="360"/>
      </w:pPr>
      <w:rPr>
        <w:rFonts w:ascii="Courier New" w:hAnsi="Courier New" w:cs="Courier New" w:hint="default"/>
      </w:rPr>
    </w:lvl>
    <w:lvl w:ilvl="5" w:tplc="F9721790">
      <w:start w:val="1"/>
      <w:numFmt w:val="bullet"/>
      <w:lvlText w:val=""/>
      <w:lvlJc w:val="left"/>
      <w:pPr>
        <w:ind w:left="4499" w:hanging="360"/>
      </w:pPr>
      <w:rPr>
        <w:rFonts w:ascii="Wingdings" w:hAnsi="Wingdings" w:hint="default"/>
      </w:rPr>
    </w:lvl>
    <w:lvl w:ilvl="6" w:tplc="6C126680">
      <w:start w:val="1"/>
      <w:numFmt w:val="bullet"/>
      <w:lvlText w:val=""/>
      <w:lvlJc w:val="left"/>
      <w:pPr>
        <w:ind w:left="5219" w:hanging="360"/>
      </w:pPr>
      <w:rPr>
        <w:rFonts w:ascii="Symbol" w:hAnsi="Symbol" w:hint="default"/>
      </w:rPr>
    </w:lvl>
    <w:lvl w:ilvl="7" w:tplc="D0EEBB62">
      <w:start w:val="1"/>
      <w:numFmt w:val="bullet"/>
      <w:lvlText w:val="o"/>
      <w:lvlJc w:val="left"/>
      <w:pPr>
        <w:ind w:left="5939" w:hanging="360"/>
      </w:pPr>
      <w:rPr>
        <w:rFonts w:ascii="Courier New" w:hAnsi="Courier New" w:cs="Courier New" w:hint="default"/>
      </w:rPr>
    </w:lvl>
    <w:lvl w:ilvl="8" w:tplc="225C76F6">
      <w:start w:val="1"/>
      <w:numFmt w:val="bullet"/>
      <w:lvlText w:val=""/>
      <w:lvlJc w:val="left"/>
      <w:pPr>
        <w:ind w:left="6659" w:hanging="360"/>
      </w:pPr>
      <w:rPr>
        <w:rFonts w:ascii="Wingdings" w:hAnsi="Wingdings" w:hint="default"/>
      </w:rPr>
    </w:lvl>
  </w:abstractNum>
  <w:abstractNum w:abstractNumId="121" w15:restartNumberingAfterBreak="0">
    <w:nsid w:val="69D7A8C0"/>
    <w:multiLevelType w:val="singleLevel"/>
    <w:tmpl w:val="892AAAB4"/>
    <w:lvl w:ilvl="0">
      <w:start w:val="1"/>
      <w:numFmt w:val="lowerLetter"/>
      <w:lvlText w:val="(%1)"/>
      <w:lvlJc w:val="left"/>
      <w:pPr>
        <w:ind w:left="720" w:hanging="360"/>
      </w:pPr>
      <w:rPr>
        <w:rFonts w:hint="default"/>
        <w:b w:val="0"/>
        <w:i w:val="0"/>
        <w:color w:val="000000"/>
        <w:sz w:val="16"/>
        <w:vertAlign w:val="baseline"/>
      </w:rPr>
    </w:lvl>
  </w:abstractNum>
  <w:abstractNum w:abstractNumId="122" w15:restartNumberingAfterBreak="0">
    <w:nsid w:val="6D5B0C01"/>
    <w:multiLevelType w:val="hybridMultilevel"/>
    <w:tmpl w:val="30268732"/>
    <w:lvl w:ilvl="0" w:tplc="657EE768">
      <w:start w:val="1"/>
      <w:numFmt w:val="lowerLetter"/>
      <w:lvlText w:val="(%1)"/>
      <w:lvlJc w:val="left"/>
      <w:pPr>
        <w:ind w:left="360" w:hanging="360"/>
      </w:pPr>
      <w:rPr>
        <w:rFonts w:hint="default"/>
      </w:rPr>
    </w:lvl>
    <w:lvl w:ilvl="1" w:tplc="09D23AEC" w:tentative="1">
      <w:start w:val="1"/>
      <w:numFmt w:val="lowerLetter"/>
      <w:lvlText w:val="%2."/>
      <w:lvlJc w:val="left"/>
      <w:pPr>
        <w:ind w:left="1080" w:hanging="360"/>
      </w:pPr>
    </w:lvl>
    <w:lvl w:ilvl="2" w:tplc="BFBE50CC" w:tentative="1">
      <w:start w:val="1"/>
      <w:numFmt w:val="lowerRoman"/>
      <w:lvlText w:val="%3."/>
      <w:lvlJc w:val="right"/>
      <w:pPr>
        <w:ind w:left="1800" w:hanging="180"/>
      </w:pPr>
    </w:lvl>
    <w:lvl w:ilvl="3" w:tplc="F9002CCE" w:tentative="1">
      <w:start w:val="1"/>
      <w:numFmt w:val="decimal"/>
      <w:lvlText w:val="%4."/>
      <w:lvlJc w:val="left"/>
      <w:pPr>
        <w:ind w:left="2520" w:hanging="360"/>
      </w:pPr>
    </w:lvl>
    <w:lvl w:ilvl="4" w:tplc="62D89204" w:tentative="1">
      <w:start w:val="1"/>
      <w:numFmt w:val="lowerLetter"/>
      <w:lvlText w:val="%5."/>
      <w:lvlJc w:val="left"/>
      <w:pPr>
        <w:ind w:left="3240" w:hanging="360"/>
      </w:pPr>
    </w:lvl>
    <w:lvl w:ilvl="5" w:tplc="2968C3D6" w:tentative="1">
      <w:start w:val="1"/>
      <w:numFmt w:val="lowerRoman"/>
      <w:lvlText w:val="%6."/>
      <w:lvlJc w:val="right"/>
      <w:pPr>
        <w:ind w:left="3960" w:hanging="180"/>
      </w:pPr>
    </w:lvl>
    <w:lvl w:ilvl="6" w:tplc="94DAF744" w:tentative="1">
      <w:start w:val="1"/>
      <w:numFmt w:val="decimal"/>
      <w:lvlText w:val="%7."/>
      <w:lvlJc w:val="left"/>
      <w:pPr>
        <w:ind w:left="4680" w:hanging="360"/>
      </w:pPr>
    </w:lvl>
    <w:lvl w:ilvl="7" w:tplc="76EEF2BA" w:tentative="1">
      <w:start w:val="1"/>
      <w:numFmt w:val="lowerLetter"/>
      <w:lvlText w:val="%8."/>
      <w:lvlJc w:val="left"/>
      <w:pPr>
        <w:ind w:left="5400" w:hanging="360"/>
      </w:pPr>
    </w:lvl>
    <w:lvl w:ilvl="8" w:tplc="5F28F0B6" w:tentative="1">
      <w:start w:val="1"/>
      <w:numFmt w:val="lowerRoman"/>
      <w:lvlText w:val="%9."/>
      <w:lvlJc w:val="right"/>
      <w:pPr>
        <w:ind w:left="6120" w:hanging="180"/>
      </w:pPr>
    </w:lvl>
  </w:abstractNum>
  <w:abstractNum w:abstractNumId="123" w15:restartNumberingAfterBreak="0">
    <w:nsid w:val="6E185CA8"/>
    <w:multiLevelType w:val="hybridMultilevel"/>
    <w:tmpl w:val="B7F816CC"/>
    <w:lvl w:ilvl="0" w:tplc="7250FA7E">
      <w:start w:val="1"/>
      <w:numFmt w:val="bullet"/>
      <w:lvlText w:val=""/>
      <w:lvlJc w:val="left"/>
      <w:pPr>
        <w:ind w:left="720" w:hanging="360"/>
      </w:pPr>
      <w:rPr>
        <w:rFonts w:ascii="Symbol" w:hAnsi="Symbol" w:hint="default"/>
        <w:color w:val="auto"/>
      </w:rPr>
    </w:lvl>
    <w:lvl w:ilvl="1" w:tplc="4282C864">
      <w:start w:val="1"/>
      <w:numFmt w:val="bullet"/>
      <w:lvlText w:val="o"/>
      <w:lvlJc w:val="left"/>
      <w:pPr>
        <w:ind w:left="1440" w:hanging="360"/>
      </w:pPr>
      <w:rPr>
        <w:rFonts w:ascii="Courier New" w:hAnsi="Courier New" w:cs="Courier New" w:hint="default"/>
      </w:rPr>
    </w:lvl>
    <w:lvl w:ilvl="2" w:tplc="5A5E4D70">
      <w:start w:val="1"/>
      <w:numFmt w:val="bullet"/>
      <w:lvlText w:val=""/>
      <w:lvlJc w:val="left"/>
      <w:pPr>
        <w:ind w:left="2160" w:hanging="360"/>
      </w:pPr>
      <w:rPr>
        <w:rFonts w:ascii="Wingdings" w:hAnsi="Wingdings" w:hint="default"/>
      </w:rPr>
    </w:lvl>
    <w:lvl w:ilvl="3" w:tplc="22882830">
      <w:start w:val="1"/>
      <w:numFmt w:val="bullet"/>
      <w:lvlText w:val=""/>
      <w:lvlJc w:val="left"/>
      <w:pPr>
        <w:ind w:left="2880" w:hanging="360"/>
      </w:pPr>
      <w:rPr>
        <w:rFonts w:ascii="Symbol" w:hAnsi="Symbol" w:hint="default"/>
      </w:rPr>
    </w:lvl>
    <w:lvl w:ilvl="4" w:tplc="2FC86278">
      <w:start w:val="1"/>
      <w:numFmt w:val="bullet"/>
      <w:lvlText w:val="o"/>
      <w:lvlJc w:val="left"/>
      <w:pPr>
        <w:ind w:left="3600" w:hanging="360"/>
      </w:pPr>
      <w:rPr>
        <w:rFonts w:ascii="Courier New" w:hAnsi="Courier New" w:cs="Courier New" w:hint="default"/>
      </w:rPr>
    </w:lvl>
    <w:lvl w:ilvl="5" w:tplc="2358287C">
      <w:start w:val="1"/>
      <w:numFmt w:val="bullet"/>
      <w:lvlText w:val=""/>
      <w:lvlJc w:val="left"/>
      <w:pPr>
        <w:ind w:left="4320" w:hanging="360"/>
      </w:pPr>
      <w:rPr>
        <w:rFonts w:ascii="Wingdings" w:hAnsi="Wingdings" w:hint="default"/>
      </w:rPr>
    </w:lvl>
    <w:lvl w:ilvl="6" w:tplc="695E9288">
      <w:start w:val="1"/>
      <w:numFmt w:val="bullet"/>
      <w:lvlText w:val=""/>
      <w:lvlJc w:val="left"/>
      <w:pPr>
        <w:ind w:left="5040" w:hanging="360"/>
      </w:pPr>
      <w:rPr>
        <w:rFonts w:ascii="Symbol" w:hAnsi="Symbol" w:hint="default"/>
      </w:rPr>
    </w:lvl>
    <w:lvl w:ilvl="7" w:tplc="DBB089D6">
      <w:start w:val="1"/>
      <w:numFmt w:val="bullet"/>
      <w:lvlText w:val="o"/>
      <w:lvlJc w:val="left"/>
      <w:pPr>
        <w:ind w:left="5760" w:hanging="360"/>
      </w:pPr>
      <w:rPr>
        <w:rFonts w:ascii="Courier New" w:hAnsi="Courier New" w:cs="Courier New" w:hint="default"/>
      </w:rPr>
    </w:lvl>
    <w:lvl w:ilvl="8" w:tplc="6B728610">
      <w:start w:val="1"/>
      <w:numFmt w:val="bullet"/>
      <w:lvlText w:val=""/>
      <w:lvlJc w:val="left"/>
      <w:pPr>
        <w:ind w:left="6480" w:hanging="360"/>
      </w:pPr>
      <w:rPr>
        <w:rFonts w:ascii="Wingdings" w:hAnsi="Wingdings" w:hint="default"/>
      </w:rPr>
    </w:lvl>
  </w:abstractNum>
  <w:abstractNum w:abstractNumId="124" w15:restartNumberingAfterBreak="0">
    <w:nsid w:val="6E6736D0"/>
    <w:multiLevelType w:val="hybridMultilevel"/>
    <w:tmpl w:val="A282DD18"/>
    <w:lvl w:ilvl="0" w:tplc="078862DA">
      <w:start w:val="1"/>
      <w:numFmt w:val="bullet"/>
      <w:lvlText w:val=""/>
      <w:lvlJc w:val="left"/>
      <w:pPr>
        <w:ind w:left="720" w:hanging="360"/>
      </w:pPr>
      <w:rPr>
        <w:rFonts w:ascii="Symbol" w:hAnsi="Symbol" w:hint="default"/>
      </w:rPr>
    </w:lvl>
    <w:lvl w:ilvl="1" w:tplc="DD0CAAB2">
      <w:start w:val="1"/>
      <w:numFmt w:val="bullet"/>
      <w:lvlText w:val="o"/>
      <w:lvlJc w:val="left"/>
      <w:pPr>
        <w:ind w:left="1440" w:hanging="360"/>
      </w:pPr>
      <w:rPr>
        <w:rFonts w:ascii="Courier New" w:hAnsi="Courier New" w:cs="Courier New" w:hint="default"/>
      </w:rPr>
    </w:lvl>
    <w:lvl w:ilvl="2" w:tplc="F69EC8CA">
      <w:start w:val="1"/>
      <w:numFmt w:val="bullet"/>
      <w:lvlText w:val=""/>
      <w:lvlJc w:val="left"/>
      <w:pPr>
        <w:ind w:left="2160" w:hanging="360"/>
      </w:pPr>
      <w:rPr>
        <w:rFonts w:ascii="Wingdings" w:hAnsi="Wingdings" w:hint="default"/>
      </w:rPr>
    </w:lvl>
    <w:lvl w:ilvl="3" w:tplc="887A2BE6">
      <w:start w:val="1"/>
      <w:numFmt w:val="bullet"/>
      <w:lvlText w:val=""/>
      <w:lvlJc w:val="left"/>
      <w:pPr>
        <w:ind w:left="2880" w:hanging="360"/>
      </w:pPr>
      <w:rPr>
        <w:rFonts w:ascii="Symbol" w:hAnsi="Symbol" w:hint="default"/>
      </w:rPr>
    </w:lvl>
    <w:lvl w:ilvl="4" w:tplc="7B54E7E6">
      <w:start w:val="1"/>
      <w:numFmt w:val="bullet"/>
      <w:lvlText w:val="o"/>
      <w:lvlJc w:val="left"/>
      <w:pPr>
        <w:ind w:left="3600" w:hanging="360"/>
      </w:pPr>
      <w:rPr>
        <w:rFonts w:ascii="Courier New" w:hAnsi="Courier New" w:cs="Courier New" w:hint="default"/>
      </w:rPr>
    </w:lvl>
    <w:lvl w:ilvl="5" w:tplc="FEC0D34E">
      <w:start w:val="1"/>
      <w:numFmt w:val="bullet"/>
      <w:lvlText w:val=""/>
      <w:lvlJc w:val="left"/>
      <w:pPr>
        <w:ind w:left="4320" w:hanging="360"/>
      </w:pPr>
      <w:rPr>
        <w:rFonts w:ascii="Wingdings" w:hAnsi="Wingdings" w:hint="default"/>
      </w:rPr>
    </w:lvl>
    <w:lvl w:ilvl="6" w:tplc="DCC65418">
      <w:start w:val="1"/>
      <w:numFmt w:val="bullet"/>
      <w:lvlText w:val=""/>
      <w:lvlJc w:val="left"/>
      <w:pPr>
        <w:ind w:left="5040" w:hanging="360"/>
      </w:pPr>
      <w:rPr>
        <w:rFonts w:ascii="Symbol" w:hAnsi="Symbol" w:hint="default"/>
      </w:rPr>
    </w:lvl>
    <w:lvl w:ilvl="7" w:tplc="A852E6A8">
      <w:start w:val="1"/>
      <w:numFmt w:val="bullet"/>
      <w:lvlText w:val="o"/>
      <w:lvlJc w:val="left"/>
      <w:pPr>
        <w:ind w:left="5760" w:hanging="360"/>
      </w:pPr>
      <w:rPr>
        <w:rFonts w:ascii="Courier New" w:hAnsi="Courier New" w:cs="Courier New" w:hint="default"/>
      </w:rPr>
    </w:lvl>
    <w:lvl w:ilvl="8" w:tplc="72A6A6D8">
      <w:start w:val="1"/>
      <w:numFmt w:val="bullet"/>
      <w:lvlText w:val=""/>
      <w:lvlJc w:val="left"/>
      <w:pPr>
        <w:ind w:left="6480" w:hanging="360"/>
      </w:pPr>
      <w:rPr>
        <w:rFonts w:ascii="Wingdings" w:hAnsi="Wingdings" w:hint="default"/>
      </w:rPr>
    </w:lvl>
  </w:abstractNum>
  <w:abstractNum w:abstractNumId="125" w15:restartNumberingAfterBreak="0">
    <w:nsid w:val="6E80641A"/>
    <w:multiLevelType w:val="multilevel"/>
    <w:tmpl w:val="EF6E1616"/>
    <w:lvl w:ilvl="0">
      <w:numFmt w:val="bullet"/>
      <w:lvlText w:val="·"/>
      <w:lvlJc w:val="left"/>
      <w:pPr>
        <w:tabs>
          <w:tab w:val="left" w:pos="216"/>
        </w:tabs>
        <w:ind w:left="0" w:firstLine="0"/>
      </w:pPr>
      <w:rPr>
        <w:rFonts w:ascii="Symbol" w:eastAsia="Symbol" w:hAnsi="Symbol"/>
        <w:color w:val="000000"/>
        <w:spacing w:val="0"/>
        <w:w w:val="100"/>
        <w:sz w:val="20"/>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7027965B"/>
    <w:multiLevelType w:val="hybridMultilevel"/>
    <w:tmpl w:val="AA18EF34"/>
    <w:lvl w:ilvl="0" w:tplc="D32A72A2">
      <w:start w:val="1"/>
      <w:numFmt w:val="bullet"/>
      <w:lvlText w:val=""/>
      <w:lvlJc w:val="left"/>
      <w:pPr>
        <w:ind w:left="720" w:hanging="360"/>
      </w:pPr>
      <w:rPr>
        <w:rFonts w:ascii="Symbol" w:hAnsi="Symbol" w:hint="default"/>
        <w:color w:val="auto"/>
      </w:rPr>
    </w:lvl>
    <w:lvl w:ilvl="1" w:tplc="29949B74">
      <w:start w:val="1"/>
      <w:numFmt w:val="bullet"/>
      <w:lvlText w:val="o"/>
      <w:lvlJc w:val="left"/>
      <w:pPr>
        <w:ind w:left="1440" w:hanging="360"/>
      </w:pPr>
      <w:rPr>
        <w:rFonts w:ascii="Courier New" w:hAnsi="Courier New" w:cs="Courier New" w:hint="default"/>
      </w:rPr>
    </w:lvl>
    <w:lvl w:ilvl="2" w:tplc="3B023D28">
      <w:start w:val="1"/>
      <w:numFmt w:val="bullet"/>
      <w:lvlText w:val=""/>
      <w:lvlJc w:val="left"/>
      <w:pPr>
        <w:ind w:left="2160" w:hanging="360"/>
      </w:pPr>
      <w:rPr>
        <w:rFonts w:ascii="Wingdings" w:hAnsi="Wingdings" w:hint="default"/>
      </w:rPr>
    </w:lvl>
    <w:lvl w:ilvl="3" w:tplc="B7802FB8">
      <w:start w:val="1"/>
      <w:numFmt w:val="bullet"/>
      <w:lvlText w:val=""/>
      <w:lvlJc w:val="left"/>
      <w:pPr>
        <w:ind w:left="2880" w:hanging="360"/>
      </w:pPr>
      <w:rPr>
        <w:rFonts w:ascii="Symbol" w:hAnsi="Symbol" w:hint="default"/>
      </w:rPr>
    </w:lvl>
    <w:lvl w:ilvl="4" w:tplc="1A324374">
      <w:start w:val="1"/>
      <w:numFmt w:val="bullet"/>
      <w:lvlText w:val="o"/>
      <w:lvlJc w:val="left"/>
      <w:pPr>
        <w:ind w:left="3600" w:hanging="360"/>
      </w:pPr>
      <w:rPr>
        <w:rFonts w:ascii="Courier New" w:hAnsi="Courier New" w:cs="Courier New" w:hint="default"/>
      </w:rPr>
    </w:lvl>
    <w:lvl w:ilvl="5" w:tplc="43AC71E4">
      <w:start w:val="1"/>
      <w:numFmt w:val="bullet"/>
      <w:lvlText w:val=""/>
      <w:lvlJc w:val="left"/>
      <w:pPr>
        <w:ind w:left="4320" w:hanging="360"/>
      </w:pPr>
      <w:rPr>
        <w:rFonts w:ascii="Wingdings" w:hAnsi="Wingdings" w:hint="default"/>
      </w:rPr>
    </w:lvl>
    <w:lvl w:ilvl="6" w:tplc="A58686AE">
      <w:start w:val="1"/>
      <w:numFmt w:val="bullet"/>
      <w:lvlText w:val=""/>
      <w:lvlJc w:val="left"/>
      <w:pPr>
        <w:ind w:left="5040" w:hanging="360"/>
      </w:pPr>
      <w:rPr>
        <w:rFonts w:ascii="Symbol" w:hAnsi="Symbol" w:hint="default"/>
      </w:rPr>
    </w:lvl>
    <w:lvl w:ilvl="7" w:tplc="4D4017DC">
      <w:start w:val="1"/>
      <w:numFmt w:val="bullet"/>
      <w:lvlText w:val="o"/>
      <w:lvlJc w:val="left"/>
      <w:pPr>
        <w:ind w:left="5760" w:hanging="360"/>
      </w:pPr>
      <w:rPr>
        <w:rFonts w:ascii="Courier New" w:hAnsi="Courier New" w:cs="Courier New" w:hint="default"/>
      </w:rPr>
    </w:lvl>
    <w:lvl w:ilvl="8" w:tplc="D258F570">
      <w:start w:val="1"/>
      <w:numFmt w:val="bullet"/>
      <w:lvlText w:val=""/>
      <w:lvlJc w:val="left"/>
      <w:pPr>
        <w:ind w:left="6480" w:hanging="360"/>
      </w:pPr>
      <w:rPr>
        <w:rFonts w:ascii="Wingdings" w:hAnsi="Wingdings" w:hint="default"/>
      </w:rPr>
    </w:lvl>
  </w:abstractNum>
  <w:abstractNum w:abstractNumId="127" w15:restartNumberingAfterBreak="0">
    <w:nsid w:val="71460669"/>
    <w:multiLevelType w:val="hybridMultilevel"/>
    <w:tmpl w:val="CA187830"/>
    <w:lvl w:ilvl="0" w:tplc="3872E6F2">
      <w:start w:val="1"/>
      <w:numFmt w:val="lowerLetter"/>
      <w:lvlText w:val="(%1)"/>
      <w:lvlJc w:val="left"/>
      <w:pPr>
        <w:ind w:left="360" w:hanging="360"/>
      </w:pPr>
      <w:rPr>
        <w:rFonts w:ascii="Arial" w:hAnsi="Arial" w:cs="Arial" w:hint="default"/>
        <w:i w:val="0"/>
        <w:sz w:val="16"/>
        <w:szCs w:val="16"/>
      </w:rPr>
    </w:lvl>
    <w:lvl w:ilvl="1" w:tplc="62221058">
      <w:start w:val="1"/>
      <w:numFmt w:val="lowerLetter"/>
      <w:lvlText w:val="%2."/>
      <w:lvlJc w:val="left"/>
      <w:pPr>
        <w:ind w:left="1080" w:hanging="360"/>
      </w:pPr>
    </w:lvl>
    <w:lvl w:ilvl="2" w:tplc="81A2CB8E">
      <w:start w:val="1"/>
      <w:numFmt w:val="lowerRoman"/>
      <w:lvlText w:val="%3."/>
      <w:lvlJc w:val="right"/>
      <w:pPr>
        <w:ind w:left="1800" w:hanging="180"/>
      </w:pPr>
    </w:lvl>
    <w:lvl w:ilvl="3" w:tplc="A4AE1CA6">
      <w:start w:val="1"/>
      <w:numFmt w:val="decimal"/>
      <w:lvlText w:val="%4."/>
      <w:lvlJc w:val="left"/>
      <w:pPr>
        <w:ind w:left="2520" w:hanging="360"/>
      </w:pPr>
    </w:lvl>
    <w:lvl w:ilvl="4" w:tplc="5C72D4E6">
      <w:start w:val="1"/>
      <w:numFmt w:val="lowerLetter"/>
      <w:lvlText w:val="%5."/>
      <w:lvlJc w:val="left"/>
      <w:pPr>
        <w:ind w:left="3240" w:hanging="360"/>
      </w:pPr>
    </w:lvl>
    <w:lvl w:ilvl="5" w:tplc="F1AAAC70">
      <w:start w:val="1"/>
      <w:numFmt w:val="lowerRoman"/>
      <w:lvlText w:val="%6."/>
      <w:lvlJc w:val="right"/>
      <w:pPr>
        <w:ind w:left="3960" w:hanging="180"/>
      </w:pPr>
    </w:lvl>
    <w:lvl w:ilvl="6" w:tplc="E60CDFDE">
      <w:start w:val="1"/>
      <w:numFmt w:val="decimal"/>
      <w:lvlText w:val="%7."/>
      <w:lvlJc w:val="left"/>
      <w:pPr>
        <w:ind w:left="4680" w:hanging="360"/>
      </w:pPr>
    </w:lvl>
    <w:lvl w:ilvl="7" w:tplc="FB50CD5C">
      <w:start w:val="1"/>
      <w:numFmt w:val="lowerLetter"/>
      <w:lvlText w:val="%8."/>
      <w:lvlJc w:val="left"/>
      <w:pPr>
        <w:ind w:left="5400" w:hanging="360"/>
      </w:pPr>
    </w:lvl>
    <w:lvl w:ilvl="8" w:tplc="EBF83C94">
      <w:start w:val="1"/>
      <w:numFmt w:val="lowerRoman"/>
      <w:lvlText w:val="%9."/>
      <w:lvlJc w:val="right"/>
      <w:pPr>
        <w:ind w:left="6120" w:hanging="180"/>
      </w:pPr>
    </w:lvl>
  </w:abstractNum>
  <w:abstractNum w:abstractNumId="128" w15:restartNumberingAfterBreak="0">
    <w:nsid w:val="71C448AF"/>
    <w:multiLevelType w:val="multilevel"/>
    <w:tmpl w:val="39C6D0A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2627622"/>
    <w:multiLevelType w:val="hybridMultilevel"/>
    <w:tmpl w:val="C13A85D2"/>
    <w:lvl w:ilvl="0" w:tplc="9D0E89B2">
      <w:start w:val="1"/>
      <w:numFmt w:val="lowerLetter"/>
      <w:lvlText w:val="(%1)"/>
      <w:lvlJc w:val="left"/>
      <w:pPr>
        <w:ind w:left="360" w:hanging="360"/>
      </w:pPr>
      <w:rPr>
        <w:rFonts w:hint="default"/>
      </w:rPr>
    </w:lvl>
    <w:lvl w:ilvl="1" w:tplc="F496BE42" w:tentative="1">
      <w:start w:val="1"/>
      <w:numFmt w:val="lowerLetter"/>
      <w:lvlText w:val="%2."/>
      <w:lvlJc w:val="left"/>
      <w:pPr>
        <w:ind w:left="1080" w:hanging="360"/>
      </w:pPr>
    </w:lvl>
    <w:lvl w:ilvl="2" w:tplc="5B72AC44" w:tentative="1">
      <w:start w:val="1"/>
      <w:numFmt w:val="lowerRoman"/>
      <w:lvlText w:val="%3."/>
      <w:lvlJc w:val="right"/>
      <w:pPr>
        <w:ind w:left="1800" w:hanging="180"/>
      </w:pPr>
    </w:lvl>
    <w:lvl w:ilvl="3" w:tplc="2A904A72" w:tentative="1">
      <w:start w:val="1"/>
      <w:numFmt w:val="decimal"/>
      <w:lvlText w:val="%4."/>
      <w:lvlJc w:val="left"/>
      <w:pPr>
        <w:ind w:left="2520" w:hanging="360"/>
      </w:pPr>
    </w:lvl>
    <w:lvl w:ilvl="4" w:tplc="633EE136" w:tentative="1">
      <w:start w:val="1"/>
      <w:numFmt w:val="lowerLetter"/>
      <w:lvlText w:val="%5."/>
      <w:lvlJc w:val="left"/>
      <w:pPr>
        <w:ind w:left="3240" w:hanging="360"/>
      </w:pPr>
    </w:lvl>
    <w:lvl w:ilvl="5" w:tplc="5CA23AEA" w:tentative="1">
      <w:start w:val="1"/>
      <w:numFmt w:val="lowerRoman"/>
      <w:lvlText w:val="%6."/>
      <w:lvlJc w:val="right"/>
      <w:pPr>
        <w:ind w:left="3960" w:hanging="180"/>
      </w:pPr>
    </w:lvl>
    <w:lvl w:ilvl="6" w:tplc="A2A2BA10" w:tentative="1">
      <w:start w:val="1"/>
      <w:numFmt w:val="decimal"/>
      <w:lvlText w:val="%7."/>
      <w:lvlJc w:val="left"/>
      <w:pPr>
        <w:ind w:left="4680" w:hanging="360"/>
      </w:pPr>
    </w:lvl>
    <w:lvl w:ilvl="7" w:tplc="9A923E3A" w:tentative="1">
      <w:start w:val="1"/>
      <w:numFmt w:val="lowerLetter"/>
      <w:lvlText w:val="%8."/>
      <w:lvlJc w:val="left"/>
      <w:pPr>
        <w:ind w:left="5400" w:hanging="360"/>
      </w:pPr>
    </w:lvl>
    <w:lvl w:ilvl="8" w:tplc="8BEA155C" w:tentative="1">
      <w:start w:val="1"/>
      <w:numFmt w:val="lowerRoman"/>
      <w:lvlText w:val="%9."/>
      <w:lvlJc w:val="right"/>
      <w:pPr>
        <w:ind w:left="6120" w:hanging="180"/>
      </w:pPr>
    </w:lvl>
  </w:abstractNum>
  <w:abstractNum w:abstractNumId="130" w15:restartNumberingAfterBreak="0">
    <w:nsid w:val="72FB553F"/>
    <w:multiLevelType w:val="hybridMultilevel"/>
    <w:tmpl w:val="B5E0FCD0"/>
    <w:lvl w:ilvl="0" w:tplc="98847C40">
      <w:start w:val="1"/>
      <w:numFmt w:val="decimal"/>
      <w:lvlText w:val="%1."/>
      <w:lvlJc w:val="left"/>
      <w:pPr>
        <w:ind w:left="720" w:hanging="360"/>
      </w:pPr>
    </w:lvl>
    <w:lvl w:ilvl="1" w:tplc="0FA44F5A">
      <w:start w:val="1"/>
      <w:numFmt w:val="lowerLetter"/>
      <w:lvlText w:val="%2."/>
      <w:lvlJc w:val="left"/>
      <w:pPr>
        <w:ind w:left="1440" w:hanging="360"/>
      </w:pPr>
    </w:lvl>
    <w:lvl w:ilvl="2" w:tplc="BC327670">
      <w:start w:val="1"/>
      <w:numFmt w:val="lowerRoman"/>
      <w:lvlText w:val="%3."/>
      <w:lvlJc w:val="right"/>
      <w:pPr>
        <w:ind w:left="2160" w:hanging="180"/>
      </w:pPr>
    </w:lvl>
    <w:lvl w:ilvl="3" w:tplc="19F40860">
      <w:start w:val="1"/>
      <w:numFmt w:val="decimal"/>
      <w:lvlText w:val="%4."/>
      <w:lvlJc w:val="left"/>
      <w:pPr>
        <w:ind w:left="2880" w:hanging="360"/>
      </w:pPr>
    </w:lvl>
    <w:lvl w:ilvl="4" w:tplc="8DBE454A">
      <w:start w:val="1"/>
      <w:numFmt w:val="lowerLetter"/>
      <w:lvlText w:val="%5."/>
      <w:lvlJc w:val="left"/>
      <w:pPr>
        <w:ind w:left="3600" w:hanging="360"/>
      </w:pPr>
    </w:lvl>
    <w:lvl w:ilvl="5" w:tplc="7A0A4050">
      <w:start w:val="1"/>
      <w:numFmt w:val="lowerRoman"/>
      <w:lvlText w:val="%6."/>
      <w:lvlJc w:val="right"/>
      <w:pPr>
        <w:ind w:left="4320" w:hanging="180"/>
      </w:pPr>
    </w:lvl>
    <w:lvl w:ilvl="6" w:tplc="CC9AAE5E">
      <w:start w:val="1"/>
      <w:numFmt w:val="decimal"/>
      <w:lvlText w:val="%7."/>
      <w:lvlJc w:val="left"/>
      <w:pPr>
        <w:ind w:left="5040" w:hanging="360"/>
      </w:pPr>
    </w:lvl>
    <w:lvl w:ilvl="7" w:tplc="EEEA26F4">
      <w:start w:val="1"/>
      <w:numFmt w:val="lowerLetter"/>
      <w:lvlText w:val="%8."/>
      <w:lvlJc w:val="left"/>
      <w:pPr>
        <w:ind w:left="5760" w:hanging="360"/>
      </w:pPr>
    </w:lvl>
    <w:lvl w:ilvl="8" w:tplc="CD5A7CBC">
      <w:start w:val="1"/>
      <w:numFmt w:val="lowerRoman"/>
      <w:lvlText w:val="%9."/>
      <w:lvlJc w:val="right"/>
      <w:pPr>
        <w:ind w:left="6480" w:hanging="180"/>
      </w:pPr>
    </w:lvl>
  </w:abstractNum>
  <w:abstractNum w:abstractNumId="131" w15:restartNumberingAfterBreak="0">
    <w:nsid w:val="73640EBF"/>
    <w:multiLevelType w:val="hybridMultilevel"/>
    <w:tmpl w:val="23CE09F0"/>
    <w:lvl w:ilvl="0" w:tplc="2CECC836">
      <w:start w:val="1"/>
      <w:numFmt w:val="lowerLetter"/>
      <w:lvlText w:val="(%1)"/>
      <w:lvlJc w:val="left"/>
      <w:pPr>
        <w:ind w:left="720" w:hanging="360"/>
      </w:pPr>
      <w:rPr>
        <w:rFonts w:hint="default"/>
      </w:rPr>
    </w:lvl>
    <w:lvl w:ilvl="1" w:tplc="3C166AAE" w:tentative="1">
      <w:start w:val="1"/>
      <w:numFmt w:val="lowerLetter"/>
      <w:lvlText w:val="%2."/>
      <w:lvlJc w:val="left"/>
      <w:pPr>
        <w:ind w:left="1440" w:hanging="360"/>
      </w:pPr>
    </w:lvl>
    <w:lvl w:ilvl="2" w:tplc="25D4BB7E" w:tentative="1">
      <w:start w:val="1"/>
      <w:numFmt w:val="lowerRoman"/>
      <w:lvlText w:val="%3."/>
      <w:lvlJc w:val="right"/>
      <w:pPr>
        <w:ind w:left="2160" w:hanging="180"/>
      </w:pPr>
    </w:lvl>
    <w:lvl w:ilvl="3" w:tplc="75C446B4" w:tentative="1">
      <w:start w:val="1"/>
      <w:numFmt w:val="decimal"/>
      <w:lvlText w:val="%4."/>
      <w:lvlJc w:val="left"/>
      <w:pPr>
        <w:ind w:left="2880" w:hanging="360"/>
      </w:pPr>
    </w:lvl>
    <w:lvl w:ilvl="4" w:tplc="C394B4D8" w:tentative="1">
      <w:start w:val="1"/>
      <w:numFmt w:val="lowerLetter"/>
      <w:lvlText w:val="%5."/>
      <w:lvlJc w:val="left"/>
      <w:pPr>
        <w:ind w:left="3600" w:hanging="360"/>
      </w:pPr>
    </w:lvl>
    <w:lvl w:ilvl="5" w:tplc="50288234" w:tentative="1">
      <w:start w:val="1"/>
      <w:numFmt w:val="lowerRoman"/>
      <w:lvlText w:val="%6."/>
      <w:lvlJc w:val="right"/>
      <w:pPr>
        <w:ind w:left="4320" w:hanging="180"/>
      </w:pPr>
    </w:lvl>
    <w:lvl w:ilvl="6" w:tplc="A21CBCF0" w:tentative="1">
      <w:start w:val="1"/>
      <w:numFmt w:val="decimal"/>
      <w:lvlText w:val="%7."/>
      <w:lvlJc w:val="left"/>
      <w:pPr>
        <w:ind w:left="5040" w:hanging="360"/>
      </w:pPr>
    </w:lvl>
    <w:lvl w:ilvl="7" w:tplc="E7D81134" w:tentative="1">
      <w:start w:val="1"/>
      <w:numFmt w:val="lowerLetter"/>
      <w:lvlText w:val="%8."/>
      <w:lvlJc w:val="left"/>
      <w:pPr>
        <w:ind w:left="5760" w:hanging="360"/>
      </w:pPr>
    </w:lvl>
    <w:lvl w:ilvl="8" w:tplc="566CE0AC" w:tentative="1">
      <w:start w:val="1"/>
      <w:numFmt w:val="lowerRoman"/>
      <w:lvlText w:val="%9."/>
      <w:lvlJc w:val="right"/>
      <w:pPr>
        <w:ind w:left="6480" w:hanging="180"/>
      </w:pPr>
    </w:lvl>
  </w:abstractNum>
  <w:abstractNum w:abstractNumId="132" w15:restartNumberingAfterBreak="0">
    <w:nsid w:val="73AD087B"/>
    <w:multiLevelType w:val="hybridMultilevel"/>
    <w:tmpl w:val="5E8EF450"/>
    <w:lvl w:ilvl="0" w:tplc="539E2CB4">
      <w:start w:val="1"/>
      <w:numFmt w:val="lowerLetter"/>
      <w:lvlText w:val="(%1)"/>
      <w:lvlJc w:val="left"/>
      <w:pPr>
        <w:ind w:left="720" w:hanging="360"/>
      </w:pPr>
      <w:rPr>
        <w:rFonts w:ascii="Arial" w:eastAsia="Calibri" w:hAnsi="Arial" w:cs="Arial" w:hint="default"/>
        <w:sz w:val="16"/>
      </w:rPr>
    </w:lvl>
    <w:lvl w:ilvl="1" w:tplc="757CB8C2" w:tentative="1">
      <w:start w:val="1"/>
      <w:numFmt w:val="lowerLetter"/>
      <w:lvlText w:val="%2."/>
      <w:lvlJc w:val="left"/>
      <w:pPr>
        <w:ind w:left="1440" w:hanging="360"/>
      </w:pPr>
    </w:lvl>
    <w:lvl w:ilvl="2" w:tplc="81D8D272" w:tentative="1">
      <w:start w:val="1"/>
      <w:numFmt w:val="lowerRoman"/>
      <w:lvlText w:val="%3."/>
      <w:lvlJc w:val="right"/>
      <w:pPr>
        <w:ind w:left="2160" w:hanging="180"/>
      </w:pPr>
    </w:lvl>
    <w:lvl w:ilvl="3" w:tplc="0BCC12C8" w:tentative="1">
      <w:start w:val="1"/>
      <w:numFmt w:val="decimal"/>
      <w:lvlText w:val="%4."/>
      <w:lvlJc w:val="left"/>
      <w:pPr>
        <w:ind w:left="2880" w:hanging="360"/>
      </w:pPr>
    </w:lvl>
    <w:lvl w:ilvl="4" w:tplc="F97A7814" w:tentative="1">
      <w:start w:val="1"/>
      <w:numFmt w:val="lowerLetter"/>
      <w:lvlText w:val="%5."/>
      <w:lvlJc w:val="left"/>
      <w:pPr>
        <w:ind w:left="3600" w:hanging="360"/>
      </w:pPr>
    </w:lvl>
    <w:lvl w:ilvl="5" w:tplc="05A28CFC" w:tentative="1">
      <w:start w:val="1"/>
      <w:numFmt w:val="lowerRoman"/>
      <w:lvlText w:val="%6."/>
      <w:lvlJc w:val="right"/>
      <w:pPr>
        <w:ind w:left="4320" w:hanging="180"/>
      </w:pPr>
    </w:lvl>
    <w:lvl w:ilvl="6" w:tplc="01E2B734" w:tentative="1">
      <w:start w:val="1"/>
      <w:numFmt w:val="decimal"/>
      <w:lvlText w:val="%7."/>
      <w:lvlJc w:val="left"/>
      <w:pPr>
        <w:ind w:left="5040" w:hanging="360"/>
      </w:pPr>
    </w:lvl>
    <w:lvl w:ilvl="7" w:tplc="DF240E86" w:tentative="1">
      <w:start w:val="1"/>
      <w:numFmt w:val="lowerLetter"/>
      <w:lvlText w:val="%8."/>
      <w:lvlJc w:val="left"/>
      <w:pPr>
        <w:ind w:left="5760" w:hanging="360"/>
      </w:pPr>
    </w:lvl>
    <w:lvl w:ilvl="8" w:tplc="6C3249F2" w:tentative="1">
      <w:start w:val="1"/>
      <w:numFmt w:val="lowerRoman"/>
      <w:lvlText w:val="%9."/>
      <w:lvlJc w:val="right"/>
      <w:pPr>
        <w:ind w:left="6480" w:hanging="180"/>
      </w:pPr>
    </w:lvl>
  </w:abstractNum>
  <w:abstractNum w:abstractNumId="133" w15:restartNumberingAfterBreak="0">
    <w:nsid w:val="741C6C86"/>
    <w:multiLevelType w:val="hybridMultilevel"/>
    <w:tmpl w:val="A282DD18"/>
    <w:lvl w:ilvl="0" w:tplc="9A2AE2E2">
      <w:start w:val="1"/>
      <w:numFmt w:val="bullet"/>
      <w:lvlText w:val=""/>
      <w:lvlJc w:val="left"/>
      <w:pPr>
        <w:ind w:left="720" w:hanging="360"/>
      </w:pPr>
      <w:rPr>
        <w:rFonts w:ascii="Symbol" w:hAnsi="Symbol" w:hint="default"/>
      </w:rPr>
    </w:lvl>
    <w:lvl w:ilvl="1" w:tplc="91CE2E6C">
      <w:start w:val="1"/>
      <w:numFmt w:val="bullet"/>
      <w:lvlText w:val="o"/>
      <w:lvlJc w:val="left"/>
      <w:pPr>
        <w:ind w:left="1440" w:hanging="360"/>
      </w:pPr>
      <w:rPr>
        <w:rFonts w:ascii="Courier New" w:hAnsi="Courier New" w:cs="Courier New" w:hint="default"/>
      </w:rPr>
    </w:lvl>
    <w:lvl w:ilvl="2" w:tplc="2B548518">
      <w:start w:val="1"/>
      <w:numFmt w:val="bullet"/>
      <w:lvlText w:val=""/>
      <w:lvlJc w:val="left"/>
      <w:pPr>
        <w:ind w:left="2160" w:hanging="360"/>
      </w:pPr>
      <w:rPr>
        <w:rFonts w:ascii="Wingdings" w:hAnsi="Wingdings" w:hint="default"/>
      </w:rPr>
    </w:lvl>
    <w:lvl w:ilvl="3" w:tplc="5D5E4F5E">
      <w:start w:val="1"/>
      <w:numFmt w:val="bullet"/>
      <w:lvlText w:val=""/>
      <w:lvlJc w:val="left"/>
      <w:pPr>
        <w:ind w:left="2880" w:hanging="360"/>
      </w:pPr>
      <w:rPr>
        <w:rFonts w:ascii="Symbol" w:hAnsi="Symbol" w:hint="default"/>
      </w:rPr>
    </w:lvl>
    <w:lvl w:ilvl="4" w:tplc="28A0F1FA">
      <w:start w:val="1"/>
      <w:numFmt w:val="bullet"/>
      <w:lvlText w:val="o"/>
      <w:lvlJc w:val="left"/>
      <w:pPr>
        <w:ind w:left="3600" w:hanging="360"/>
      </w:pPr>
      <w:rPr>
        <w:rFonts w:ascii="Courier New" w:hAnsi="Courier New" w:cs="Courier New" w:hint="default"/>
      </w:rPr>
    </w:lvl>
    <w:lvl w:ilvl="5" w:tplc="C55863EE">
      <w:start w:val="1"/>
      <w:numFmt w:val="bullet"/>
      <w:lvlText w:val=""/>
      <w:lvlJc w:val="left"/>
      <w:pPr>
        <w:ind w:left="4320" w:hanging="360"/>
      </w:pPr>
      <w:rPr>
        <w:rFonts w:ascii="Wingdings" w:hAnsi="Wingdings" w:hint="default"/>
      </w:rPr>
    </w:lvl>
    <w:lvl w:ilvl="6" w:tplc="31DE72EA">
      <w:start w:val="1"/>
      <w:numFmt w:val="bullet"/>
      <w:lvlText w:val=""/>
      <w:lvlJc w:val="left"/>
      <w:pPr>
        <w:ind w:left="5040" w:hanging="360"/>
      </w:pPr>
      <w:rPr>
        <w:rFonts w:ascii="Symbol" w:hAnsi="Symbol" w:hint="default"/>
      </w:rPr>
    </w:lvl>
    <w:lvl w:ilvl="7" w:tplc="D6760E40">
      <w:start w:val="1"/>
      <w:numFmt w:val="bullet"/>
      <w:lvlText w:val="o"/>
      <w:lvlJc w:val="left"/>
      <w:pPr>
        <w:ind w:left="5760" w:hanging="360"/>
      </w:pPr>
      <w:rPr>
        <w:rFonts w:ascii="Courier New" w:hAnsi="Courier New" w:cs="Courier New" w:hint="default"/>
      </w:rPr>
    </w:lvl>
    <w:lvl w:ilvl="8" w:tplc="10AE50FC">
      <w:start w:val="1"/>
      <w:numFmt w:val="bullet"/>
      <w:lvlText w:val=""/>
      <w:lvlJc w:val="left"/>
      <w:pPr>
        <w:ind w:left="6480" w:hanging="360"/>
      </w:pPr>
      <w:rPr>
        <w:rFonts w:ascii="Wingdings" w:hAnsi="Wingdings" w:hint="default"/>
      </w:rPr>
    </w:lvl>
  </w:abstractNum>
  <w:abstractNum w:abstractNumId="134" w15:restartNumberingAfterBreak="0">
    <w:nsid w:val="74B0515A"/>
    <w:multiLevelType w:val="hybridMultilevel"/>
    <w:tmpl w:val="9CE81300"/>
    <w:lvl w:ilvl="0" w:tplc="5ACA92FC">
      <w:start w:val="1"/>
      <w:numFmt w:val="lowerLetter"/>
      <w:lvlText w:val="%1)"/>
      <w:lvlJc w:val="left"/>
      <w:pPr>
        <w:ind w:left="720" w:hanging="360"/>
      </w:pPr>
      <w:rPr>
        <w:rFonts w:ascii="Arial" w:hAnsi="Arial" w:cs="Arial" w:hint="default"/>
        <w:sz w:val="16"/>
      </w:rPr>
    </w:lvl>
    <w:lvl w:ilvl="1" w:tplc="4992EB70" w:tentative="1">
      <w:start w:val="1"/>
      <w:numFmt w:val="lowerLetter"/>
      <w:lvlText w:val="%2."/>
      <w:lvlJc w:val="left"/>
      <w:pPr>
        <w:ind w:left="1440" w:hanging="360"/>
      </w:pPr>
    </w:lvl>
    <w:lvl w:ilvl="2" w:tplc="CACA3844" w:tentative="1">
      <w:start w:val="1"/>
      <w:numFmt w:val="lowerRoman"/>
      <w:lvlText w:val="%3."/>
      <w:lvlJc w:val="right"/>
      <w:pPr>
        <w:ind w:left="2160" w:hanging="180"/>
      </w:pPr>
    </w:lvl>
    <w:lvl w:ilvl="3" w:tplc="E3F49AAE" w:tentative="1">
      <w:start w:val="1"/>
      <w:numFmt w:val="decimal"/>
      <w:lvlText w:val="%4."/>
      <w:lvlJc w:val="left"/>
      <w:pPr>
        <w:ind w:left="2880" w:hanging="360"/>
      </w:pPr>
    </w:lvl>
    <w:lvl w:ilvl="4" w:tplc="B16853AA" w:tentative="1">
      <w:start w:val="1"/>
      <w:numFmt w:val="lowerLetter"/>
      <w:lvlText w:val="%5."/>
      <w:lvlJc w:val="left"/>
      <w:pPr>
        <w:ind w:left="3600" w:hanging="360"/>
      </w:pPr>
    </w:lvl>
    <w:lvl w:ilvl="5" w:tplc="1B8A041A" w:tentative="1">
      <w:start w:val="1"/>
      <w:numFmt w:val="lowerRoman"/>
      <w:lvlText w:val="%6."/>
      <w:lvlJc w:val="right"/>
      <w:pPr>
        <w:ind w:left="4320" w:hanging="180"/>
      </w:pPr>
    </w:lvl>
    <w:lvl w:ilvl="6" w:tplc="94D4FFAA" w:tentative="1">
      <w:start w:val="1"/>
      <w:numFmt w:val="decimal"/>
      <w:lvlText w:val="%7."/>
      <w:lvlJc w:val="left"/>
      <w:pPr>
        <w:ind w:left="5040" w:hanging="360"/>
      </w:pPr>
    </w:lvl>
    <w:lvl w:ilvl="7" w:tplc="D082BA5E" w:tentative="1">
      <w:start w:val="1"/>
      <w:numFmt w:val="lowerLetter"/>
      <w:lvlText w:val="%8."/>
      <w:lvlJc w:val="left"/>
      <w:pPr>
        <w:ind w:left="5760" w:hanging="360"/>
      </w:pPr>
    </w:lvl>
    <w:lvl w:ilvl="8" w:tplc="448062CC" w:tentative="1">
      <w:start w:val="1"/>
      <w:numFmt w:val="lowerRoman"/>
      <w:lvlText w:val="%9."/>
      <w:lvlJc w:val="right"/>
      <w:pPr>
        <w:ind w:left="6480" w:hanging="180"/>
      </w:pPr>
    </w:lvl>
  </w:abstractNum>
  <w:abstractNum w:abstractNumId="135" w15:restartNumberingAfterBreak="0">
    <w:nsid w:val="752860B3"/>
    <w:multiLevelType w:val="hybridMultilevel"/>
    <w:tmpl w:val="6258425A"/>
    <w:lvl w:ilvl="0" w:tplc="E746291C">
      <w:start w:val="1"/>
      <w:numFmt w:val="lowerLetter"/>
      <w:lvlText w:val="(%1)"/>
      <w:lvlJc w:val="left"/>
      <w:pPr>
        <w:ind w:left="360" w:hanging="360"/>
      </w:pPr>
    </w:lvl>
    <w:lvl w:ilvl="1" w:tplc="6486F5DC">
      <w:start w:val="1"/>
      <w:numFmt w:val="lowerLetter"/>
      <w:lvlText w:val="%2."/>
      <w:lvlJc w:val="left"/>
      <w:pPr>
        <w:ind w:left="1080" w:hanging="360"/>
      </w:pPr>
    </w:lvl>
    <w:lvl w:ilvl="2" w:tplc="95F692B4">
      <w:start w:val="1"/>
      <w:numFmt w:val="lowerRoman"/>
      <w:lvlText w:val="%3."/>
      <w:lvlJc w:val="right"/>
      <w:pPr>
        <w:ind w:left="1800" w:hanging="180"/>
      </w:pPr>
    </w:lvl>
    <w:lvl w:ilvl="3" w:tplc="75408CB8">
      <w:start w:val="1"/>
      <w:numFmt w:val="decimal"/>
      <w:lvlText w:val="%4."/>
      <w:lvlJc w:val="left"/>
      <w:pPr>
        <w:ind w:left="2520" w:hanging="360"/>
      </w:pPr>
    </w:lvl>
    <w:lvl w:ilvl="4" w:tplc="00C0096E">
      <w:start w:val="1"/>
      <w:numFmt w:val="lowerLetter"/>
      <w:lvlText w:val="%5."/>
      <w:lvlJc w:val="left"/>
      <w:pPr>
        <w:ind w:left="3240" w:hanging="360"/>
      </w:pPr>
    </w:lvl>
    <w:lvl w:ilvl="5" w:tplc="44A61DD8">
      <w:start w:val="1"/>
      <w:numFmt w:val="lowerRoman"/>
      <w:lvlText w:val="%6."/>
      <w:lvlJc w:val="right"/>
      <w:pPr>
        <w:ind w:left="3960" w:hanging="180"/>
      </w:pPr>
    </w:lvl>
    <w:lvl w:ilvl="6" w:tplc="48569FD4">
      <w:start w:val="1"/>
      <w:numFmt w:val="decimal"/>
      <w:lvlText w:val="%7."/>
      <w:lvlJc w:val="left"/>
      <w:pPr>
        <w:ind w:left="4680" w:hanging="360"/>
      </w:pPr>
    </w:lvl>
    <w:lvl w:ilvl="7" w:tplc="2D78A62A">
      <w:start w:val="1"/>
      <w:numFmt w:val="lowerLetter"/>
      <w:lvlText w:val="%8."/>
      <w:lvlJc w:val="left"/>
      <w:pPr>
        <w:ind w:left="5400" w:hanging="360"/>
      </w:pPr>
    </w:lvl>
    <w:lvl w:ilvl="8" w:tplc="04C69DE2">
      <w:start w:val="1"/>
      <w:numFmt w:val="lowerRoman"/>
      <w:lvlText w:val="%9."/>
      <w:lvlJc w:val="right"/>
      <w:pPr>
        <w:ind w:left="6120" w:hanging="180"/>
      </w:pPr>
    </w:lvl>
  </w:abstractNum>
  <w:abstractNum w:abstractNumId="136" w15:restartNumberingAfterBreak="0">
    <w:nsid w:val="777633BC"/>
    <w:multiLevelType w:val="hybridMultilevel"/>
    <w:tmpl w:val="C40A29DE"/>
    <w:lvl w:ilvl="0" w:tplc="FB3E403A">
      <w:start w:val="1"/>
      <w:numFmt w:val="lowerLetter"/>
      <w:lvlText w:val="(%1)"/>
      <w:lvlJc w:val="left"/>
      <w:pPr>
        <w:ind w:left="720" w:hanging="360"/>
      </w:pPr>
      <w:rPr>
        <w:rFonts w:hint="default"/>
      </w:rPr>
    </w:lvl>
    <w:lvl w:ilvl="1" w:tplc="68724904" w:tentative="1">
      <w:start w:val="1"/>
      <w:numFmt w:val="lowerLetter"/>
      <w:lvlText w:val="%2."/>
      <w:lvlJc w:val="left"/>
      <w:pPr>
        <w:ind w:left="1440" w:hanging="360"/>
      </w:pPr>
    </w:lvl>
    <w:lvl w:ilvl="2" w:tplc="B206147A" w:tentative="1">
      <w:start w:val="1"/>
      <w:numFmt w:val="lowerRoman"/>
      <w:lvlText w:val="%3."/>
      <w:lvlJc w:val="right"/>
      <w:pPr>
        <w:ind w:left="2160" w:hanging="180"/>
      </w:pPr>
    </w:lvl>
    <w:lvl w:ilvl="3" w:tplc="D91CAF9A" w:tentative="1">
      <w:start w:val="1"/>
      <w:numFmt w:val="decimal"/>
      <w:lvlText w:val="%4."/>
      <w:lvlJc w:val="left"/>
      <w:pPr>
        <w:ind w:left="2880" w:hanging="360"/>
      </w:pPr>
    </w:lvl>
    <w:lvl w:ilvl="4" w:tplc="16A0660C" w:tentative="1">
      <w:start w:val="1"/>
      <w:numFmt w:val="lowerLetter"/>
      <w:lvlText w:val="%5."/>
      <w:lvlJc w:val="left"/>
      <w:pPr>
        <w:ind w:left="3600" w:hanging="360"/>
      </w:pPr>
    </w:lvl>
    <w:lvl w:ilvl="5" w:tplc="72025116" w:tentative="1">
      <w:start w:val="1"/>
      <w:numFmt w:val="lowerRoman"/>
      <w:lvlText w:val="%6."/>
      <w:lvlJc w:val="right"/>
      <w:pPr>
        <w:ind w:left="4320" w:hanging="180"/>
      </w:pPr>
    </w:lvl>
    <w:lvl w:ilvl="6" w:tplc="2EC466BC" w:tentative="1">
      <w:start w:val="1"/>
      <w:numFmt w:val="decimal"/>
      <w:lvlText w:val="%7."/>
      <w:lvlJc w:val="left"/>
      <w:pPr>
        <w:ind w:left="5040" w:hanging="360"/>
      </w:pPr>
    </w:lvl>
    <w:lvl w:ilvl="7" w:tplc="C7629550" w:tentative="1">
      <w:start w:val="1"/>
      <w:numFmt w:val="lowerLetter"/>
      <w:lvlText w:val="%8."/>
      <w:lvlJc w:val="left"/>
      <w:pPr>
        <w:ind w:left="5760" w:hanging="360"/>
      </w:pPr>
    </w:lvl>
    <w:lvl w:ilvl="8" w:tplc="96BAE9CC" w:tentative="1">
      <w:start w:val="1"/>
      <w:numFmt w:val="lowerRoman"/>
      <w:lvlText w:val="%9."/>
      <w:lvlJc w:val="right"/>
      <w:pPr>
        <w:ind w:left="6480" w:hanging="180"/>
      </w:pPr>
    </w:lvl>
  </w:abstractNum>
  <w:abstractNum w:abstractNumId="137" w15:restartNumberingAfterBreak="0">
    <w:nsid w:val="79115672"/>
    <w:multiLevelType w:val="hybridMultilevel"/>
    <w:tmpl w:val="58260E7A"/>
    <w:lvl w:ilvl="0" w:tplc="634010B8">
      <w:start w:val="1"/>
      <w:numFmt w:val="bullet"/>
      <w:lvlText w:val=""/>
      <w:lvlJc w:val="left"/>
      <w:pPr>
        <w:ind w:left="720" w:hanging="360"/>
      </w:pPr>
      <w:rPr>
        <w:rFonts w:ascii="Symbol" w:hAnsi="Symbol" w:hint="default"/>
        <w:color w:val="auto"/>
      </w:rPr>
    </w:lvl>
    <w:lvl w:ilvl="1" w:tplc="D8281CC2">
      <w:start w:val="1"/>
      <w:numFmt w:val="bullet"/>
      <w:lvlText w:val="o"/>
      <w:lvlJc w:val="left"/>
      <w:pPr>
        <w:ind w:left="1440" w:hanging="360"/>
      </w:pPr>
      <w:rPr>
        <w:rFonts w:ascii="Courier New" w:hAnsi="Courier New" w:cs="Courier New" w:hint="default"/>
      </w:rPr>
    </w:lvl>
    <w:lvl w:ilvl="2" w:tplc="C61469F6">
      <w:start w:val="1"/>
      <w:numFmt w:val="bullet"/>
      <w:lvlText w:val=""/>
      <w:lvlJc w:val="left"/>
      <w:pPr>
        <w:ind w:left="2160" w:hanging="360"/>
      </w:pPr>
      <w:rPr>
        <w:rFonts w:ascii="Wingdings" w:hAnsi="Wingdings" w:hint="default"/>
      </w:rPr>
    </w:lvl>
    <w:lvl w:ilvl="3" w:tplc="80B4FDAC">
      <w:start w:val="1"/>
      <w:numFmt w:val="bullet"/>
      <w:lvlText w:val=""/>
      <w:lvlJc w:val="left"/>
      <w:pPr>
        <w:ind w:left="2880" w:hanging="360"/>
      </w:pPr>
      <w:rPr>
        <w:rFonts w:ascii="Symbol" w:hAnsi="Symbol" w:hint="default"/>
      </w:rPr>
    </w:lvl>
    <w:lvl w:ilvl="4" w:tplc="5C9AF186">
      <w:start w:val="1"/>
      <w:numFmt w:val="bullet"/>
      <w:lvlText w:val="o"/>
      <w:lvlJc w:val="left"/>
      <w:pPr>
        <w:ind w:left="3600" w:hanging="360"/>
      </w:pPr>
      <w:rPr>
        <w:rFonts w:ascii="Courier New" w:hAnsi="Courier New" w:cs="Courier New" w:hint="default"/>
      </w:rPr>
    </w:lvl>
    <w:lvl w:ilvl="5" w:tplc="47FAA4EC">
      <w:start w:val="1"/>
      <w:numFmt w:val="bullet"/>
      <w:lvlText w:val=""/>
      <w:lvlJc w:val="left"/>
      <w:pPr>
        <w:ind w:left="4320" w:hanging="360"/>
      </w:pPr>
      <w:rPr>
        <w:rFonts w:ascii="Wingdings" w:hAnsi="Wingdings" w:hint="default"/>
      </w:rPr>
    </w:lvl>
    <w:lvl w:ilvl="6" w:tplc="5E1A741A">
      <w:start w:val="1"/>
      <w:numFmt w:val="bullet"/>
      <w:lvlText w:val=""/>
      <w:lvlJc w:val="left"/>
      <w:pPr>
        <w:ind w:left="5040" w:hanging="360"/>
      </w:pPr>
      <w:rPr>
        <w:rFonts w:ascii="Symbol" w:hAnsi="Symbol" w:hint="default"/>
      </w:rPr>
    </w:lvl>
    <w:lvl w:ilvl="7" w:tplc="A61E5A70">
      <w:start w:val="1"/>
      <w:numFmt w:val="bullet"/>
      <w:lvlText w:val="o"/>
      <w:lvlJc w:val="left"/>
      <w:pPr>
        <w:ind w:left="5760" w:hanging="360"/>
      </w:pPr>
      <w:rPr>
        <w:rFonts w:ascii="Courier New" w:hAnsi="Courier New" w:cs="Courier New" w:hint="default"/>
      </w:rPr>
    </w:lvl>
    <w:lvl w:ilvl="8" w:tplc="D1A652BC">
      <w:start w:val="1"/>
      <w:numFmt w:val="bullet"/>
      <w:lvlText w:val=""/>
      <w:lvlJc w:val="left"/>
      <w:pPr>
        <w:ind w:left="6480" w:hanging="360"/>
      </w:pPr>
      <w:rPr>
        <w:rFonts w:ascii="Wingdings" w:hAnsi="Wingdings" w:hint="default"/>
      </w:rPr>
    </w:lvl>
  </w:abstractNum>
  <w:abstractNum w:abstractNumId="138" w15:restartNumberingAfterBreak="0">
    <w:nsid w:val="7A1D0657"/>
    <w:multiLevelType w:val="hybridMultilevel"/>
    <w:tmpl w:val="40F090CE"/>
    <w:lvl w:ilvl="0" w:tplc="CD88842E">
      <w:start w:val="1"/>
      <w:numFmt w:val="lowerLetter"/>
      <w:lvlText w:val="(%1)"/>
      <w:lvlJc w:val="left"/>
      <w:pPr>
        <w:ind w:left="360" w:hanging="360"/>
      </w:pPr>
      <w:rPr>
        <w:rFonts w:ascii="Arial" w:hAnsi="Arial" w:cs="Arial" w:hint="default"/>
        <w:i w:val="0"/>
        <w:sz w:val="16"/>
        <w:szCs w:val="18"/>
      </w:rPr>
    </w:lvl>
    <w:lvl w:ilvl="1" w:tplc="7752EEB0">
      <w:start w:val="1"/>
      <w:numFmt w:val="lowerLetter"/>
      <w:lvlText w:val="%2."/>
      <w:lvlJc w:val="left"/>
      <w:pPr>
        <w:ind w:left="1080" w:hanging="360"/>
      </w:pPr>
    </w:lvl>
    <w:lvl w:ilvl="2" w:tplc="53A2E93E">
      <w:start w:val="1"/>
      <w:numFmt w:val="lowerRoman"/>
      <w:lvlText w:val="%3."/>
      <w:lvlJc w:val="right"/>
      <w:pPr>
        <w:ind w:left="1800" w:hanging="180"/>
      </w:pPr>
    </w:lvl>
    <w:lvl w:ilvl="3" w:tplc="B7FE31F8">
      <w:start w:val="1"/>
      <w:numFmt w:val="decimal"/>
      <w:lvlText w:val="%4."/>
      <w:lvlJc w:val="left"/>
      <w:pPr>
        <w:ind w:left="2520" w:hanging="360"/>
      </w:pPr>
    </w:lvl>
    <w:lvl w:ilvl="4" w:tplc="87F8B9EC">
      <w:start w:val="1"/>
      <w:numFmt w:val="lowerLetter"/>
      <w:lvlText w:val="%5."/>
      <w:lvlJc w:val="left"/>
      <w:pPr>
        <w:ind w:left="3240" w:hanging="360"/>
      </w:pPr>
    </w:lvl>
    <w:lvl w:ilvl="5" w:tplc="45AA1CEA">
      <w:start w:val="1"/>
      <w:numFmt w:val="lowerRoman"/>
      <w:lvlText w:val="%6."/>
      <w:lvlJc w:val="right"/>
      <w:pPr>
        <w:ind w:left="3960" w:hanging="180"/>
      </w:pPr>
    </w:lvl>
    <w:lvl w:ilvl="6" w:tplc="96B0802E">
      <w:start w:val="1"/>
      <w:numFmt w:val="decimal"/>
      <w:lvlText w:val="%7."/>
      <w:lvlJc w:val="left"/>
      <w:pPr>
        <w:ind w:left="4680" w:hanging="360"/>
      </w:pPr>
    </w:lvl>
    <w:lvl w:ilvl="7" w:tplc="CA907DD8">
      <w:start w:val="1"/>
      <w:numFmt w:val="lowerLetter"/>
      <w:lvlText w:val="%8."/>
      <w:lvlJc w:val="left"/>
      <w:pPr>
        <w:ind w:left="5400" w:hanging="360"/>
      </w:pPr>
    </w:lvl>
    <w:lvl w:ilvl="8" w:tplc="408468D6">
      <w:start w:val="1"/>
      <w:numFmt w:val="lowerRoman"/>
      <w:lvlText w:val="%9."/>
      <w:lvlJc w:val="right"/>
      <w:pPr>
        <w:ind w:left="6120" w:hanging="180"/>
      </w:pPr>
    </w:lvl>
  </w:abstractNum>
  <w:abstractNum w:abstractNumId="139" w15:restartNumberingAfterBreak="0">
    <w:nsid w:val="7B6F75A4"/>
    <w:multiLevelType w:val="hybridMultilevel"/>
    <w:tmpl w:val="B8D2D500"/>
    <w:lvl w:ilvl="0" w:tplc="D2860896">
      <w:start w:val="1"/>
      <w:numFmt w:val="lowerLetter"/>
      <w:lvlText w:val="(%1)"/>
      <w:lvlJc w:val="left"/>
      <w:pPr>
        <w:ind w:left="360" w:hanging="360"/>
      </w:pPr>
    </w:lvl>
    <w:lvl w:ilvl="1" w:tplc="9D4CE242" w:tentative="1">
      <w:start w:val="1"/>
      <w:numFmt w:val="lowerLetter"/>
      <w:lvlText w:val="%2."/>
      <w:lvlJc w:val="left"/>
      <w:pPr>
        <w:ind w:left="1080" w:hanging="360"/>
      </w:pPr>
    </w:lvl>
    <w:lvl w:ilvl="2" w:tplc="A7D8A070" w:tentative="1">
      <w:start w:val="1"/>
      <w:numFmt w:val="lowerRoman"/>
      <w:lvlText w:val="%3."/>
      <w:lvlJc w:val="right"/>
      <w:pPr>
        <w:ind w:left="1800" w:hanging="180"/>
      </w:pPr>
    </w:lvl>
    <w:lvl w:ilvl="3" w:tplc="59267162" w:tentative="1">
      <w:start w:val="1"/>
      <w:numFmt w:val="decimal"/>
      <w:lvlText w:val="%4."/>
      <w:lvlJc w:val="left"/>
      <w:pPr>
        <w:ind w:left="2520" w:hanging="360"/>
      </w:pPr>
    </w:lvl>
    <w:lvl w:ilvl="4" w:tplc="35A08BD4" w:tentative="1">
      <w:start w:val="1"/>
      <w:numFmt w:val="lowerLetter"/>
      <w:lvlText w:val="%5."/>
      <w:lvlJc w:val="left"/>
      <w:pPr>
        <w:ind w:left="3240" w:hanging="360"/>
      </w:pPr>
    </w:lvl>
    <w:lvl w:ilvl="5" w:tplc="EE388284" w:tentative="1">
      <w:start w:val="1"/>
      <w:numFmt w:val="lowerRoman"/>
      <w:lvlText w:val="%6."/>
      <w:lvlJc w:val="right"/>
      <w:pPr>
        <w:ind w:left="3960" w:hanging="180"/>
      </w:pPr>
    </w:lvl>
    <w:lvl w:ilvl="6" w:tplc="90B014F6" w:tentative="1">
      <w:start w:val="1"/>
      <w:numFmt w:val="decimal"/>
      <w:lvlText w:val="%7."/>
      <w:lvlJc w:val="left"/>
      <w:pPr>
        <w:ind w:left="4680" w:hanging="360"/>
      </w:pPr>
    </w:lvl>
    <w:lvl w:ilvl="7" w:tplc="9BC68736" w:tentative="1">
      <w:start w:val="1"/>
      <w:numFmt w:val="lowerLetter"/>
      <w:lvlText w:val="%8."/>
      <w:lvlJc w:val="left"/>
      <w:pPr>
        <w:ind w:left="5400" w:hanging="360"/>
      </w:pPr>
    </w:lvl>
    <w:lvl w:ilvl="8" w:tplc="95DEE166" w:tentative="1">
      <w:start w:val="1"/>
      <w:numFmt w:val="lowerRoman"/>
      <w:lvlText w:val="%9."/>
      <w:lvlJc w:val="right"/>
      <w:pPr>
        <w:ind w:left="6120" w:hanging="180"/>
      </w:pPr>
    </w:lvl>
  </w:abstractNum>
  <w:abstractNum w:abstractNumId="140" w15:restartNumberingAfterBreak="0">
    <w:nsid w:val="7C2443DE"/>
    <w:multiLevelType w:val="hybridMultilevel"/>
    <w:tmpl w:val="A282DD18"/>
    <w:lvl w:ilvl="0" w:tplc="4308D732">
      <w:start w:val="1"/>
      <w:numFmt w:val="bullet"/>
      <w:lvlText w:val=""/>
      <w:lvlJc w:val="left"/>
      <w:pPr>
        <w:ind w:left="720" w:hanging="360"/>
      </w:pPr>
      <w:rPr>
        <w:rFonts w:ascii="Symbol" w:hAnsi="Symbol" w:hint="default"/>
      </w:rPr>
    </w:lvl>
    <w:lvl w:ilvl="1" w:tplc="1450A1C6">
      <w:start w:val="1"/>
      <w:numFmt w:val="bullet"/>
      <w:lvlText w:val="o"/>
      <w:lvlJc w:val="left"/>
      <w:pPr>
        <w:ind w:left="1440" w:hanging="360"/>
      </w:pPr>
      <w:rPr>
        <w:rFonts w:ascii="Courier New" w:hAnsi="Courier New" w:cs="Courier New" w:hint="default"/>
      </w:rPr>
    </w:lvl>
    <w:lvl w:ilvl="2" w:tplc="B9C2C9C8">
      <w:start w:val="1"/>
      <w:numFmt w:val="bullet"/>
      <w:lvlText w:val=""/>
      <w:lvlJc w:val="left"/>
      <w:pPr>
        <w:ind w:left="2160" w:hanging="360"/>
      </w:pPr>
      <w:rPr>
        <w:rFonts w:ascii="Wingdings" w:hAnsi="Wingdings" w:hint="default"/>
      </w:rPr>
    </w:lvl>
    <w:lvl w:ilvl="3" w:tplc="A9E42D44">
      <w:start w:val="1"/>
      <w:numFmt w:val="bullet"/>
      <w:lvlText w:val=""/>
      <w:lvlJc w:val="left"/>
      <w:pPr>
        <w:ind w:left="2880" w:hanging="360"/>
      </w:pPr>
      <w:rPr>
        <w:rFonts w:ascii="Symbol" w:hAnsi="Symbol" w:hint="default"/>
      </w:rPr>
    </w:lvl>
    <w:lvl w:ilvl="4" w:tplc="03EE3806">
      <w:start w:val="1"/>
      <w:numFmt w:val="bullet"/>
      <w:lvlText w:val="o"/>
      <w:lvlJc w:val="left"/>
      <w:pPr>
        <w:ind w:left="3600" w:hanging="360"/>
      </w:pPr>
      <w:rPr>
        <w:rFonts w:ascii="Courier New" w:hAnsi="Courier New" w:cs="Courier New" w:hint="default"/>
      </w:rPr>
    </w:lvl>
    <w:lvl w:ilvl="5" w:tplc="A2F66A28">
      <w:start w:val="1"/>
      <w:numFmt w:val="bullet"/>
      <w:lvlText w:val=""/>
      <w:lvlJc w:val="left"/>
      <w:pPr>
        <w:ind w:left="4320" w:hanging="360"/>
      </w:pPr>
      <w:rPr>
        <w:rFonts w:ascii="Wingdings" w:hAnsi="Wingdings" w:hint="default"/>
      </w:rPr>
    </w:lvl>
    <w:lvl w:ilvl="6" w:tplc="FF90F0BE">
      <w:start w:val="1"/>
      <w:numFmt w:val="bullet"/>
      <w:lvlText w:val=""/>
      <w:lvlJc w:val="left"/>
      <w:pPr>
        <w:ind w:left="5040" w:hanging="360"/>
      </w:pPr>
      <w:rPr>
        <w:rFonts w:ascii="Symbol" w:hAnsi="Symbol" w:hint="default"/>
      </w:rPr>
    </w:lvl>
    <w:lvl w:ilvl="7" w:tplc="3E6C2D86">
      <w:start w:val="1"/>
      <w:numFmt w:val="bullet"/>
      <w:lvlText w:val="o"/>
      <w:lvlJc w:val="left"/>
      <w:pPr>
        <w:ind w:left="5760" w:hanging="360"/>
      </w:pPr>
      <w:rPr>
        <w:rFonts w:ascii="Courier New" w:hAnsi="Courier New" w:cs="Courier New" w:hint="default"/>
      </w:rPr>
    </w:lvl>
    <w:lvl w:ilvl="8" w:tplc="EB606112">
      <w:start w:val="1"/>
      <w:numFmt w:val="bullet"/>
      <w:lvlText w:val=""/>
      <w:lvlJc w:val="left"/>
      <w:pPr>
        <w:ind w:left="6480" w:hanging="360"/>
      </w:pPr>
      <w:rPr>
        <w:rFonts w:ascii="Wingdings" w:hAnsi="Wingdings" w:hint="default"/>
      </w:rPr>
    </w:lvl>
  </w:abstractNum>
  <w:abstractNum w:abstractNumId="141" w15:restartNumberingAfterBreak="0">
    <w:nsid w:val="7CC0282D"/>
    <w:multiLevelType w:val="hybridMultilevel"/>
    <w:tmpl w:val="0CB6DDB4"/>
    <w:lvl w:ilvl="0" w:tplc="4392A3CC">
      <w:start w:val="1"/>
      <w:numFmt w:val="bullet"/>
      <w:lvlText w:val=""/>
      <w:lvlJc w:val="left"/>
      <w:pPr>
        <w:ind w:left="1080" w:hanging="720"/>
      </w:pPr>
      <w:rPr>
        <w:rFonts w:ascii="Symbol" w:hAnsi="Symbol" w:hint="default"/>
      </w:rPr>
    </w:lvl>
    <w:lvl w:ilvl="1" w:tplc="35B266FE" w:tentative="1">
      <w:start w:val="1"/>
      <w:numFmt w:val="bullet"/>
      <w:lvlText w:val="o"/>
      <w:lvlJc w:val="left"/>
      <w:pPr>
        <w:ind w:left="1440" w:hanging="360"/>
      </w:pPr>
      <w:rPr>
        <w:rFonts w:ascii="Courier New" w:hAnsi="Courier New" w:cs="Courier New" w:hint="default"/>
      </w:rPr>
    </w:lvl>
    <w:lvl w:ilvl="2" w:tplc="8E9C9EEE" w:tentative="1">
      <w:start w:val="1"/>
      <w:numFmt w:val="bullet"/>
      <w:lvlText w:val=""/>
      <w:lvlJc w:val="left"/>
      <w:pPr>
        <w:ind w:left="2160" w:hanging="360"/>
      </w:pPr>
      <w:rPr>
        <w:rFonts w:ascii="Wingdings" w:hAnsi="Wingdings" w:hint="default"/>
      </w:rPr>
    </w:lvl>
    <w:lvl w:ilvl="3" w:tplc="916A03C8" w:tentative="1">
      <w:start w:val="1"/>
      <w:numFmt w:val="bullet"/>
      <w:lvlText w:val=""/>
      <w:lvlJc w:val="left"/>
      <w:pPr>
        <w:ind w:left="2880" w:hanging="360"/>
      </w:pPr>
      <w:rPr>
        <w:rFonts w:ascii="Symbol" w:hAnsi="Symbol" w:hint="default"/>
      </w:rPr>
    </w:lvl>
    <w:lvl w:ilvl="4" w:tplc="7BB2CF6C" w:tentative="1">
      <w:start w:val="1"/>
      <w:numFmt w:val="bullet"/>
      <w:lvlText w:val="o"/>
      <w:lvlJc w:val="left"/>
      <w:pPr>
        <w:ind w:left="3600" w:hanging="360"/>
      </w:pPr>
      <w:rPr>
        <w:rFonts w:ascii="Courier New" w:hAnsi="Courier New" w:cs="Courier New" w:hint="default"/>
      </w:rPr>
    </w:lvl>
    <w:lvl w:ilvl="5" w:tplc="E188AAE4" w:tentative="1">
      <w:start w:val="1"/>
      <w:numFmt w:val="bullet"/>
      <w:lvlText w:val=""/>
      <w:lvlJc w:val="left"/>
      <w:pPr>
        <w:ind w:left="4320" w:hanging="360"/>
      </w:pPr>
      <w:rPr>
        <w:rFonts w:ascii="Wingdings" w:hAnsi="Wingdings" w:hint="default"/>
      </w:rPr>
    </w:lvl>
    <w:lvl w:ilvl="6" w:tplc="7E90C7C4" w:tentative="1">
      <w:start w:val="1"/>
      <w:numFmt w:val="bullet"/>
      <w:lvlText w:val=""/>
      <w:lvlJc w:val="left"/>
      <w:pPr>
        <w:ind w:left="5040" w:hanging="360"/>
      </w:pPr>
      <w:rPr>
        <w:rFonts w:ascii="Symbol" w:hAnsi="Symbol" w:hint="default"/>
      </w:rPr>
    </w:lvl>
    <w:lvl w:ilvl="7" w:tplc="39F4A57E" w:tentative="1">
      <w:start w:val="1"/>
      <w:numFmt w:val="bullet"/>
      <w:lvlText w:val="o"/>
      <w:lvlJc w:val="left"/>
      <w:pPr>
        <w:ind w:left="5760" w:hanging="360"/>
      </w:pPr>
      <w:rPr>
        <w:rFonts w:ascii="Courier New" w:hAnsi="Courier New" w:cs="Courier New" w:hint="default"/>
      </w:rPr>
    </w:lvl>
    <w:lvl w:ilvl="8" w:tplc="85B63D44" w:tentative="1">
      <w:start w:val="1"/>
      <w:numFmt w:val="bullet"/>
      <w:lvlText w:val=""/>
      <w:lvlJc w:val="left"/>
      <w:pPr>
        <w:ind w:left="6480" w:hanging="360"/>
      </w:pPr>
      <w:rPr>
        <w:rFonts w:ascii="Wingdings" w:hAnsi="Wingdings" w:hint="default"/>
      </w:rPr>
    </w:lvl>
  </w:abstractNum>
  <w:abstractNum w:abstractNumId="142" w15:restartNumberingAfterBreak="0">
    <w:nsid w:val="7CF7549C"/>
    <w:multiLevelType w:val="hybridMultilevel"/>
    <w:tmpl w:val="C016AE14"/>
    <w:lvl w:ilvl="0" w:tplc="20CA400A">
      <w:start w:val="1"/>
      <w:numFmt w:val="lowerLetter"/>
      <w:lvlText w:val="(%1)"/>
      <w:lvlJc w:val="left"/>
      <w:pPr>
        <w:ind w:left="360" w:hanging="360"/>
      </w:pPr>
      <w:rPr>
        <w:rFonts w:ascii="Arial" w:hAnsi="Arial" w:cs="Arial" w:hint="default"/>
        <w:sz w:val="16"/>
        <w:szCs w:val="16"/>
      </w:rPr>
    </w:lvl>
    <w:lvl w:ilvl="1" w:tplc="1DB8711C">
      <w:start w:val="1"/>
      <w:numFmt w:val="lowerLetter"/>
      <w:lvlText w:val="%2."/>
      <w:lvlJc w:val="left"/>
      <w:pPr>
        <w:ind w:left="1080" w:hanging="360"/>
      </w:pPr>
    </w:lvl>
    <w:lvl w:ilvl="2" w:tplc="C3589BE8" w:tentative="1">
      <w:start w:val="1"/>
      <w:numFmt w:val="lowerRoman"/>
      <w:lvlText w:val="%3."/>
      <w:lvlJc w:val="right"/>
      <w:pPr>
        <w:ind w:left="1800" w:hanging="180"/>
      </w:pPr>
    </w:lvl>
    <w:lvl w:ilvl="3" w:tplc="9E662F6E" w:tentative="1">
      <w:start w:val="1"/>
      <w:numFmt w:val="decimal"/>
      <w:lvlText w:val="%4."/>
      <w:lvlJc w:val="left"/>
      <w:pPr>
        <w:ind w:left="2520" w:hanging="360"/>
      </w:pPr>
    </w:lvl>
    <w:lvl w:ilvl="4" w:tplc="0AF25F64" w:tentative="1">
      <w:start w:val="1"/>
      <w:numFmt w:val="lowerLetter"/>
      <w:lvlText w:val="%5."/>
      <w:lvlJc w:val="left"/>
      <w:pPr>
        <w:ind w:left="3240" w:hanging="360"/>
      </w:pPr>
    </w:lvl>
    <w:lvl w:ilvl="5" w:tplc="0772F5E8" w:tentative="1">
      <w:start w:val="1"/>
      <w:numFmt w:val="lowerRoman"/>
      <w:lvlText w:val="%6."/>
      <w:lvlJc w:val="right"/>
      <w:pPr>
        <w:ind w:left="3960" w:hanging="180"/>
      </w:pPr>
    </w:lvl>
    <w:lvl w:ilvl="6" w:tplc="5434CD24" w:tentative="1">
      <w:start w:val="1"/>
      <w:numFmt w:val="decimal"/>
      <w:lvlText w:val="%7."/>
      <w:lvlJc w:val="left"/>
      <w:pPr>
        <w:ind w:left="4680" w:hanging="360"/>
      </w:pPr>
    </w:lvl>
    <w:lvl w:ilvl="7" w:tplc="92B4958A" w:tentative="1">
      <w:start w:val="1"/>
      <w:numFmt w:val="lowerLetter"/>
      <w:lvlText w:val="%8."/>
      <w:lvlJc w:val="left"/>
      <w:pPr>
        <w:ind w:left="5400" w:hanging="360"/>
      </w:pPr>
    </w:lvl>
    <w:lvl w:ilvl="8" w:tplc="38DEFAFA" w:tentative="1">
      <w:start w:val="1"/>
      <w:numFmt w:val="lowerRoman"/>
      <w:lvlText w:val="%9."/>
      <w:lvlJc w:val="right"/>
      <w:pPr>
        <w:ind w:left="6120" w:hanging="180"/>
      </w:pPr>
    </w:lvl>
  </w:abstractNum>
  <w:abstractNum w:abstractNumId="143" w15:restartNumberingAfterBreak="0">
    <w:nsid w:val="7D4C47D0"/>
    <w:multiLevelType w:val="hybridMultilevel"/>
    <w:tmpl w:val="AA18EF34"/>
    <w:lvl w:ilvl="0" w:tplc="97DC5FBA">
      <w:start w:val="1"/>
      <w:numFmt w:val="bullet"/>
      <w:lvlText w:val=""/>
      <w:lvlJc w:val="left"/>
      <w:pPr>
        <w:ind w:left="720" w:hanging="360"/>
      </w:pPr>
      <w:rPr>
        <w:rFonts w:ascii="Symbol" w:hAnsi="Symbol" w:hint="default"/>
        <w:color w:val="auto"/>
      </w:rPr>
    </w:lvl>
    <w:lvl w:ilvl="1" w:tplc="B8C63088">
      <w:start w:val="1"/>
      <w:numFmt w:val="bullet"/>
      <w:lvlText w:val="o"/>
      <w:lvlJc w:val="left"/>
      <w:pPr>
        <w:ind w:left="1440" w:hanging="360"/>
      </w:pPr>
      <w:rPr>
        <w:rFonts w:ascii="Courier New" w:hAnsi="Courier New" w:cs="Courier New" w:hint="default"/>
      </w:rPr>
    </w:lvl>
    <w:lvl w:ilvl="2" w:tplc="176AB56E">
      <w:start w:val="1"/>
      <w:numFmt w:val="bullet"/>
      <w:lvlText w:val=""/>
      <w:lvlJc w:val="left"/>
      <w:pPr>
        <w:ind w:left="2160" w:hanging="360"/>
      </w:pPr>
      <w:rPr>
        <w:rFonts w:ascii="Wingdings" w:hAnsi="Wingdings" w:hint="default"/>
      </w:rPr>
    </w:lvl>
    <w:lvl w:ilvl="3" w:tplc="C9CC38B2">
      <w:start w:val="1"/>
      <w:numFmt w:val="bullet"/>
      <w:lvlText w:val=""/>
      <w:lvlJc w:val="left"/>
      <w:pPr>
        <w:ind w:left="2880" w:hanging="360"/>
      </w:pPr>
      <w:rPr>
        <w:rFonts w:ascii="Symbol" w:hAnsi="Symbol" w:hint="default"/>
      </w:rPr>
    </w:lvl>
    <w:lvl w:ilvl="4" w:tplc="8CD698AE">
      <w:start w:val="1"/>
      <w:numFmt w:val="bullet"/>
      <w:lvlText w:val="o"/>
      <w:lvlJc w:val="left"/>
      <w:pPr>
        <w:ind w:left="3600" w:hanging="360"/>
      </w:pPr>
      <w:rPr>
        <w:rFonts w:ascii="Courier New" w:hAnsi="Courier New" w:cs="Courier New" w:hint="default"/>
      </w:rPr>
    </w:lvl>
    <w:lvl w:ilvl="5" w:tplc="D03ADD04">
      <w:start w:val="1"/>
      <w:numFmt w:val="bullet"/>
      <w:lvlText w:val=""/>
      <w:lvlJc w:val="left"/>
      <w:pPr>
        <w:ind w:left="4320" w:hanging="360"/>
      </w:pPr>
      <w:rPr>
        <w:rFonts w:ascii="Wingdings" w:hAnsi="Wingdings" w:hint="default"/>
      </w:rPr>
    </w:lvl>
    <w:lvl w:ilvl="6" w:tplc="8558E460">
      <w:start w:val="1"/>
      <w:numFmt w:val="bullet"/>
      <w:lvlText w:val=""/>
      <w:lvlJc w:val="left"/>
      <w:pPr>
        <w:ind w:left="5040" w:hanging="360"/>
      </w:pPr>
      <w:rPr>
        <w:rFonts w:ascii="Symbol" w:hAnsi="Symbol" w:hint="default"/>
      </w:rPr>
    </w:lvl>
    <w:lvl w:ilvl="7" w:tplc="CBAC29BA">
      <w:start w:val="1"/>
      <w:numFmt w:val="bullet"/>
      <w:lvlText w:val="o"/>
      <w:lvlJc w:val="left"/>
      <w:pPr>
        <w:ind w:left="5760" w:hanging="360"/>
      </w:pPr>
      <w:rPr>
        <w:rFonts w:ascii="Courier New" w:hAnsi="Courier New" w:cs="Courier New" w:hint="default"/>
      </w:rPr>
    </w:lvl>
    <w:lvl w:ilvl="8" w:tplc="45342D2A">
      <w:start w:val="1"/>
      <w:numFmt w:val="bullet"/>
      <w:lvlText w:val=""/>
      <w:lvlJc w:val="left"/>
      <w:pPr>
        <w:ind w:left="6480" w:hanging="360"/>
      </w:pPr>
      <w:rPr>
        <w:rFonts w:ascii="Wingdings" w:hAnsi="Wingdings" w:hint="default"/>
      </w:rPr>
    </w:lvl>
  </w:abstractNum>
  <w:abstractNum w:abstractNumId="144" w15:restartNumberingAfterBreak="0">
    <w:nsid w:val="7D957D43"/>
    <w:multiLevelType w:val="hybridMultilevel"/>
    <w:tmpl w:val="AA18EF34"/>
    <w:lvl w:ilvl="0" w:tplc="A0B6FC22">
      <w:start w:val="1"/>
      <w:numFmt w:val="bullet"/>
      <w:lvlText w:val=""/>
      <w:lvlJc w:val="left"/>
      <w:pPr>
        <w:ind w:left="720" w:hanging="360"/>
      </w:pPr>
      <w:rPr>
        <w:rFonts w:ascii="Symbol" w:hAnsi="Symbol" w:hint="default"/>
        <w:color w:val="auto"/>
      </w:rPr>
    </w:lvl>
    <w:lvl w:ilvl="1" w:tplc="6CBCED3A">
      <w:start w:val="1"/>
      <w:numFmt w:val="bullet"/>
      <w:lvlText w:val="o"/>
      <w:lvlJc w:val="left"/>
      <w:pPr>
        <w:ind w:left="1440" w:hanging="360"/>
      </w:pPr>
      <w:rPr>
        <w:rFonts w:ascii="Courier New" w:hAnsi="Courier New" w:cs="Courier New" w:hint="default"/>
      </w:rPr>
    </w:lvl>
    <w:lvl w:ilvl="2" w:tplc="80EA0DFE">
      <w:start w:val="1"/>
      <w:numFmt w:val="bullet"/>
      <w:lvlText w:val=""/>
      <w:lvlJc w:val="left"/>
      <w:pPr>
        <w:ind w:left="2160" w:hanging="360"/>
      </w:pPr>
      <w:rPr>
        <w:rFonts w:ascii="Wingdings" w:hAnsi="Wingdings" w:hint="default"/>
      </w:rPr>
    </w:lvl>
    <w:lvl w:ilvl="3" w:tplc="2334F94C">
      <w:start w:val="1"/>
      <w:numFmt w:val="bullet"/>
      <w:lvlText w:val=""/>
      <w:lvlJc w:val="left"/>
      <w:pPr>
        <w:ind w:left="2880" w:hanging="360"/>
      </w:pPr>
      <w:rPr>
        <w:rFonts w:ascii="Symbol" w:hAnsi="Symbol" w:hint="default"/>
      </w:rPr>
    </w:lvl>
    <w:lvl w:ilvl="4" w:tplc="7698491A">
      <w:start w:val="1"/>
      <w:numFmt w:val="bullet"/>
      <w:lvlText w:val="o"/>
      <w:lvlJc w:val="left"/>
      <w:pPr>
        <w:ind w:left="3600" w:hanging="360"/>
      </w:pPr>
      <w:rPr>
        <w:rFonts w:ascii="Courier New" w:hAnsi="Courier New" w:cs="Courier New" w:hint="default"/>
      </w:rPr>
    </w:lvl>
    <w:lvl w:ilvl="5" w:tplc="EA1272A0">
      <w:start w:val="1"/>
      <w:numFmt w:val="bullet"/>
      <w:lvlText w:val=""/>
      <w:lvlJc w:val="left"/>
      <w:pPr>
        <w:ind w:left="4320" w:hanging="360"/>
      </w:pPr>
      <w:rPr>
        <w:rFonts w:ascii="Wingdings" w:hAnsi="Wingdings" w:hint="default"/>
      </w:rPr>
    </w:lvl>
    <w:lvl w:ilvl="6" w:tplc="00C87264">
      <w:start w:val="1"/>
      <w:numFmt w:val="bullet"/>
      <w:lvlText w:val=""/>
      <w:lvlJc w:val="left"/>
      <w:pPr>
        <w:ind w:left="5040" w:hanging="360"/>
      </w:pPr>
      <w:rPr>
        <w:rFonts w:ascii="Symbol" w:hAnsi="Symbol" w:hint="default"/>
      </w:rPr>
    </w:lvl>
    <w:lvl w:ilvl="7" w:tplc="D2323E78">
      <w:start w:val="1"/>
      <w:numFmt w:val="bullet"/>
      <w:lvlText w:val="o"/>
      <w:lvlJc w:val="left"/>
      <w:pPr>
        <w:ind w:left="5760" w:hanging="360"/>
      </w:pPr>
      <w:rPr>
        <w:rFonts w:ascii="Courier New" w:hAnsi="Courier New" w:cs="Courier New" w:hint="default"/>
      </w:rPr>
    </w:lvl>
    <w:lvl w:ilvl="8" w:tplc="D84A4D28">
      <w:start w:val="1"/>
      <w:numFmt w:val="bullet"/>
      <w:lvlText w:val=""/>
      <w:lvlJc w:val="left"/>
      <w:pPr>
        <w:ind w:left="6480" w:hanging="360"/>
      </w:pPr>
      <w:rPr>
        <w:rFonts w:ascii="Wingdings" w:hAnsi="Wingdings" w:hint="default"/>
      </w:rPr>
    </w:lvl>
  </w:abstractNum>
  <w:num w:numId="1">
    <w:abstractNumId w:val="115"/>
  </w:num>
  <w:num w:numId="2">
    <w:abstractNumId w:val="141"/>
  </w:num>
  <w:num w:numId="3">
    <w:abstractNumId w:val="57"/>
  </w:num>
  <w:num w:numId="4">
    <w:abstractNumId w:val="68"/>
  </w:num>
  <w:num w:numId="5">
    <w:abstractNumId w:val="67"/>
  </w:num>
  <w:num w:numId="6">
    <w:abstractNumId w:val="123"/>
  </w:num>
  <w:num w:numId="7">
    <w:abstractNumId w:val="104"/>
  </w:num>
  <w:num w:numId="8">
    <w:abstractNumId w:val="137"/>
  </w:num>
  <w:num w:numId="9">
    <w:abstractNumId w:val="21"/>
  </w:num>
  <w:num w:numId="1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13"/>
  </w:num>
  <w:num w:numId="13">
    <w:abstractNumId w:val="33"/>
  </w:num>
  <w:num w:numId="1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7"/>
  </w:num>
  <w:num w:numId="16">
    <w:abstractNumId w:val="140"/>
  </w:num>
  <w:num w:numId="17">
    <w:abstractNumId w:val="5"/>
  </w:num>
  <w:num w:numId="18">
    <w:abstractNumId w:val="55"/>
    <w:lvlOverride w:ilvl="0">
      <w:startOverride w:val="1"/>
    </w:lvlOverride>
  </w:num>
  <w:num w:numId="19">
    <w:abstractNumId w:val="28"/>
  </w:num>
  <w:num w:numId="20">
    <w:abstractNumId w:val="47"/>
  </w:num>
  <w:num w:numId="21">
    <w:abstractNumId w:val="60"/>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4"/>
  </w:num>
  <w:num w:numId="24">
    <w:abstractNumId w:val="134"/>
  </w:num>
  <w:num w:numId="25">
    <w:abstractNumId w:val="22"/>
  </w:num>
  <w:num w:numId="26">
    <w:abstractNumId w:val="48"/>
  </w:num>
  <w:num w:numId="27">
    <w:abstractNumId w:val="133"/>
  </w:num>
  <w:num w:numId="28">
    <w:abstractNumId w:val="105"/>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4"/>
  </w:num>
  <w:num w:numId="32">
    <w:abstractNumId w:val="77"/>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6"/>
  </w:num>
  <w:num w:numId="35">
    <w:abstractNumId w:val="74"/>
  </w:num>
  <w:num w:numId="36">
    <w:abstractNumId w:val="125"/>
  </w:num>
  <w:num w:numId="37">
    <w:abstractNumId w:val="125"/>
  </w:num>
  <w:num w:numId="38">
    <w:abstractNumId w:val="89"/>
  </w:num>
  <w:num w:numId="39">
    <w:abstractNumId w:val="9"/>
  </w:num>
  <w:num w:numId="4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num>
  <w:num w:numId="42">
    <w:abstractNumId w:val="50"/>
  </w:num>
  <w:num w:numId="4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num>
  <w:num w:numId="45">
    <w:abstractNumId w:val="53"/>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9"/>
  </w:num>
  <w:num w:numId="48">
    <w:abstractNumId w:val="86"/>
  </w:num>
  <w:num w:numId="49">
    <w:abstractNumId w:val="100"/>
  </w:num>
  <w:num w:numId="50">
    <w:abstractNumId w:val="12"/>
  </w:num>
  <w:num w:numId="51">
    <w:abstractNumId w:val="10"/>
  </w:num>
  <w:num w:numId="52">
    <w:abstractNumId w:val="4"/>
  </w:num>
  <w:num w:numId="5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1"/>
  </w:num>
  <w:num w:numId="55">
    <w:abstractNumId w:val="83"/>
  </w:num>
  <w:num w:numId="56">
    <w:abstractNumId w:val="41"/>
  </w:num>
  <w:num w:numId="57">
    <w:abstractNumId w:val="121"/>
  </w:num>
  <w:num w:numId="58">
    <w:abstractNumId w:val="34"/>
  </w:num>
  <w:num w:numId="59">
    <w:abstractNumId w:val="95"/>
  </w:num>
  <w:num w:numId="60">
    <w:abstractNumId w:val="128"/>
  </w:num>
  <w:num w:numId="61">
    <w:abstractNumId w:val="31"/>
  </w:num>
  <w:num w:numId="62">
    <w:abstractNumId w:val="15"/>
  </w:num>
  <w:num w:numId="63">
    <w:abstractNumId w:val="30"/>
  </w:num>
  <w:num w:numId="64">
    <w:abstractNumId w:val="87"/>
  </w:num>
  <w:num w:numId="65">
    <w:abstractNumId w:val="54"/>
  </w:num>
  <w:num w:numId="66">
    <w:abstractNumId w:val="120"/>
  </w:num>
  <w:num w:numId="6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
  </w:num>
  <w:num w:numId="69">
    <w:abstractNumId w:val="37"/>
  </w:num>
  <w:num w:numId="70">
    <w:abstractNumId w:val="85"/>
  </w:num>
  <w:num w:numId="71">
    <w:abstractNumId w:val="24"/>
  </w:num>
  <w:num w:numId="72">
    <w:abstractNumId w:val="81"/>
  </w:num>
  <w:num w:numId="73">
    <w:abstractNumId w:val="16"/>
  </w:num>
  <w:num w:numId="74">
    <w:abstractNumId w:val="94"/>
  </w:num>
  <w:num w:numId="75">
    <w:abstractNumId w:val="20"/>
  </w:num>
  <w:num w:numId="76">
    <w:abstractNumId w:val="144"/>
  </w:num>
  <w:num w:numId="7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num>
  <w:num w:numId="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num>
  <w:num w:numId="82">
    <w:abstractNumId w:val="142"/>
  </w:num>
  <w:num w:numId="83">
    <w:abstractNumId w:val="2"/>
  </w:num>
  <w:num w:numId="84">
    <w:abstractNumId w:val="8"/>
  </w:num>
  <w:num w:numId="85">
    <w:abstractNumId w:val="90"/>
  </w:num>
  <w:num w:numId="86">
    <w:abstractNumId w:val="107"/>
  </w:num>
  <w:num w:numId="87">
    <w:abstractNumId w:val="70"/>
  </w:num>
  <w:num w:numId="88">
    <w:abstractNumId w:val="43"/>
  </w:num>
  <w:num w:numId="89">
    <w:abstractNumId w:val="49"/>
  </w:num>
  <w:num w:numId="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6"/>
  </w:num>
  <w:num w:numId="9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0"/>
    <w:lvlOverride w:ilvl="0">
      <w:startOverride w:val="1"/>
    </w:lvlOverride>
  </w:num>
  <w:num w:numId="95">
    <w:abstractNumId w:val="25"/>
  </w:num>
  <w:num w:numId="96">
    <w:abstractNumId w:val="122"/>
  </w:num>
  <w:num w:numId="97">
    <w:abstractNumId w:val="40"/>
  </w:num>
  <w:num w:numId="98">
    <w:abstractNumId w:val="52"/>
  </w:num>
  <w:num w:numId="99">
    <w:abstractNumId w:val="59"/>
  </w:num>
  <w:num w:numId="100">
    <w:abstractNumId w:val="23"/>
  </w:num>
  <w:num w:numId="101">
    <w:abstractNumId w:val="71"/>
  </w:num>
  <w:num w:numId="102">
    <w:abstractNumId w:val="13"/>
  </w:num>
  <w:num w:numId="103">
    <w:abstractNumId w:val="63"/>
  </w:num>
  <w:num w:numId="104">
    <w:abstractNumId w:val="46"/>
  </w:num>
  <w:num w:numId="105">
    <w:abstractNumId w:val="19"/>
  </w:num>
  <w:num w:numId="106">
    <w:abstractNumId w:val="65"/>
  </w:num>
  <w:num w:numId="107">
    <w:abstractNumId w:val="97"/>
  </w:num>
  <w:num w:numId="108">
    <w:abstractNumId w:val="29"/>
  </w:num>
  <w:num w:numId="109">
    <w:abstractNumId w:val="108"/>
  </w:num>
  <w:num w:numId="110">
    <w:abstractNumId w:val="101"/>
  </w:num>
  <w:num w:numId="111">
    <w:abstractNumId w:val="84"/>
  </w:num>
  <w:num w:numId="112">
    <w:abstractNumId w:val="6"/>
  </w:num>
  <w:num w:numId="113">
    <w:abstractNumId w:val="132"/>
  </w:num>
  <w:num w:numId="114">
    <w:abstractNumId w:val="17"/>
  </w:num>
  <w:num w:numId="115">
    <w:abstractNumId w:val="64"/>
  </w:num>
  <w:num w:numId="116">
    <w:abstractNumId w:val="131"/>
  </w:num>
  <w:num w:numId="117">
    <w:abstractNumId w:val="139"/>
  </w:num>
  <w:num w:numId="118">
    <w:abstractNumId w:val="129"/>
  </w:num>
  <w:num w:numId="119">
    <w:abstractNumId w:val="51"/>
  </w:num>
  <w:num w:numId="120">
    <w:abstractNumId w:val="106"/>
  </w:num>
  <w:num w:numId="121">
    <w:abstractNumId w:val="98"/>
  </w:num>
  <w:num w:numId="122">
    <w:abstractNumId w:val="102"/>
  </w:num>
  <w:num w:numId="123">
    <w:abstractNumId w:val="26"/>
  </w:num>
  <w:num w:numId="124">
    <w:abstractNumId w:val="82"/>
  </w:num>
  <w:num w:numId="125">
    <w:abstractNumId w:val="0"/>
  </w:num>
  <w:num w:numId="126">
    <w:abstractNumId w:val="79"/>
  </w:num>
  <w:num w:numId="127">
    <w:abstractNumId w:val="91"/>
  </w:num>
  <w:num w:numId="128">
    <w:abstractNumId w:val="112"/>
  </w:num>
  <w:num w:numId="129">
    <w:abstractNumId w:val="11"/>
  </w:num>
  <w:num w:numId="130">
    <w:abstractNumId w:val="73"/>
  </w:num>
  <w:num w:numId="131">
    <w:abstractNumId w:val="3"/>
  </w:num>
  <w:num w:numId="132">
    <w:abstractNumId w:val="13"/>
  </w:num>
  <w:num w:numId="13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1"/>
  </w:num>
  <w:num w:numId="1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8"/>
  </w:num>
  <w:num w:numId="13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8"/>
  </w:num>
  <w:num w:numId="139">
    <w:abstractNumId w:val="58"/>
  </w:num>
  <w:num w:numId="140">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9"/>
  </w:num>
  <w:num w:numId="143">
    <w:abstractNumId w:val="143"/>
  </w:num>
  <w:num w:numId="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num>
  <w:num w:numId="146">
    <w:abstractNumId w:val="93"/>
  </w:num>
  <w:num w:numId="147">
    <w:abstractNumId w:val="119"/>
  </w:num>
  <w:num w:numId="148">
    <w:abstractNumId w:val="88"/>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72"/>
    <w:rsid w:val="00000969"/>
    <w:rsid w:val="00003429"/>
    <w:rsid w:val="00003A85"/>
    <w:rsid w:val="00003F02"/>
    <w:rsid w:val="0000614C"/>
    <w:rsid w:val="000078DB"/>
    <w:rsid w:val="00010086"/>
    <w:rsid w:val="0001270B"/>
    <w:rsid w:val="00016165"/>
    <w:rsid w:val="00016A33"/>
    <w:rsid w:val="00017278"/>
    <w:rsid w:val="00017734"/>
    <w:rsid w:val="00020E5D"/>
    <w:rsid w:val="0002312A"/>
    <w:rsid w:val="0002495F"/>
    <w:rsid w:val="0002540E"/>
    <w:rsid w:val="00027D50"/>
    <w:rsid w:val="00027F8F"/>
    <w:rsid w:val="00030B74"/>
    <w:rsid w:val="00030C56"/>
    <w:rsid w:val="0003111B"/>
    <w:rsid w:val="00032280"/>
    <w:rsid w:val="000324F0"/>
    <w:rsid w:val="00032FD2"/>
    <w:rsid w:val="0003432B"/>
    <w:rsid w:val="0003587B"/>
    <w:rsid w:val="00035DB7"/>
    <w:rsid w:val="000362C8"/>
    <w:rsid w:val="00036FF4"/>
    <w:rsid w:val="0003716C"/>
    <w:rsid w:val="0003795F"/>
    <w:rsid w:val="000414C6"/>
    <w:rsid w:val="00041B99"/>
    <w:rsid w:val="00046E7F"/>
    <w:rsid w:val="0004706F"/>
    <w:rsid w:val="00047A26"/>
    <w:rsid w:val="00051487"/>
    <w:rsid w:val="00051B79"/>
    <w:rsid w:val="00053C78"/>
    <w:rsid w:val="000541FA"/>
    <w:rsid w:val="00054C58"/>
    <w:rsid w:val="000561EC"/>
    <w:rsid w:val="000574C0"/>
    <w:rsid w:val="00060639"/>
    <w:rsid w:val="000622E4"/>
    <w:rsid w:val="00063597"/>
    <w:rsid w:val="00063B21"/>
    <w:rsid w:val="00064526"/>
    <w:rsid w:val="00064A44"/>
    <w:rsid w:val="000717F1"/>
    <w:rsid w:val="00073AFE"/>
    <w:rsid w:val="00073DBD"/>
    <w:rsid w:val="0007518A"/>
    <w:rsid w:val="00080C7C"/>
    <w:rsid w:val="00083942"/>
    <w:rsid w:val="00083A1F"/>
    <w:rsid w:val="000858D4"/>
    <w:rsid w:val="0008608E"/>
    <w:rsid w:val="00087CA8"/>
    <w:rsid w:val="00087D31"/>
    <w:rsid w:val="000906D3"/>
    <w:rsid w:val="00091657"/>
    <w:rsid w:val="00091719"/>
    <w:rsid w:val="0009628B"/>
    <w:rsid w:val="0009692A"/>
    <w:rsid w:val="000A0C52"/>
    <w:rsid w:val="000A4A24"/>
    <w:rsid w:val="000A5C86"/>
    <w:rsid w:val="000B12FE"/>
    <w:rsid w:val="000B1C10"/>
    <w:rsid w:val="000B334A"/>
    <w:rsid w:val="000B4455"/>
    <w:rsid w:val="000B5057"/>
    <w:rsid w:val="000C1879"/>
    <w:rsid w:val="000C1A11"/>
    <w:rsid w:val="000C1CED"/>
    <w:rsid w:val="000C43C5"/>
    <w:rsid w:val="000C45CE"/>
    <w:rsid w:val="000C5B4E"/>
    <w:rsid w:val="000C643A"/>
    <w:rsid w:val="000D00C0"/>
    <w:rsid w:val="000D67E2"/>
    <w:rsid w:val="000D7E34"/>
    <w:rsid w:val="000E2A68"/>
    <w:rsid w:val="000E34D8"/>
    <w:rsid w:val="000E4504"/>
    <w:rsid w:val="000E58D7"/>
    <w:rsid w:val="000F04D6"/>
    <w:rsid w:val="000F14C4"/>
    <w:rsid w:val="000F25BC"/>
    <w:rsid w:val="000F3ACC"/>
    <w:rsid w:val="000F3BB4"/>
    <w:rsid w:val="000F407B"/>
    <w:rsid w:val="000F7F3B"/>
    <w:rsid w:val="000F7FA3"/>
    <w:rsid w:val="001008A7"/>
    <w:rsid w:val="00102A52"/>
    <w:rsid w:val="001067B3"/>
    <w:rsid w:val="00106AE5"/>
    <w:rsid w:val="00106FBA"/>
    <w:rsid w:val="0010774B"/>
    <w:rsid w:val="00110091"/>
    <w:rsid w:val="00110739"/>
    <w:rsid w:val="00110AA5"/>
    <w:rsid w:val="00111BDB"/>
    <w:rsid w:val="00112795"/>
    <w:rsid w:val="001134AC"/>
    <w:rsid w:val="001143CC"/>
    <w:rsid w:val="0011508E"/>
    <w:rsid w:val="00115E89"/>
    <w:rsid w:val="00117E77"/>
    <w:rsid w:val="00121047"/>
    <w:rsid w:val="00124100"/>
    <w:rsid w:val="00126D7D"/>
    <w:rsid w:val="001311F7"/>
    <w:rsid w:val="00131560"/>
    <w:rsid w:val="00131DE5"/>
    <w:rsid w:val="00132715"/>
    <w:rsid w:val="00134AEB"/>
    <w:rsid w:val="001402AB"/>
    <w:rsid w:val="001408EB"/>
    <w:rsid w:val="00143ECF"/>
    <w:rsid w:val="00150EE5"/>
    <w:rsid w:val="00151318"/>
    <w:rsid w:val="0015139B"/>
    <w:rsid w:val="001526A2"/>
    <w:rsid w:val="00152855"/>
    <w:rsid w:val="00152B0F"/>
    <w:rsid w:val="00153905"/>
    <w:rsid w:val="001546AB"/>
    <w:rsid w:val="00160B8E"/>
    <w:rsid w:val="0016158A"/>
    <w:rsid w:val="00163D66"/>
    <w:rsid w:val="0016460C"/>
    <w:rsid w:val="00164D62"/>
    <w:rsid w:val="00165E4C"/>
    <w:rsid w:val="001672B7"/>
    <w:rsid w:val="00167E6B"/>
    <w:rsid w:val="001711A6"/>
    <w:rsid w:val="00171830"/>
    <w:rsid w:val="00171B06"/>
    <w:rsid w:val="001731CA"/>
    <w:rsid w:val="001736DB"/>
    <w:rsid w:val="00173F70"/>
    <w:rsid w:val="00175213"/>
    <w:rsid w:val="00177229"/>
    <w:rsid w:val="001773F8"/>
    <w:rsid w:val="0017788E"/>
    <w:rsid w:val="00177AC5"/>
    <w:rsid w:val="00181E46"/>
    <w:rsid w:val="001829BA"/>
    <w:rsid w:val="00183196"/>
    <w:rsid w:val="0018384A"/>
    <w:rsid w:val="00183F2F"/>
    <w:rsid w:val="00186752"/>
    <w:rsid w:val="00186875"/>
    <w:rsid w:val="0018705D"/>
    <w:rsid w:val="00191970"/>
    <w:rsid w:val="0019500E"/>
    <w:rsid w:val="00196174"/>
    <w:rsid w:val="001A0AE9"/>
    <w:rsid w:val="001A256E"/>
    <w:rsid w:val="001B0139"/>
    <w:rsid w:val="001B128D"/>
    <w:rsid w:val="001B3185"/>
    <w:rsid w:val="001B398C"/>
    <w:rsid w:val="001B483A"/>
    <w:rsid w:val="001B4B32"/>
    <w:rsid w:val="001B4B60"/>
    <w:rsid w:val="001B7EB3"/>
    <w:rsid w:val="001C29F2"/>
    <w:rsid w:val="001C3145"/>
    <w:rsid w:val="001C5D04"/>
    <w:rsid w:val="001C7D78"/>
    <w:rsid w:val="001D13D1"/>
    <w:rsid w:val="001D2FE6"/>
    <w:rsid w:val="001D50B1"/>
    <w:rsid w:val="001D51D3"/>
    <w:rsid w:val="001D5D69"/>
    <w:rsid w:val="001E288C"/>
    <w:rsid w:val="001E3D43"/>
    <w:rsid w:val="001E603C"/>
    <w:rsid w:val="001E610A"/>
    <w:rsid w:val="001E7AF9"/>
    <w:rsid w:val="001F1639"/>
    <w:rsid w:val="001F194F"/>
    <w:rsid w:val="001F2898"/>
    <w:rsid w:val="001F3113"/>
    <w:rsid w:val="001F33AB"/>
    <w:rsid w:val="001F4C1E"/>
    <w:rsid w:val="001F56C9"/>
    <w:rsid w:val="001F5C7C"/>
    <w:rsid w:val="00202825"/>
    <w:rsid w:val="00206790"/>
    <w:rsid w:val="00210AB2"/>
    <w:rsid w:val="00210E8D"/>
    <w:rsid w:val="00212475"/>
    <w:rsid w:val="0021295A"/>
    <w:rsid w:val="00215343"/>
    <w:rsid w:val="00215633"/>
    <w:rsid w:val="002175BB"/>
    <w:rsid w:val="00217FB0"/>
    <w:rsid w:val="002218A5"/>
    <w:rsid w:val="002278E8"/>
    <w:rsid w:val="0023078D"/>
    <w:rsid w:val="00230B43"/>
    <w:rsid w:val="00231C7C"/>
    <w:rsid w:val="00232CFA"/>
    <w:rsid w:val="002332F3"/>
    <w:rsid w:val="00236059"/>
    <w:rsid w:val="00236A89"/>
    <w:rsid w:val="00236E61"/>
    <w:rsid w:val="00236F7D"/>
    <w:rsid w:val="00242811"/>
    <w:rsid w:val="002435FC"/>
    <w:rsid w:val="00243F2F"/>
    <w:rsid w:val="00244C43"/>
    <w:rsid w:val="00245E2C"/>
    <w:rsid w:val="002462C0"/>
    <w:rsid w:val="00250511"/>
    <w:rsid w:val="002506E3"/>
    <w:rsid w:val="00251EC2"/>
    <w:rsid w:val="00253274"/>
    <w:rsid w:val="00254A74"/>
    <w:rsid w:val="00256001"/>
    <w:rsid w:val="00256139"/>
    <w:rsid w:val="0025693C"/>
    <w:rsid w:val="00257F13"/>
    <w:rsid w:val="002614E5"/>
    <w:rsid w:val="00261865"/>
    <w:rsid w:val="002645FE"/>
    <w:rsid w:val="002740A8"/>
    <w:rsid w:val="00274F27"/>
    <w:rsid w:val="00275275"/>
    <w:rsid w:val="002770DF"/>
    <w:rsid w:val="002775D2"/>
    <w:rsid w:val="00285676"/>
    <w:rsid w:val="00285C26"/>
    <w:rsid w:val="00290279"/>
    <w:rsid w:val="00291996"/>
    <w:rsid w:val="002927BE"/>
    <w:rsid w:val="00293420"/>
    <w:rsid w:val="00296479"/>
    <w:rsid w:val="00296549"/>
    <w:rsid w:val="00296685"/>
    <w:rsid w:val="00296DC9"/>
    <w:rsid w:val="00297728"/>
    <w:rsid w:val="00297D4E"/>
    <w:rsid w:val="002A1F83"/>
    <w:rsid w:val="002A5706"/>
    <w:rsid w:val="002A5EF2"/>
    <w:rsid w:val="002A6715"/>
    <w:rsid w:val="002A6A97"/>
    <w:rsid w:val="002B04E5"/>
    <w:rsid w:val="002B0A9F"/>
    <w:rsid w:val="002B47E5"/>
    <w:rsid w:val="002B5578"/>
    <w:rsid w:val="002B706F"/>
    <w:rsid w:val="002C121F"/>
    <w:rsid w:val="002C19B1"/>
    <w:rsid w:val="002C3702"/>
    <w:rsid w:val="002C4070"/>
    <w:rsid w:val="002C4AF6"/>
    <w:rsid w:val="002C6A9F"/>
    <w:rsid w:val="002D1C17"/>
    <w:rsid w:val="002D2114"/>
    <w:rsid w:val="002D4CC7"/>
    <w:rsid w:val="002D55D2"/>
    <w:rsid w:val="002D7BA7"/>
    <w:rsid w:val="002E3447"/>
    <w:rsid w:val="002E5831"/>
    <w:rsid w:val="002E6A7E"/>
    <w:rsid w:val="002E6B3D"/>
    <w:rsid w:val="002E6CAD"/>
    <w:rsid w:val="002F2BB5"/>
    <w:rsid w:val="002F516F"/>
    <w:rsid w:val="002F7B27"/>
    <w:rsid w:val="003001BB"/>
    <w:rsid w:val="00300DB6"/>
    <w:rsid w:val="00301DBD"/>
    <w:rsid w:val="0030398A"/>
    <w:rsid w:val="0030508B"/>
    <w:rsid w:val="00310DC0"/>
    <w:rsid w:val="00310F72"/>
    <w:rsid w:val="00312C51"/>
    <w:rsid w:val="00316F41"/>
    <w:rsid w:val="00320FDF"/>
    <w:rsid w:val="00321652"/>
    <w:rsid w:val="00322475"/>
    <w:rsid w:val="00324BC6"/>
    <w:rsid w:val="003254F9"/>
    <w:rsid w:val="00326CF4"/>
    <w:rsid w:val="00330855"/>
    <w:rsid w:val="003310AA"/>
    <w:rsid w:val="0033327E"/>
    <w:rsid w:val="003346BE"/>
    <w:rsid w:val="00335C23"/>
    <w:rsid w:val="003370ED"/>
    <w:rsid w:val="00340B22"/>
    <w:rsid w:val="00342049"/>
    <w:rsid w:val="00344182"/>
    <w:rsid w:val="0034578B"/>
    <w:rsid w:val="00345E88"/>
    <w:rsid w:val="003469E1"/>
    <w:rsid w:val="00352DE5"/>
    <w:rsid w:val="00354E7C"/>
    <w:rsid w:val="00355202"/>
    <w:rsid w:val="00356CA5"/>
    <w:rsid w:val="00356F6C"/>
    <w:rsid w:val="00357966"/>
    <w:rsid w:val="00360060"/>
    <w:rsid w:val="003622B7"/>
    <w:rsid w:val="0036372A"/>
    <w:rsid w:val="00364646"/>
    <w:rsid w:val="00364B6A"/>
    <w:rsid w:val="00365AA6"/>
    <w:rsid w:val="00366556"/>
    <w:rsid w:val="0037161F"/>
    <w:rsid w:val="00371743"/>
    <w:rsid w:val="003741F9"/>
    <w:rsid w:val="00374AC7"/>
    <w:rsid w:val="00375256"/>
    <w:rsid w:val="00375547"/>
    <w:rsid w:val="00380F2F"/>
    <w:rsid w:val="00381ECB"/>
    <w:rsid w:val="00383EF9"/>
    <w:rsid w:val="00384DD7"/>
    <w:rsid w:val="00390D77"/>
    <w:rsid w:val="003940DD"/>
    <w:rsid w:val="00396445"/>
    <w:rsid w:val="00396568"/>
    <w:rsid w:val="003967D8"/>
    <w:rsid w:val="0039792F"/>
    <w:rsid w:val="00397957"/>
    <w:rsid w:val="003A183A"/>
    <w:rsid w:val="003A1FBF"/>
    <w:rsid w:val="003A4285"/>
    <w:rsid w:val="003A582C"/>
    <w:rsid w:val="003A6159"/>
    <w:rsid w:val="003A751C"/>
    <w:rsid w:val="003B0341"/>
    <w:rsid w:val="003B0A4A"/>
    <w:rsid w:val="003B2E0F"/>
    <w:rsid w:val="003B32BB"/>
    <w:rsid w:val="003B6535"/>
    <w:rsid w:val="003B7495"/>
    <w:rsid w:val="003B7959"/>
    <w:rsid w:val="003C1566"/>
    <w:rsid w:val="003C17AD"/>
    <w:rsid w:val="003C34D6"/>
    <w:rsid w:val="003C3C11"/>
    <w:rsid w:val="003C4DFB"/>
    <w:rsid w:val="003C5DEB"/>
    <w:rsid w:val="003C6CFE"/>
    <w:rsid w:val="003D0256"/>
    <w:rsid w:val="003D2F7B"/>
    <w:rsid w:val="003E027B"/>
    <w:rsid w:val="003E0B40"/>
    <w:rsid w:val="003E3ADC"/>
    <w:rsid w:val="003E78E5"/>
    <w:rsid w:val="003F2051"/>
    <w:rsid w:val="003F3FE1"/>
    <w:rsid w:val="003F482E"/>
    <w:rsid w:val="003F5C45"/>
    <w:rsid w:val="00403024"/>
    <w:rsid w:val="00405778"/>
    <w:rsid w:val="00406328"/>
    <w:rsid w:val="00406684"/>
    <w:rsid w:val="00407C91"/>
    <w:rsid w:val="004116DB"/>
    <w:rsid w:val="00412FFD"/>
    <w:rsid w:val="004135B1"/>
    <w:rsid w:val="004159E1"/>
    <w:rsid w:val="00420293"/>
    <w:rsid w:val="0042145B"/>
    <w:rsid w:val="00424373"/>
    <w:rsid w:val="00424609"/>
    <w:rsid w:val="0042536F"/>
    <w:rsid w:val="00427C91"/>
    <w:rsid w:val="00431E2E"/>
    <w:rsid w:val="00432F08"/>
    <w:rsid w:val="004331E9"/>
    <w:rsid w:val="004365AC"/>
    <w:rsid w:val="00437365"/>
    <w:rsid w:val="004412E1"/>
    <w:rsid w:val="00441CD5"/>
    <w:rsid w:val="004420AA"/>
    <w:rsid w:val="00442F01"/>
    <w:rsid w:val="004440FA"/>
    <w:rsid w:val="00445024"/>
    <w:rsid w:val="00445A7B"/>
    <w:rsid w:val="00445D07"/>
    <w:rsid w:val="00445F72"/>
    <w:rsid w:val="00447579"/>
    <w:rsid w:val="0044767A"/>
    <w:rsid w:val="0045461B"/>
    <w:rsid w:val="004556DF"/>
    <w:rsid w:val="0045772A"/>
    <w:rsid w:val="00460BEE"/>
    <w:rsid w:val="00460C76"/>
    <w:rsid w:val="00462A34"/>
    <w:rsid w:val="004646DE"/>
    <w:rsid w:val="00465EB5"/>
    <w:rsid w:val="00466EE5"/>
    <w:rsid w:val="00470A7F"/>
    <w:rsid w:val="004751A5"/>
    <w:rsid w:val="00476A31"/>
    <w:rsid w:val="004778BF"/>
    <w:rsid w:val="00483830"/>
    <w:rsid w:val="00485D2A"/>
    <w:rsid w:val="004941C2"/>
    <w:rsid w:val="00495997"/>
    <w:rsid w:val="00496EE7"/>
    <w:rsid w:val="0049738B"/>
    <w:rsid w:val="004A0255"/>
    <w:rsid w:val="004A09D4"/>
    <w:rsid w:val="004A2870"/>
    <w:rsid w:val="004A35AA"/>
    <w:rsid w:val="004A3F48"/>
    <w:rsid w:val="004A76AA"/>
    <w:rsid w:val="004B0C19"/>
    <w:rsid w:val="004B5DEC"/>
    <w:rsid w:val="004B61EC"/>
    <w:rsid w:val="004B68CB"/>
    <w:rsid w:val="004C042E"/>
    <w:rsid w:val="004C2526"/>
    <w:rsid w:val="004C3EAD"/>
    <w:rsid w:val="004C56B5"/>
    <w:rsid w:val="004C5E55"/>
    <w:rsid w:val="004C620F"/>
    <w:rsid w:val="004C6889"/>
    <w:rsid w:val="004C6FEE"/>
    <w:rsid w:val="004C73CC"/>
    <w:rsid w:val="004D00D5"/>
    <w:rsid w:val="004D028A"/>
    <w:rsid w:val="004D0477"/>
    <w:rsid w:val="004D0F5B"/>
    <w:rsid w:val="004D238B"/>
    <w:rsid w:val="004D6EF7"/>
    <w:rsid w:val="004E00FF"/>
    <w:rsid w:val="004E0F98"/>
    <w:rsid w:val="004E1067"/>
    <w:rsid w:val="004E1274"/>
    <w:rsid w:val="004E29FD"/>
    <w:rsid w:val="004E4A85"/>
    <w:rsid w:val="004F102B"/>
    <w:rsid w:val="004F1282"/>
    <w:rsid w:val="004F4A05"/>
    <w:rsid w:val="004F6A3E"/>
    <w:rsid w:val="004F6D9C"/>
    <w:rsid w:val="0050237E"/>
    <w:rsid w:val="00506BB5"/>
    <w:rsid w:val="005074BC"/>
    <w:rsid w:val="005109B4"/>
    <w:rsid w:val="00510A5A"/>
    <w:rsid w:val="00510BBE"/>
    <w:rsid w:val="00516D10"/>
    <w:rsid w:val="005170DE"/>
    <w:rsid w:val="00517908"/>
    <w:rsid w:val="0052105A"/>
    <w:rsid w:val="005213C5"/>
    <w:rsid w:val="005217BF"/>
    <w:rsid w:val="00522155"/>
    <w:rsid w:val="00525465"/>
    <w:rsid w:val="00527291"/>
    <w:rsid w:val="005274E5"/>
    <w:rsid w:val="00535998"/>
    <w:rsid w:val="00535E39"/>
    <w:rsid w:val="00535FB6"/>
    <w:rsid w:val="00536669"/>
    <w:rsid w:val="00541680"/>
    <w:rsid w:val="00542B1A"/>
    <w:rsid w:val="00542F17"/>
    <w:rsid w:val="005457C4"/>
    <w:rsid w:val="005459B7"/>
    <w:rsid w:val="00546C2E"/>
    <w:rsid w:val="00547F56"/>
    <w:rsid w:val="00551AD8"/>
    <w:rsid w:val="00551AED"/>
    <w:rsid w:val="00551F9E"/>
    <w:rsid w:val="005527C1"/>
    <w:rsid w:val="00556D23"/>
    <w:rsid w:val="00564718"/>
    <w:rsid w:val="00566302"/>
    <w:rsid w:val="0056664C"/>
    <w:rsid w:val="0057066B"/>
    <w:rsid w:val="00571056"/>
    <w:rsid w:val="00573D49"/>
    <w:rsid w:val="0057698E"/>
    <w:rsid w:val="0057715E"/>
    <w:rsid w:val="00577B0A"/>
    <w:rsid w:val="00577D41"/>
    <w:rsid w:val="00581AC3"/>
    <w:rsid w:val="005828F8"/>
    <w:rsid w:val="00586D57"/>
    <w:rsid w:val="00587447"/>
    <w:rsid w:val="00590F07"/>
    <w:rsid w:val="00591850"/>
    <w:rsid w:val="00592004"/>
    <w:rsid w:val="00594DE8"/>
    <w:rsid w:val="0059788A"/>
    <w:rsid w:val="005A017B"/>
    <w:rsid w:val="005A09E0"/>
    <w:rsid w:val="005A1A65"/>
    <w:rsid w:val="005A4B42"/>
    <w:rsid w:val="005A5780"/>
    <w:rsid w:val="005A5EF9"/>
    <w:rsid w:val="005A7276"/>
    <w:rsid w:val="005B1624"/>
    <w:rsid w:val="005B2053"/>
    <w:rsid w:val="005B23E5"/>
    <w:rsid w:val="005B2691"/>
    <w:rsid w:val="005B3B2C"/>
    <w:rsid w:val="005B505A"/>
    <w:rsid w:val="005B55F5"/>
    <w:rsid w:val="005C340D"/>
    <w:rsid w:val="005C41B8"/>
    <w:rsid w:val="005C4B51"/>
    <w:rsid w:val="005C62AF"/>
    <w:rsid w:val="005C69D1"/>
    <w:rsid w:val="005C74D3"/>
    <w:rsid w:val="005D14BE"/>
    <w:rsid w:val="005D2CD1"/>
    <w:rsid w:val="005D3253"/>
    <w:rsid w:val="005D4C90"/>
    <w:rsid w:val="005D5A8C"/>
    <w:rsid w:val="005D66A1"/>
    <w:rsid w:val="005D7EC6"/>
    <w:rsid w:val="005E09CB"/>
    <w:rsid w:val="005E2875"/>
    <w:rsid w:val="005E3863"/>
    <w:rsid w:val="005E73B0"/>
    <w:rsid w:val="005E7F55"/>
    <w:rsid w:val="005F0963"/>
    <w:rsid w:val="005F2963"/>
    <w:rsid w:val="005F2ED1"/>
    <w:rsid w:val="005F37D8"/>
    <w:rsid w:val="005F3932"/>
    <w:rsid w:val="005F4B96"/>
    <w:rsid w:val="005F5293"/>
    <w:rsid w:val="005F74F3"/>
    <w:rsid w:val="005F792C"/>
    <w:rsid w:val="005F7C1E"/>
    <w:rsid w:val="00602B7F"/>
    <w:rsid w:val="006041AB"/>
    <w:rsid w:val="00606264"/>
    <w:rsid w:val="006063DC"/>
    <w:rsid w:val="00607644"/>
    <w:rsid w:val="00611D6D"/>
    <w:rsid w:val="00611DAB"/>
    <w:rsid w:val="006129F7"/>
    <w:rsid w:val="00612A36"/>
    <w:rsid w:val="00614DBC"/>
    <w:rsid w:val="00621117"/>
    <w:rsid w:val="0062184C"/>
    <w:rsid w:val="00622223"/>
    <w:rsid w:val="00623BFA"/>
    <w:rsid w:val="00623DAF"/>
    <w:rsid w:val="00627C22"/>
    <w:rsid w:val="00631897"/>
    <w:rsid w:val="0063246D"/>
    <w:rsid w:val="00632F03"/>
    <w:rsid w:val="0063425B"/>
    <w:rsid w:val="00634E50"/>
    <w:rsid w:val="0063600A"/>
    <w:rsid w:val="00642676"/>
    <w:rsid w:val="00643038"/>
    <w:rsid w:val="0064585F"/>
    <w:rsid w:val="00646F55"/>
    <w:rsid w:val="006473A5"/>
    <w:rsid w:val="006515BE"/>
    <w:rsid w:val="0065336D"/>
    <w:rsid w:val="00653C6A"/>
    <w:rsid w:val="00653FA3"/>
    <w:rsid w:val="00655435"/>
    <w:rsid w:val="00655A9F"/>
    <w:rsid w:val="00656751"/>
    <w:rsid w:val="00661BDF"/>
    <w:rsid w:val="006634E3"/>
    <w:rsid w:val="00665AE9"/>
    <w:rsid w:val="00665D63"/>
    <w:rsid w:val="006660D7"/>
    <w:rsid w:val="00666ECD"/>
    <w:rsid w:val="00667353"/>
    <w:rsid w:val="00667C13"/>
    <w:rsid w:val="0067277F"/>
    <w:rsid w:val="00672D05"/>
    <w:rsid w:val="0067361D"/>
    <w:rsid w:val="00675B0E"/>
    <w:rsid w:val="006760A4"/>
    <w:rsid w:val="006776B9"/>
    <w:rsid w:val="00681C5F"/>
    <w:rsid w:val="006829E0"/>
    <w:rsid w:val="006835F1"/>
    <w:rsid w:val="006835F3"/>
    <w:rsid w:val="0068532B"/>
    <w:rsid w:val="0069171E"/>
    <w:rsid w:val="0069197E"/>
    <w:rsid w:val="00691A33"/>
    <w:rsid w:val="006922E4"/>
    <w:rsid w:val="0069460E"/>
    <w:rsid w:val="00697065"/>
    <w:rsid w:val="00697649"/>
    <w:rsid w:val="006A2F84"/>
    <w:rsid w:val="006A3818"/>
    <w:rsid w:val="006A481A"/>
    <w:rsid w:val="006A5FE6"/>
    <w:rsid w:val="006A6C55"/>
    <w:rsid w:val="006A783C"/>
    <w:rsid w:val="006B64F3"/>
    <w:rsid w:val="006B6AAF"/>
    <w:rsid w:val="006B6EF0"/>
    <w:rsid w:val="006B72C9"/>
    <w:rsid w:val="006C1027"/>
    <w:rsid w:val="006C1216"/>
    <w:rsid w:val="006C2C97"/>
    <w:rsid w:val="006C3379"/>
    <w:rsid w:val="006C3707"/>
    <w:rsid w:val="006C7034"/>
    <w:rsid w:val="006C7B94"/>
    <w:rsid w:val="006D2B0D"/>
    <w:rsid w:val="006D5060"/>
    <w:rsid w:val="006D52DB"/>
    <w:rsid w:val="006D5B4C"/>
    <w:rsid w:val="006E0216"/>
    <w:rsid w:val="006E56D7"/>
    <w:rsid w:val="006F1FDB"/>
    <w:rsid w:val="006F25EE"/>
    <w:rsid w:val="006F3885"/>
    <w:rsid w:val="00701173"/>
    <w:rsid w:val="0070119D"/>
    <w:rsid w:val="00703764"/>
    <w:rsid w:val="007038D5"/>
    <w:rsid w:val="00705C20"/>
    <w:rsid w:val="007061F8"/>
    <w:rsid w:val="00706CC0"/>
    <w:rsid w:val="007133A1"/>
    <w:rsid w:val="00714DA2"/>
    <w:rsid w:val="007172EC"/>
    <w:rsid w:val="00723913"/>
    <w:rsid w:val="00724CF5"/>
    <w:rsid w:val="007259CA"/>
    <w:rsid w:val="007273F1"/>
    <w:rsid w:val="00734B59"/>
    <w:rsid w:val="007358A2"/>
    <w:rsid w:val="00735BC8"/>
    <w:rsid w:val="00737C9B"/>
    <w:rsid w:val="007403DD"/>
    <w:rsid w:val="00740A29"/>
    <w:rsid w:val="00743288"/>
    <w:rsid w:val="007433C2"/>
    <w:rsid w:val="00743923"/>
    <w:rsid w:val="00743A76"/>
    <w:rsid w:val="00745932"/>
    <w:rsid w:val="00745F1B"/>
    <w:rsid w:val="0075095D"/>
    <w:rsid w:val="00750AD3"/>
    <w:rsid w:val="007511C0"/>
    <w:rsid w:val="007513DD"/>
    <w:rsid w:val="0075328D"/>
    <w:rsid w:val="007544A5"/>
    <w:rsid w:val="007544BC"/>
    <w:rsid w:val="007549E1"/>
    <w:rsid w:val="00755FF3"/>
    <w:rsid w:val="00762C05"/>
    <w:rsid w:val="0076682C"/>
    <w:rsid w:val="00773D93"/>
    <w:rsid w:val="00773DB5"/>
    <w:rsid w:val="00774CF2"/>
    <w:rsid w:val="007755E3"/>
    <w:rsid w:val="007765F5"/>
    <w:rsid w:val="007800EB"/>
    <w:rsid w:val="00780B1F"/>
    <w:rsid w:val="00780CE9"/>
    <w:rsid w:val="007838E7"/>
    <w:rsid w:val="00784E79"/>
    <w:rsid w:val="0078514B"/>
    <w:rsid w:val="007874AA"/>
    <w:rsid w:val="0079066E"/>
    <w:rsid w:val="00790695"/>
    <w:rsid w:val="00791521"/>
    <w:rsid w:val="00792635"/>
    <w:rsid w:val="0079299F"/>
    <w:rsid w:val="00792ABA"/>
    <w:rsid w:val="00793190"/>
    <w:rsid w:val="0079358A"/>
    <w:rsid w:val="00796488"/>
    <w:rsid w:val="007A054F"/>
    <w:rsid w:val="007A2256"/>
    <w:rsid w:val="007A23F3"/>
    <w:rsid w:val="007A265A"/>
    <w:rsid w:val="007A3191"/>
    <w:rsid w:val="007A3691"/>
    <w:rsid w:val="007A7B03"/>
    <w:rsid w:val="007A7DBB"/>
    <w:rsid w:val="007B0256"/>
    <w:rsid w:val="007B1EFF"/>
    <w:rsid w:val="007B2343"/>
    <w:rsid w:val="007B2885"/>
    <w:rsid w:val="007B3556"/>
    <w:rsid w:val="007B4FA9"/>
    <w:rsid w:val="007B522A"/>
    <w:rsid w:val="007B76AB"/>
    <w:rsid w:val="007B7E1D"/>
    <w:rsid w:val="007C0CF8"/>
    <w:rsid w:val="007C5F65"/>
    <w:rsid w:val="007C6078"/>
    <w:rsid w:val="007C6FCB"/>
    <w:rsid w:val="007D1733"/>
    <w:rsid w:val="007D1949"/>
    <w:rsid w:val="007D3FCF"/>
    <w:rsid w:val="007D6275"/>
    <w:rsid w:val="007D76B1"/>
    <w:rsid w:val="007D7AAA"/>
    <w:rsid w:val="007E038F"/>
    <w:rsid w:val="007E1708"/>
    <w:rsid w:val="007E1A2E"/>
    <w:rsid w:val="007E1F49"/>
    <w:rsid w:val="007E20CF"/>
    <w:rsid w:val="007E2536"/>
    <w:rsid w:val="007E6680"/>
    <w:rsid w:val="007E7897"/>
    <w:rsid w:val="007F0E19"/>
    <w:rsid w:val="007F2597"/>
    <w:rsid w:val="00801FE2"/>
    <w:rsid w:val="00803533"/>
    <w:rsid w:val="008038B3"/>
    <w:rsid w:val="00803956"/>
    <w:rsid w:val="008048E1"/>
    <w:rsid w:val="0080753C"/>
    <w:rsid w:val="00807795"/>
    <w:rsid w:val="008101F2"/>
    <w:rsid w:val="008135F4"/>
    <w:rsid w:val="008142AA"/>
    <w:rsid w:val="0081522F"/>
    <w:rsid w:val="00816DA5"/>
    <w:rsid w:val="00824E5B"/>
    <w:rsid w:val="008320BB"/>
    <w:rsid w:val="00832125"/>
    <w:rsid w:val="00832BC0"/>
    <w:rsid w:val="00833776"/>
    <w:rsid w:val="00835132"/>
    <w:rsid w:val="0083523E"/>
    <w:rsid w:val="008361EC"/>
    <w:rsid w:val="008419C6"/>
    <w:rsid w:val="00841C04"/>
    <w:rsid w:val="00841D15"/>
    <w:rsid w:val="008438AD"/>
    <w:rsid w:val="008446A2"/>
    <w:rsid w:val="008449EA"/>
    <w:rsid w:val="00845876"/>
    <w:rsid w:val="00845A8A"/>
    <w:rsid w:val="00846483"/>
    <w:rsid w:val="00846FBC"/>
    <w:rsid w:val="00850405"/>
    <w:rsid w:val="008505DD"/>
    <w:rsid w:val="00850AF5"/>
    <w:rsid w:val="00850D2A"/>
    <w:rsid w:val="00855D42"/>
    <w:rsid w:val="00856166"/>
    <w:rsid w:val="0086046C"/>
    <w:rsid w:val="0086080F"/>
    <w:rsid w:val="00861E76"/>
    <w:rsid w:val="00863527"/>
    <w:rsid w:val="00863714"/>
    <w:rsid w:val="00864B05"/>
    <w:rsid w:val="00864FBD"/>
    <w:rsid w:val="00865F65"/>
    <w:rsid w:val="008704A6"/>
    <w:rsid w:val="00870A72"/>
    <w:rsid w:val="00870C71"/>
    <w:rsid w:val="00871044"/>
    <w:rsid w:val="00872175"/>
    <w:rsid w:val="008740B4"/>
    <w:rsid w:val="00874BC5"/>
    <w:rsid w:val="0087616C"/>
    <w:rsid w:val="008761C5"/>
    <w:rsid w:val="0087630E"/>
    <w:rsid w:val="008776EC"/>
    <w:rsid w:val="00877E6D"/>
    <w:rsid w:val="00880087"/>
    <w:rsid w:val="008800ED"/>
    <w:rsid w:val="00881E3C"/>
    <w:rsid w:val="00882144"/>
    <w:rsid w:val="00882FD1"/>
    <w:rsid w:val="008832BA"/>
    <w:rsid w:val="00885C09"/>
    <w:rsid w:val="0088779F"/>
    <w:rsid w:val="008919BD"/>
    <w:rsid w:val="00892695"/>
    <w:rsid w:val="00892E88"/>
    <w:rsid w:val="008934E6"/>
    <w:rsid w:val="00896F83"/>
    <w:rsid w:val="00897963"/>
    <w:rsid w:val="008A24E9"/>
    <w:rsid w:val="008A2EFA"/>
    <w:rsid w:val="008A2F02"/>
    <w:rsid w:val="008A30D1"/>
    <w:rsid w:val="008A3B49"/>
    <w:rsid w:val="008A4809"/>
    <w:rsid w:val="008B0042"/>
    <w:rsid w:val="008B037D"/>
    <w:rsid w:val="008B3D0A"/>
    <w:rsid w:val="008B4128"/>
    <w:rsid w:val="008B62A4"/>
    <w:rsid w:val="008C1BEE"/>
    <w:rsid w:val="008C1F17"/>
    <w:rsid w:val="008C301E"/>
    <w:rsid w:val="008C5419"/>
    <w:rsid w:val="008D04B7"/>
    <w:rsid w:val="008D081E"/>
    <w:rsid w:val="008D72C4"/>
    <w:rsid w:val="008E148F"/>
    <w:rsid w:val="008E1516"/>
    <w:rsid w:val="008E17B4"/>
    <w:rsid w:val="008E7EC6"/>
    <w:rsid w:val="008E7F77"/>
    <w:rsid w:val="008F27AE"/>
    <w:rsid w:val="008F333B"/>
    <w:rsid w:val="008F3943"/>
    <w:rsid w:val="008F7797"/>
    <w:rsid w:val="008F7E61"/>
    <w:rsid w:val="00901A32"/>
    <w:rsid w:val="00901CFC"/>
    <w:rsid w:val="00902EAF"/>
    <w:rsid w:val="00911807"/>
    <w:rsid w:val="00911A32"/>
    <w:rsid w:val="009135D6"/>
    <w:rsid w:val="00915587"/>
    <w:rsid w:val="0091575B"/>
    <w:rsid w:val="00915FB8"/>
    <w:rsid w:val="009217EF"/>
    <w:rsid w:val="00921AAB"/>
    <w:rsid w:val="009226BA"/>
    <w:rsid w:val="00922C18"/>
    <w:rsid w:val="0092506E"/>
    <w:rsid w:val="00925BF8"/>
    <w:rsid w:val="00926A5B"/>
    <w:rsid w:val="00927238"/>
    <w:rsid w:val="00931278"/>
    <w:rsid w:val="00932486"/>
    <w:rsid w:val="00932D14"/>
    <w:rsid w:val="009361D6"/>
    <w:rsid w:val="00936EB8"/>
    <w:rsid w:val="009403FE"/>
    <w:rsid w:val="00940710"/>
    <w:rsid w:val="009420CE"/>
    <w:rsid w:val="009452EC"/>
    <w:rsid w:val="0094553A"/>
    <w:rsid w:val="009459EC"/>
    <w:rsid w:val="00946043"/>
    <w:rsid w:val="00946385"/>
    <w:rsid w:val="009500CC"/>
    <w:rsid w:val="00951551"/>
    <w:rsid w:val="00951B72"/>
    <w:rsid w:val="00952836"/>
    <w:rsid w:val="00953DF7"/>
    <w:rsid w:val="00954522"/>
    <w:rsid w:val="0095496C"/>
    <w:rsid w:val="00956CA0"/>
    <w:rsid w:val="00956F5A"/>
    <w:rsid w:val="00957360"/>
    <w:rsid w:val="00962E7C"/>
    <w:rsid w:val="0096430B"/>
    <w:rsid w:val="00965DA6"/>
    <w:rsid w:val="0096698E"/>
    <w:rsid w:val="009710B4"/>
    <w:rsid w:val="009725E5"/>
    <w:rsid w:val="00972E7D"/>
    <w:rsid w:val="00973AFE"/>
    <w:rsid w:val="00973EE0"/>
    <w:rsid w:val="00974397"/>
    <w:rsid w:val="009745B5"/>
    <w:rsid w:val="009755A6"/>
    <w:rsid w:val="00975C2F"/>
    <w:rsid w:val="00976C28"/>
    <w:rsid w:val="00977B2C"/>
    <w:rsid w:val="00977E11"/>
    <w:rsid w:val="0098163E"/>
    <w:rsid w:val="009836F1"/>
    <w:rsid w:val="00984CFB"/>
    <w:rsid w:val="00987475"/>
    <w:rsid w:val="00995137"/>
    <w:rsid w:val="00996078"/>
    <w:rsid w:val="00996B6D"/>
    <w:rsid w:val="00997285"/>
    <w:rsid w:val="009A0341"/>
    <w:rsid w:val="009A0FF2"/>
    <w:rsid w:val="009A319D"/>
    <w:rsid w:val="009A36AE"/>
    <w:rsid w:val="009A3D33"/>
    <w:rsid w:val="009A491C"/>
    <w:rsid w:val="009A7C8B"/>
    <w:rsid w:val="009B5C1C"/>
    <w:rsid w:val="009C0183"/>
    <w:rsid w:val="009C0896"/>
    <w:rsid w:val="009C1ED2"/>
    <w:rsid w:val="009C4964"/>
    <w:rsid w:val="009C672A"/>
    <w:rsid w:val="009C67CA"/>
    <w:rsid w:val="009D175B"/>
    <w:rsid w:val="009D65B3"/>
    <w:rsid w:val="009D7DF1"/>
    <w:rsid w:val="009E0FF9"/>
    <w:rsid w:val="009E275A"/>
    <w:rsid w:val="009E412E"/>
    <w:rsid w:val="009E55A6"/>
    <w:rsid w:val="009E55EC"/>
    <w:rsid w:val="009E7DCA"/>
    <w:rsid w:val="009F200D"/>
    <w:rsid w:val="009F2DAB"/>
    <w:rsid w:val="009F3C65"/>
    <w:rsid w:val="009F3E5A"/>
    <w:rsid w:val="009F3E67"/>
    <w:rsid w:val="00A00063"/>
    <w:rsid w:val="00A01C5F"/>
    <w:rsid w:val="00A01E44"/>
    <w:rsid w:val="00A06283"/>
    <w:rsid w:val="00A07C1B"/>
    <w:rsid w:val="00A11312"/>
    <w:rsid w:val="00A11E64"/>
    <w:rsid w:val="00A1442F"/>
    <w:rsid w:val="00A14984"/>
    <w:rsid w:val="00A152D9"/>
    <w:rsid w:val="00A15FC4"/>
    <w:rsid w:val="00A207B6"/>
    <w:rsid w:val="00A20F3D"/>
    <w:rsid w:val="00A2290F"/>
    <w:rsid w:val="00A23BA5"/>
    <w:rsid w:val="00A241A3"/>
    <w:rsid w:val="00A249A3"/>
    <w:rsid w:val="00A24BAD"/>
    <w:rsid w:val="00A32366"/>
    <w:rsid w:val="00A3505C"/>
    <w:rsid w:val="00A40DF5"/>
    <w:rsid w:val="00A44053"/>
    <w:rsid w:val="00A4438C"/>
    <w:rsid w:val="00A5003A"/>
    <w:rsid w:val="00A50ED9"/>
    <w:rsid w:val="00A51F23"/>
    <w:rsid w:val="00A52434"/>
    <w:rsid w:val="00A542D6"/>
    <w:rsid w:val="00A55131"/>
    <w:rsid w:val="00A569CD"/>
    <w:rsid w:val="00A61A1B"/>
    <w:rsid w:val="00A660C4"/>
    <w:rsid w:val="00A66578"/>
    <w:rsid w:val="00A677D4"/>
    <w:rsid w:val="00A70A75"/>
    <w:rsid w:val="00A71830"/>
    <w:rsid w:val="00A71A84"/>
    <w:rsid w:val="00A744E5"/>
    <w:rsid w:val="00A76B46"/>
    <w:rsid w:val="00A8165D"/>
    <w:rsid w:val="00A83479"/>
    <w:rsid w:val="00A84218"/>
    <w:rsid w:val="00A850F7"/>
    <w:rsid w:val="00A85152"/>
    <w:rsid w:val="00A851C9"/>
    <w:rsid w:val="00A879E3"/>
    <w:rsid w:val="00A90180"/>
    <w:rsid w:val="00A9102A"/>
    <w:rsid w:val="00A95AFD"/>
    <w:rsid w:val="00A97F7D"/>
    <w:rsid w:val="00AA057F"/>
    <w:rsid w:val="00AA1599"/>
    <w:rsid w:val="00AA2F2E"/>
    <w:rsid w:val="00AA44E2"/>
    <w:rsid w:val="00AA4945"/>
    <w:rsid w:val="00AB0660"/>
    <w:rsid w:val="00AB1C00"/>
    <w:rsid w:val="00AB6302"/>
    <w:rsid w:val="00AB6473"/>
    <w:rsid w:val="00AC001E"/>
    <w:rsid w:val="00AC3905"/>
    <w:rsid w:val="00AC4716"/>
    <w:rsid w:val="00AC4C68"/>
    <w:rsid w:val="00AC7758"/>
    <w:rsid w:val="00AD099E"/>
    <w:rsid w:val="00AD3112"/>
    <w:rsid w:val="00AD4B14"/>
    <w:rsid w:val="00AD4D93"/>
    <w:rsid w:val="00AD5D51"/>
    <w:rsid w:val="00AD7996"/>
    <w:rsid w:val="00AD7B4A"/>
    <w:rsid w:val="00AE0DBC"/>
    <w:rsid w:val="00AE1A50"/>
    <w:rsid w:val="00AE2B24"/>
    <w:rsid w:val="00AE510F"/>
    <w:rsid w:val="00AE571B"/>
    <w:rsid w:val="00AE59E1"/>
    <w:rsid w:val="00AE6457"/>
    <w:rsid w:val="00AE6A35"/>
    <w:rsid w:val="00AF1704"/>
    <w:rsid w:val="00AF27CA"/>
    <w:rsid w:val="00AF3C71"/>
    <w:rsid w:val="00AF4274"/>
    <w:rsid w:val="00AF4B81"/>
    <w:rsid w:val="00AF50B7"/>
    <w:rsid w:val="00B02331"/>
    <w:rsid w:val="00B027E6"/>
    <w:rsid w:val="00B05F4C"/>
    <w:rsid w:val="00B07D93"/>
    <w:rsid w:val="00B10DFD"/>
    <w:rsid w:val="00B124D9"/>
    <w:rsid w:val="00B14C61"/>
    <w:rsid w:val="00B152E4"/>
    <w:rsid w:val="00B15781"/>
    <w:rsid w:val="00B22765"/>
    <w:rsid w:val="00B249D7"/>
    <w:rsid w:val="00B25097"/>
    <w:rsid w:val="00B2573C"/>
    <w:rsid w:val="00B26BBB"/>
    <w:rsid w:val="00B30CA7"/>
    <w:rsid w:val="00B31D3F"/>
    <w:rsid w:val="00B322DE"/>
    <w:rsid w:val="00B3241F"/>
    <w:rsid w:val="00B33C18"/>
    <w:rsid w:val="00B349CF"/>
    <w:rsid w:val="00B3639E"/>
    <w:rsid w:val="00B378E8"/>
    <w:rsid w:val="00B42EEF"/>
    <w:rsid w:val="00B43356"/>
    <w:rsid w:val="00B45A2C"/>
    <w:rsid w:val="00B47525"/>
    <w:rsid w:val="00B531C9"/>
    <w:rsid w:val="00B5449C"/>
    <w:rsid w:val="00B577B7"/>
    <w:rsid w:val="00B600CC"/>
    <w:rsid w:val="00B6112D"/>
    <w:rsid w:val="00B61DC9"/>
    <w:rsid w:val="00B620FB"/>
    <w:rsid w:val="00B63BC4"/>
    <w:rsid w:val="00B64077"/>
    <w:rsid w:val="00B7125F"/>
    <w:rsid w:val="00B73A87"/>
    <w:rsid w:val="00B73CC0"/>
    <w:rsid w:val="00B73D44"/>
    <w:rsid w:val="00B74FCE"/>
    <w:rsid w:val="00B75654"/>
    <w:rsid w:val="00B75C08"/>
    <w:rsid w:val="00B77AFE"/>
    <w:rsid w:val="00B81577"/>
    <w:rsid w:val="00B82679"/>
    <w:rsid w:val="00B85B7D"/>
    <w:rsid w:val="00B86ED2"/>
    <w:rsid w:val="00B87DBE"/>
    <w:rsid w:val="00B9013B"/>
    <w:rsid w:val="00B92556"/>
    <w:rsid w:val="00B930D6"/>
    <w:rsid w:val="00B9321D"/>
    <w:rsid w:val="00B9325F"/>
    <w:rsid w:val="00B94556"/>
    <w:rsid w:val="00B94944"/>
    <w:rsid w:val="00B952EA"/>
    <w:rsid w:val="00B96B50"/>
    <w:rsid w:val="00B97E74"/>
    <w:rsid w:val="00BA0680"/>
    <w:rsid w:val="00BA31FF"/>
    <w:rsid w:val="00BA4789"/>
    <w:rsid w:val="00BA53AC"/>
    <w:rsid w:val="00BA64D6"/>
    <w:rsid w:val="00BA7265"/>
    <w:rsid w:val="00BA7A7F"/>
    <w:rsid w:val="00BB020D"/>
    <w:rsid w:val="00BB0D23"/>
    <w:rsid w:val="00BB17E4"/>
    <w:rsid w:val="00BB4916"/>
    <w:rsid w:val="00BB511A"/>
    <w:rsid w:val="00BC0408"/>
    <w:rsid w:val="00BC0EE2"/>
    <w:rsid w:val="00BC3172"/>
    <w:rsid w:val="00BC368D"/>
    <w:rsid w:val="00BC3714"/>
    <w:rsid w:val="00BC62E5"/>
    <w:rsid w:val="00BC7F9F"/>
    <w:rsid w:val="00BD050E"/>
    <w:rsid w:val="00BD2472"/>
    <w:rsid w:val="00BD373C"/>
    <w:rsid w:val="00BD3BF6"/>
    <w:rsid w:val="00BD41EC"/>
    <w:rsid w:val="00BD5EAF"/>
    <w:rsid w:val="00BE0C42"/>
    <w:rsid w:val="00BE1323"/>
    <w:rsid w:val="00BE5748"/>
    <w:rsid w:val="00BE58BD"/>
    <w:rsid w:val="00BE5DA2"/>
    <w:rsid w:val="00BF0CBC"/>
    <w:rsid w:val="00BF0CC8"/>
    <w:rsid w:val="00BF4C09"/>
    <w:rsid w:val="00BF4E84"/>
    <w:rsid w:val="00BF700B"/>
    <w:rsid w:val="00C00856"/>
    <w:rsid w:val="00C01451"/>
    <w:rsid w:val="00C0220F"/>
    <w:rsid w:val="00C05EC2"/>
    <w:rsid w:val="00C0655C"/>
    <w:rsid w:val="00C069F0"/>
    <w:rsid w:val="00C10853"/>
    <w:rsid w:val="00C1267C"/>
    <w:rsid w:val="00C14D0E"/>
    <w:rsid w:val="00C15E5A"/>
    <w:rsid w:val="00C1765B"/>
    <w:rsid w:val="00C22961"/>
    <w:rsid w:val="00C23631"/>
    <w:rsid w:val="00C23F05"/>
    <w:rsid w:val="00C25129"/>
    <w:rsid w:val="00C26EF8"/>
    <w:rsid w:val="00C27833"/>
    <w:rsid w:val="00C305C1"/>
    <w:rsid w:val="00C36C56"/>
    <w:rsid w:val="00C4073B"/>
    <w:rsid w:val="00C40F9A"/>
    <w:rsid w:val="00C501C5"/>
    <w:rsid w:val="00C522BA"/>
    <w:rsid w:val="00C52F7B"/>
    <w:rsid w:val="00C56753"/>
    <w:rsid w:val="00C60681"/>
    <w:rsid w:val="00C61FC5"/>
    <w:rsid w:val="00C637C1"/>
    <w:rsid w:val="00C64682"/>
    <w:rsid w:val="00C65D51"/>
    <w:rsid w:val="00C7731B"/>
    <w:rsid w:val="00C828C0"/>
    <w:rsid w:val="00C8340C"/>
    <w:rsid w:val="00C83DC3"/>
    <w:rsid w:val="00C8552E"/>
    <w:rsid w:val="00C85EBF"/>
    <w:rsid w:val="00C87862"/>
    <w:rsid w:val="00C92247"/>
    <w:rsid w:val="00C93333"/>
    <w:rsid w:val="00C93C86"/>
    <w:rsid w:val="00C95AF2"/>
    <w:rsid w:val="00C95B51"/>
    <w:rsid w:val="00C96A17"/>
    <w:rsid w:val="00C97BCC"/>
    <w:rsid w:val="00CA0C2D"/>
    <w:rsid w:val="00CA0CF0"/>
    <w:rsid w:val="00CA1F35"/>
    <w:rsid w:val="00CB5248"/>
    <w:rsid w:val="00CC192A"/>
    <w:rsid w:val="00CC1C9E"/>
    <w:rsid w:val="00CC22E8"/>
    <w:rsid w:val="00CC2970"/>
    <w:rsid w:val="00CC2A8E"/>
    <w:rsid w:val="00CC4A30"/>
    <w:rsid w:val="00CC55BA"/>
    <w:rsid w:val="00CC7F42"/>
    <w:rsid w:val="00CD0691"/>
    <w:rsid w:val="00CD06CE"/>
    <w:rsid w:val="00CD1170"/>
    <w:rsid w:val="00CD15FC"/>
    <w:rsid w:val="00CD1DCA"/>
    <w:rsid w:val="00CD1E16"/>
    <w:rsid w:val="00CD2D3E"/>
    <w:rsid w:val="00CD4E9A"/>
    <w:rsid w:val="00CD5793"/>
    <w:rsid w:val="00CD7C00"/>
    <w:rsid w:val="00CE00F2"/>
    <w:rsid w:val="00CE1CCB"/>
    <w:rsid w:val="00CE4480"/>
    <w:rsid w:val="00CF11F2"/>
    <w:rsid w:val="00CF4DCD"/>
    <w:rsid w:val="00CF515B"/>
    <w:rsid w:val="00CF52A0"/>
    <w:rsid w:val="00D02B3E"/>
    <w:rsid w:val="00D10458"/>
    <w:rsid w:val="00D12826"/>
    <w:rsid w:val="00D13B64"/>
    <w:rsid w:val="00D14F53"/>
    <w:rsid w:val="00D1730E"/>
    <w:rsid w:val="00D17BDF"/>
    <w:rsid w:val="00D22BB1"/>
    <w:rsid w:val="00D24094"/>
    <w:rsid w:val="00D250BB"/>
    <w:rsid w:val="00D255E6"/>
    <w:rsid w:val="00D303BE"/>
    <w:rsid w:val="00D33845"/>
    <w:rsid w:val="00D36161"/>
    <w:rsid w:val="00D362BA"/>
    <w:rsid w:val="00D36696"/>
    <w:rsid w:val="00D40AC7"/>
    <w:rsid w:val="00D411C6"/>
    <w:rsid w:val="00D42918"/>
    <w:rsid w:val="00D4452A"/>
    <w:rsid w:val="00D4582A"/>
    <w:rsid w:val="00D45F9F"/>
    <w:rsid w:val="00D51C4B"/>
    <w:rsid w:val="00D51F16"/>
    <w:rsid w:val="00D52482"/>
    <w:rsid w:val="00D53396"/>
    <w:rsid w:val="00D57E34"/>
    <w:rsid w:val="00D605CC"/>
    <w:rsid w:val="00D6217C"/>
    <w:rsid w:val="00D633C1"/>
    <w:rsid w:val="00D662CF"/>
    <w:rsid w:val="00D709B6"/>
    <w:rsid w:val="00D70CC3"/>
    <w:rsid w:val="00D7332B"/>
    <w:rsid w:val="00D75716"/>
    <w:rsid w:val="00D770A4"/>
    <w:rsid w:val="00D8571F"/>
    <w:rsid w:val="00D86095"/>
    <w:rsid w:val="00D86D30"/>
    <w:rsid w:val="00D92A54"/>
    <w:rsid w:val="00D93121"/>
    <w:rsid w:val="00D93632"/>
    <w:rsid w:val="00D96749"/>
    <w:rsid w:val="00DA32C5"/>
    <w:rsid w:val="00DA467D"/>
    <w:rsid w:val="00DB01E6"/>
    <w:rsid w:val="00DB22E9"/>
    <w:rsid w:val="00DB2CA2"/>
    <w:rsid w:val="00DB30CC"/>
    <w:rsid w:val="00DB5BF6"/>
    <w:rsid w:val="00DC0B18"/>
    <w:rsid w:val="00DC1555"/>
    <w:rsid w:val="00DC23F8"/>
    <w:rsid w:val="00DC351C"/>
    <w:rsid w:val="00DC35F9"/>
    <w:rsid w:val="00DC76EA"/>
    <w:rsid w:val="00DD0A97"/>
    <w:rsid w:val="00DD130E"/>
    <w:rsid w:val="00DD2C54"/>
    <w:rsid w:val="00DD34B4"/>
    <w:rsid w:val="00DD4365"/>
    <w:rsid w:val="00DD4B2B"/>
    <w:rsid w:val="00DD5740"/>
    <w:rsid w:val="00DD5F3F"/>
    <w:rsid w:val="00DE10BA"/>
    <w:rsid w:val="00DE4991"/>
    <w:rsid w:val="00DE5663"/>
    <w:rsid w:val="00DE6F9F"/>
    <w:rsid w:val="00DF1832"/>
    <w:rsid w:val="00DF4610"/>
    <w:rsid w:val="00DF55D3"/>
    <w:rsid w:val="00DF5ABC"/>
    <w:rsid w:val="00DF6632"/>
    <w:rsid w:val="00E01D08"/>
    <w:rsid w:val="00E02CEF"/>
    <w:rsid w:val="00E04DA9"/>
    <w:rsid w:val="00E0733D"/>
    <w:rsid w:val="00E11F7B"/>
    <w:rsid w:val="00E11F97"/>
    <w:rsid w:val="00E14874"/>
    <w:rsid w:val="00E15EC7"/>
    <w:rsid w:val="00E174A2"/>
    <w:rsid w:val="00E22205"/>
    <w:rsid w:val="00E226D8"/>
    <w:rsid w:val="00E23C88"/>
    <w:rsid w:val="00E23F56"/>
    <w:rsid w:val="00E259DA"/>
    <w:rsid w:val="00E26B13"/>
    <w:rsid w:val="00E30BA9"/>
    <w:rsid w:val="00E31446"/>
    <w:rsid w:val="00E33850"/>
    <w:rsid w:val="00E33FC6"/>
    <w:rsid w:val="00E35BED"/>
    <w:rsid w:val="00E363CC"/>
    <w:rsid w:val="00E36972"/>
    <w:rsid w:val="00E36B04"/>
    <w:rsid w:val="00E36B85"/>
    <w:rsid w:val="00E40D0B"/>
    <w:rsid w:val="00E4479B"/>
    <w:rsid w:val="00E479D9"/>
    <w:rsid w:val="00E54BB2"/>
    <w:rsid w:val="00E5527F"/>
    <w:rsid w:val="00E55FFD"/>
    <w:rsid w:val="00E565F1"/>
    <w:rsid w:val="00E619C5"/>
    <w:rsid w:val="00E64F53"/>
    <w:rsid w:val="00E668B0"/>
    <w:rsid w:val="00E67430"/>
    <w:rsid w:val="00E730BF"/>
    <w:rsid w:val="00E732FC"/>
    <w:rsid w:val="00E74B6E"/>
    <w:rsid w:val="00E74DB5"/>
    <w:rsid w:val="00E75C99"/>
    <w:rsid w:val="00E77462"/>
    <w:rsid w:val="00E8149C"/>
    <w:rsid w:val="00E81A86"/>
    <w:rsid w:val="00E8358F"/>
    <w:rsid w:val="00E83CEE"/>
    <w:rsid w:val="00E853A5"/>
    <w:rsid w:val="00E9024A"/>
    <w:rsid w:val="00E95549"/>
    <w:rsid w:val="00E95CD6"/>
    <w:rsid w:val="00E97CF2"/>
    <w:rsid w:val="00EA17A6"/>
    <w:rsid w:val="00EA348D"/>
    <w:rsid w:val="00EA45C8"/>
    <w:rsid w:val="00EA49C1"/>
    <w:rsid w:val="00EA5735"/>
    <w:rsid w:val="00EA5D30"/>
    <w:rsid w:val="00EA6BAB"/>
    <w:rsid w:val="00EB0C5F"/>
    <w:rsid w:val="00EB0EA2"/>
    <w:rsid w:val="00EB2E44"/>
    <w:rsid w:val="00EB2EA0"/>
    <w:rsid w:val="00EB75C8"/>
    <w:rsid w:val="00EC0291"/>
    <w:rsid w:val="00EC0D83"/>
    <w:rsid w:val="00EC49D2"/>
    <w:rsid w:val="00EC783E"/>
    <w:rsid w:val="00EC7C07"/>
    <w:rsid w:val="00ED0FF3"/>
    <w:rsid w:val="00ED24B1"/>
    <w:rsid w:val="00ED6C65"/>
    <w:rsid w:val="00ED7A32"/>
    <w:rsid w:val="00EE5CF6"/>
    <w:rsid w:val="00EF3EBA"/>
    <w:rsid w:val="00EF6807"/>
    <w:rsid w:val="00F0381A"/>
    <w:rsid w:val="00F04196"/>
    <w:rsid w:val="00F04214"/>
    <w:rsid w:val="00F04275"/>
    <w:rsid w:val="00F04433"/>
    <w:rsid w:val="00F045DF"/>
    <w:rsid w:val="00F11490"/>
    <w:rsid w:val="00F12CE8"/>
    <w:rsid w:val="00F1336A"/>
    <w:rsid w:val="00F1393B"/>
    <w:rsid w:val="00F13BB2"/>
    <w:rsid w:val="00F13D6E"/>
    <w:rsid w:val="00F14B5B"/>
    <w:rsid w:val="00F152CD"/>
    <w:rsid w:val="00F155FC"/>
    <w:rsid w:val="00F16F0A"/>
    <w:rsid w:val="00F16FE4"/>
    <w:rsid w:val="00F17F82"/>
    <w:rsid w:val="00F21EF1"/>
    <w:rsid w:val="00F225BE"/>
    <w:rsid w:val="00F22CD6"/>
    <w:rsid w:val="00F23388"/>
    <w:rsid w:val="00F25B28"/>
    <w:rsid w:val="00F26644"/>
    <w:rsid w:val="00F2729F"/>
    <w:rsid w:val="00F27C2F"/>
    <w:rsid w:val="00F3192C"/>
    <w:rsid w:val="00F31B5B"/>
    <w:rsid w:val="00F3253C"/>
    <w:rsid w:val="00F3358E"/>
    <w:rsid w:val="00F347AD"/>
    <w:rsid w:val="00F372F7"/>
    <w:rsid w:val="00F4053C"/>
    <w:rsid w:val="00F40F3F"/>
    <w:rsid w:val="00F417EB"/>
    <w:rsid w:val="00F45FE2"/>
    <w:rsid w:val="00F501E4"/>
    <w:rsid w:val="00F539FC"/>
    <w:rsid w:val="00F54C7C"/>
    <w:rsid w:val="00F55923"/>
    <w:rsid w:val="00F561F3"/>
    <w:rsid w:val="00F568BB"/>
    <w:rsid w:val="00F62360"/>
    <w:rsid w:val="00F65DA5"/>
    <w:rsid w:val="00F66A6A"/>
    <w:rsid w:val="00F708EB"/>
    <w:rsid w:val="00F70E1E"/>
    <w:rsid w:val="00F742E8"/>
    <w:rsid w:val="00F767AA"/>
    <w:rsid w:val="00F80F7C"/>
    <w:rsid w:val="00F81566"/>
    <w:rsid w:val="00F82C17"/>
    <w:rsid w:val="00F82E48"/>
    <w:rsid w:val="00F83370"/>
    <w:rsid w:val="00F849DE"/>
    <w:rsid w:val="00F85055"/>
    <w:rsid w:val="00F869CF"/>
    <w:rsid w:val="00F87385"/>
    <w:rsid w:val="00F877E1"/>
    <w:rsid w:val="00F87E5A"/>
    <w:rsid w:val="00F918B2"/>
    <w:rsid w:val="00F94CE6"/>
    <w:rsid w:val="00F96411"/>
    <w:rsid w:val="00F97597"/>
    <w:rsid w:val="00F978B9"/>
    <w:rsid w:val="00FA0356"/>
    <w:rsid w:val="00FA15D4"/>
    <w:rsid w:val="00FA1C9D"/>
    <w:rsid w:val="00FA1EB9"/>
    <w:rsid w:val="00FB0A93"/>
    <w:rsid w:val="00FB113F"/>
    <w:rsid w:val="00FB13E8"/>
    <w:rsid w:val="00FB2164"/>
    <w:rsid w:val="00FB3A43"/>
    <w:rsid w:val="00FB65F5"/>
    <w:rsid w:val="00FC18AB"/>
    <w:rsid w:val="00FC1FCC"/>
    <w:rsid w:val="00FC719F"/>
    <w:rsid w:val="00FD0B73"/>
    <w:rsid w:val="00FD22D0"/>
    <w:rsid w:val="00FD22E9"/>
    <w:rsid w:val="00FD23A6"/>
    <w:rsid w:val="00FD26B4"/>
    <w:rsid w:val="00FD2AB9"/>
    <w:rsid w:val="00FD4DE5"/>
    <w:rsid w:val="00FD7DB9"/>
    <w:rsid w:val="00FE00F7"/>
    <w:rsid w:val="00FE06B6"/>
    <w:rsid w:val="00FE24EA"/>
    <w:rsid w:val="00FE33C8"/>
    <w:rsid w:val="00FE47F7"/>
    <w:rsid w:val="00FE525F"/>
    <w:rsid w:val="00FE7562"/>
    <w:rsid w:val="00FE7C58"/>
    <w:rsid w:val="00FF0246"/>
    <w:rsid w:val="00FF070F"/>
    <w:rsid w:val="00FF311D"/>
    <w:rsid w:val="00FF3BD0"/>
    <w:rsid w:val="00FF50BD"/>
    <w:rsid w:val="00FF6D4A"/>
    <w:rsid w:val="00FF7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D873FC23-5E0C-4DF5-9B1B-420BEB1F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900308"/>
    <w:pPr>
      <w:keepNext/>
      <w:spacing w:line="240" w:lineRule="auto"/>
      <w:jc w:val="center"/>
      <w:outlineLvl w:val="0"/>
    </w:pPr>
    <w:rPr>
      <w:rFonts w:ascii="Arial" w:hAnsi="Arial"/>
      <w:b/>
      <w:smallCaps/>
      <w:kern w:val="28"/>
      <w:sz w:val="34"/>
    </w:rPr>
  </w:style>
  <w:style w:type="paragraph" w:styleId="Heading2">
    <w:name w:val="heading 2"/>
    <w:basedOn w:val="Normal"/>
    <w:next w:val="Normal"/>
    <w:link w:val="Heading2Char"/>
    <w:qFormat/>
    <w:rsid w:val="00900308"/>
    <w:pPr>
      <w:keepNext/>
      <w:spacing w:before="360" w:after="360" w:line="240" w:lineRule="auto"/>
      <w:jc w:val="left"/>
      <w:outlineLvl w:val="1"/>
    </w:pPr>
    <w:rPr>
      <w:rFonts w:ascii="Arial" w:hAnsi="Arial"/>
      <w:sz w:val="30"/>
    </w:rPr>
  </w:style>
  <w:style w:type="paragraph" w:styleId="Heading3">
    <w:name w:val="heading 3"/>
    <w:basedOn w:val="Normal"/>
    <w:next w:val="Normal"/>
    <w:link w:val="Heading3Char"/>
    <w:qFormat/>
    <w:rsid w:val="00FD100E"/>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paragraph" w:styleId="Heading5">
    <w:name w:val="heading 5"/>
    <w:basedOn w:val="Normal"/>
    <w:next w:val="Normal"/>
    <w:link w:val="Heading5Char"/>
    <w:uiPriority w:val="9"/>
    <w:semiHidden/>
    <w:unhideWhenUsed/>
    <w:qFormat/>
    <w:rsid w:val="00191970"/>
    <w:pPr>
      <w:keepNext/>
      <w:spacing w:before="40" w:after="0"/>
      <w:outlineLvl w:val="4"/>
    </w:pPr>
    <w:rPr>
      <w:rFonts w:ascii="Calibri Light"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Heading1">
    <w:name w:val="TP Heading 1"/>
    <w:basedOn w:val="Normal"/>
    <w:rsid w:val="00594DE8"/>
    <w:pPr>
      <w:keepNext/>
      <w:spacing w:after="0" w:line="240" w:lineRule="auto"/>
      <w:jc w:val="center"/>
    </w:pPr>
    <w:rPr>
      <w:rFonts w:ascii="Georgia" w:hAnsi="Georgia" w:cs="Arial"/>
      <w:b/>
      <w:caps/>
      <w:sz w:val="28"/>
      <w:szCs w:val="32"/>
    </w:rPr>
  </w:style>
  <w:style w:type="paragraph" w:customStyle="1" w:styleId="TPHeading2">
    <w:name w:val="TP Heading 2"/>
    <w:basedOn w:val="TPHeading1"/>
    <w:rsid w:val="00594DE8"/>
    <w:rPr>
      <w:b w:val="0"/>
    </w:rPr>
  </w:style>
  <w:style w:type="character" w:customStyle="1" w:styleId="A5">
    <w:name w:val="A5"/>
    <w:uiPriority w:val="99"/>
    <w:rsid w:val="00746C8E"/>
    <w:rPr>
      <w:rFonts w:ascii="Swiss 721 BT" w:hAnsi="Swiss 721 BT" w:cs="Swiss 721 BT"/>
      <w:color w:val="000000"/>
      <w:sz w:val="20"/>
      <w:szCs w:val="20"/>
    </w:rPr>
  </w:style>
  <w:style w:type="character" w:styleId="Hyperlink">
    <w:name w:val="Hyperlink"/>
    <w:uiPriority w:val="99"/>
    <w:unhideWhenUsed/>
    <w:rsid w:val="00746C8E"/>
    <w:rPr>
      <w:rFonts w:ascii="Book Antiqua" w:hAnsi="Book Antiqua"/>
      <w:color w:val="auto"/>
      <w:sz w:val="20"/>
      <w:u w:val="none"/>
    </w:rPr>
  </w:style>
  <w:style w:type="paragraph" w:customStyle="1" w:styleId="Exampletext">
    <w:name w:val="Example text"/>
    <w:basedOn w:val="Normal"/>
    <w:link w:val="ExampletextCharChar"/>
    <w:rsid w:val="00304FBA"/>
    <w:rPr>
      <w:i/>
      <w:color w:val="FF0000"/>
    </w:rPr>
  </w:style>
  <w:style w:type="character" w:customStyle="1" w:styleId="ExampletextCharChar">
    <w:name w:val="Example text Char Char"/>
    <w:link w:val="Exampletext"/>
    <w:locked/>
    <w:rsid w:val="00304FBA"/>
    <w:rPr>
      <w:rFonts w:ascii="Book Antiqua" w:eastAsia="Times New Roman" w:hAnsi="Book Antiqua" w:cs="Times New Roman"/>
      <w:i/>
      <w:color w:val="FF0000"/>
      <w:sz w:val="20"/>
      <w:szCs w:val="20"/>
      <w:lang w:val="en-AU" w:eastAsia="en-AU"/>
    </w:rPr>
  </w:style>
  <w:style w:type="table" w:styleId="TableGrid">
    <w:name w:val="Table Grid"/>
    <w:basedOn w:val="TableNormal"/>
    <w:rsid w:val="00304FBA"/>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04FBA"/>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304FBA"/>
    <w:rPr>
      <w:rFonts w:ascii="Arial" w:eastAsia="Times New Roman" w:hAnsi="Arial" w:cs="Times New Roman"/>
      <w:sz w:val="20"/>
      <w:szCs w:val="20"/>
      <w:lang w:val="en-AU" w:eastAsia="en-AU"/>
    </w:rPr>
  </w:style>
  <w:style w:type="character" w:customStyle="1" w:styleId="Heading4Char">
    <w:name w:val="Heading 4 Char"/>
    <w:link w:val="Heading4"/>
    <w:rsid w:val="00745F1B"/>
    <w:rPr>
      <w:rFonts w:ascii="Arial" w:eastAsia="Times New Roman" w:hAnsi="Arial" w:cs="Times New Roman"/>
      <w:b/>
      <w:bCs/>
      <w:szCs w:val="20"/>
      <w:lang w:val="en-AU" w:eastAsia="en-AU"/>
    </w:rPr>
  </w:style>
  <w:style w:type="paragraph" w:styleId="Title">
    <w:name w:val="Title"/>
    <w:basedOn w:val="Normal"/>
    <w:next w:val="Normal"/>
    <w:link w:val="TitleChar"/>
    <w:uiPriority w:val="10"/>
    <w:qFormat/>
    <w:rsid w:val="00D96749"/>
    <w:pPr>
      <w:keepLines w:val="0"/>
      <w:spacing w:after="0" w:line="240" w:lineRule="auto"/>
      <w:contextualSpacing/>
      <w:jc w:val="left"/>
    </w:pPr>
    <w:rPr>
      <w:rFonts w:ascii="Calibri Light" w:hAnsi="Calibri Light"/>
      <w:spacing w:val="-10"/>
      <w:kern w:val="28"/>
      <w:sz w:val="56"/>
      <w:szCs w:val="56"/>
      <w:lang w:eastAsia="en-US"/>
    </w:rPr>
  </w:style>
  <w:style w:type="character" w:customStyle="1" w:styleId="TitleChar">
    <w:name w:val="Title Char"/>
    <w:basedOn w:val="DefaultParagraphFont"/>
    <w:link w:val="Title"/>
    <w:uiPriority w:val="10"/>
    <w:rsid w:val="00D96749"/>
    <w:rPr>
      <w:rFonts w:ascii="Calibri Light" w:eastAsia="Times New Roman" w:hAnsi="Calibri Light" w:cs="Times New Roman"/>
      <w:spacing w:val="-10"/>
      <w:kern w:val="28"/>
      <w:sz w:val="56"/>
      <w:szCs w:val="56"/>
      <w:lang w:val="en-AU"/>
    </w:rPr>
  </w:style>
  <w:style w:type="paragraph" w:customStyle="1" w:styleId="PartHeading">
    <w:name w:val="Part Heading"/>
    <w:basedOn w:val="Title"/>
    <w:next w:val="Normal"/>
    <w:rsid w:val="00D96749"/>
    <w:pPr>
      <w:spacing w:after="480"/>
      <w:contextualSpacing w:val="0"/>
      <w:jc w:val="center"/>
    </w:pPr>
    <w:rPr>
      <w:rFonts w:ascii="Arial Bold" w:hAnsi="Arial Bold" w:cs="Arial"/>
      <w:b/>
      <w:bCs/>
      <w:spacing w:val="0"/>
      <w:sz w:val="52"/>
      <w:szCs w:val="32"/>
      <w:lang w:eastAsia="en-AU"/>
    </w:rPr>
  </w:style>
  <w:style w:type="character" w:customStyle="1" w:styleId="Heading1Char">
    <w:name w:val="Heading 1 Char"/>
    <w:link w:val="Heading1"/>
    <w:rsid w:val="00900308"/>
    <w:rPr>
      <w:rFonts w:ascii="Arial" w:eastAsia="Times New Roman" w:hAnsi="Arial" w:cs="Times New Roman"/>
      <w:b/>
      <w:smallCaps/>
      <w:kern w:val="28"/>
      <w:sz w:val="34"/>
      <w:szCs w:val="20"/>
      <w:lang w:val="en-AU" w:eastAsia="en-AU"/>
    </w:rPr>
  </w:style>
  <w:style w:type="character" w:customStyle="1" w:styleId="Heading2Char">
    <w:name w:val="Heading 2 Char"/>
    <w:link w:val="Heading2"/>
    <w:rsid w:val="00900308"/>
    <w:rPr>
      <w:rFonts w:ascii="Arial" w:eastAsia="Times New Roman" w:hAnsi="Arial" w:cs="Times New Roman"/>
      <w:sz w:val="30"/>
      <w:szCs w:val="20"/>
      <w:lang w:val="en-AU" w:eastAsia="en-AU"/>
    </w:rPr>
  </w:style>
  <w:style w:type="paragraph" w:customStyle="1" w:styleId="Heading2NoTOC">
    <w:name w:val="Heading 2 No TOC"/>
    <w:basedOn w:val="Heading2"/>
    <w:qFormat/>
    <w:rsid w:val="00297728"/>
    <w:pPr>
      <w:keepLines w:val="0"/>
      <w:spacing w:before="0"/>
      <w:outlineLvl w:val="9"/>
    </w:pPr>
  </w:style>
  <w:style w:type="paragraph" w:styleId="Header">
    <w:name w:val="header"/>
    <w:basedOn w:val="Normal"/>
    <w:link w:val="HeaderChar"/>
    <w:uiPriority w:val="99"/>
    <w:rsid w:val="00900308"/>
    <w:pPr>
      <w:tabs>
        <w:tab w:val="center" w:pos="4153"/>
        <w:tab w:val="right" w:pos="8306"/>
      </w:tabs>
      <w:spacing w:after="0" w:line="240" w:lineRule="auto"/>
      <w:jc w:val="left"/>
    </w:pPr>
    <w:rPr>
      <w:i/>
    </w:rPr>
  </w:style>
  <w:style w:type="character" w:customStyle="1" w:styleId="HeaderChar">
    <w:name w:val="Header Char"/>
    <w:link w:val="Header"/>
    <w:uiPriority w:val="99"/>
    <w:rsid w:val="00900308"/>
    <w:rPr>
      <w:rFonts w:ascii="Book Antiqua" w:eastAsia="Times New Roman" w:hAnsi="Book Antiqua" w:cs="Times New Roman"/>
      <w:i/>
      <w:sz w:val="20"/>
      <w:szCs w:val="20"/>
      <w:lang w:val="en-AU" w:eastAsia="en-AU"/>
    </w:rPr>
  </w:style>
  <w:style w:type="paragraph" w:customStyle="1" w:styleId="ContentsHeading">
    <w:name w:val="Contents Heading"/>
    <w:basedOn w:val="Normal"/>
    <w:next w:val="Normal"/>
    <w:rsid w:val="000F2E27"/>
    <w:pPr>
      <w:keepNext/>
      <w:spacing w:after="360" w:line="240" w:lineRule="auto"/>
      <w:jc w:val="center"/>
    </w:pPr>
    <w:rPr>
      <w:rFonts w:ascii="Arial" w:hAnsi="Arial"/>
      <w:b/>
      <w:smallCaps/>
      <w:sz w:val="34"/>
    </w:rPr>
  </w:style>
  <w:style w:type="paragraph" w:styleId="TOC1">
    <w:name w:val="toc 1"/>
    <w:basedOn w:val="Normal"/>
    <w:next w:val="Normal"/>
    <w:autoRedefine/>
    <w:rsid w:val="00D52482"/>
    <w:pPr>
      <w:tabs>
        <w:tab w:val="right" w:leader="dot" w:pos="7700"/>
      </w:tabs>
      <w:spacing w:before="240" w:after="0" w:line="240" w:lineRule="auto"/>
      <w:ind w:right="851"/>
      <w:jc w:val="left"/>
    </w:pPr>
    <w:rPr>
      <w:rFonts w:ascii="Arial" w:hAnsi="Arial"/>
      <w:b/>
      <w:caps/>
    </w:rPr>
  </w:style>
  <w:style w:type="paragraph" w:styleId="ListParagraph">
    <w:name w:val="List Paragraph"/>
    <w:basedOn w:val="Normal"/>
    <w:uiPriority w:val="34"/>
    <w:qFormat/>
    <w:rsid w:val="00927B54"/>
    <w:pPr>
      <w:keepLines w:val="0"/>
      <w:ind w:left="720" w:hanging="284"/>
      <w:contextualSpacing/>
    </w:pPr>
    <w:rPr>
      <w:rFonts w:eastAsiaTheme="minorHAnsi" w:cstheme="minorBidi"/>
      <w:sz w:val="22"/>
      <w:szCs w:val="22"/>
      <w:lang w:val="en-US" w:eastAsia="en-US"/>
    </w:rPr>
  </w:style>
  <w:style w:type="paragraph" w:customStyle="1" w:styleId="HeaderEven">
    <w:name w:val="Header Even"/>
    <w:basedOn w:val="Normal"/>
    <w:rsid w:val="004F5CE7"/>
    <w:pPr>
      <w:keepLines w:val="0"/>
      <w:spacing w:after="0" w:line="240" w:lineRule="auto"/>
      <w:jc w:val="left"/>
    </w:pPr>
    <w:rPr>
      <w:rFonts w:ascii="Arial" w:hAnsi="Arial"/>
      <w:sz w:val="18"/>
    </w:rPr>
  </w:style>
  <w:style w:type="paragraph" w:customStyle="1" w:styleId="TableHeading">
    <w:name w:val="Table Heading"/>
    <w:basedOn w:val="Normal"/>
    <w:next w:val="TableGraphic"/>
    <w:link w:val="TableHeadingChar"/>
    <w:rsid w:val="00A64635"/>
    <w:pPr>
      <w:keepNext/>
      <w:keepLines w:val="0"/>
      <w:spacing w:before="120" w:after="20" w:line="240" w:lineRule="auto"/>
      <w:jc w:val="left"/>
    </w:pPr>
    <w:rPr>
      <w:rFonts w:ascii="Arial" w:hAnsi="Arial"/>
      <w:b/>
    </w:rPr>
  </w:style>
  <w:style w:type="paragraph" w:customStyle="1" w:styleId="TableGraphic">
    <w:name w:val="Table Graphic"/>
    <w:basedOn w:val="Normal"/>
    <w:next w:val="Normal"/>
    <w:uiPriority w:val="99"/>
    <w:rsid w:val="00A64635"/>
    <w:pPr>
      <w:keepLines w:val="0"/>
      <w:spacing w:after="0" w:line="240" w:lineRule="auto"/>
      <w:ind w:right="-113"/>
    </w:pPr>
    <w:rPr>
      <w:i/>
      <w:color w:val="FF0000"/>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paragraph" w:customStyle="1" w:styleId="HeadingsBoxes">
    <w:name w:val="Headings Boxes"/>
    <w:basedOn w:val="Normal"/>
    <w:qFormat/>
    <w:rsid w:val="00AA057F"/>
    <w:pPr>
      <w:keepLines w:val="0"/>
      <w:autoSpaceDE w:val="0"/>
      <w:autoSpaceDN w:val="0"/>
      <w:adjustRightInd w:val="0"/>
      <w:spacing w:before="120" w:after="120" w:line="288" w:lineRule="auto"/>
      <w:jc w:val="center"/>
    </w:pPr>
    <w:rPr>
      <w:rFonts w:ascii="Arial" w:eastAsia="Calibri" w:hAnsi="Arial" w:cs="Arial"/>
      <w:b/>
      <w:bCs/>
      <w:color w:val="000000"/>
      <w:sz w:val="16"/>
      <w:szCs w:val="16"/>
      <w:lang w:eastAsia="en-US"/>
    </w:rPr>
  </w:style>
  <w:style w:type="paragraph" w:styleId="TOC2">
    <w:name w:val="toc 2"/>
    <w:basedOn w:val="Normal"/>
    <w:next w:val="Normal"/>
    <w:autoRedefine/>
    <w:rsid w:val="00EB1A8B"/>
    <w:pPr>
      <w:keepNext/>
      <w:tabs>
        <w:tab w:val="right" w:leader="dot" w:pos="7700"/>
      </w:tabs>
      <w:spacing w:before="80" w:after="0" w:line="240" w:lineRule="auto"/>
      <w:ind w:right="851"/>
      <w:jc w:val="left"/>
    </w:pPr>
    <w:rPr>
      <w:rFonts w:ascii="Arial" w:hAnsi="Arial"/>
    </w:rPr>
  </w:style>
  <w:style w:type="paragraph" w:customStyle="1" w:styleId="Department">
    <w:name w:val="Department"/>
    <w:basedOn w:val="Normal"/>
    <w:rsid w:val="000E545B"/>
    <w:pPr>
      <w:spacing w:after="0" w:line="240" w:lineRule="auto"/>
      <w:jc w:val="center"/>
    </w:pPr>
    <w:rPr>
      <w:rFonts w:ascii="Arial" w:hAnsi="Arial"/>
      <w:b/>
      <w:sz w:val="52"/>
    </w:rPr>
  </w:style>
  <w:style w:type="paragraph" w:customStyle="1" w:styleId="PartHeading-TOC">
    <w:name w:val="Part Heading - TOC"/>
    <w:basedOn w:val="PartHeading"/>
    <w:rsid w:val="00FA15D4"/>
    <w:rPr>
      <w:rFonts w:ascii="Arial" w:hAnsi="Arial"/>
      <w:smallCaps/>
    </w:rPr>
  </w:style>
  <w:style w:type="character" w:customStyle="1" w:styleId="Heading3Char">
    <w:name w:val="Heading 3 Char"/>
    <w:link w:val="Heading3"/>
    <w:rsid w:val="00FD100E"/>
    <w:rPr>
      <w:rFonts w:ascii="Arial" w:eastAsia="Times New Roman" w:hAnsi="Arial" w:cs="Times New Roman"/>
      <w:b/>
      <w:smallCaps/>
      <w:sz w:val="26"/>
      <w:szCs w:val="20"/>
      <w:lang w:val="en-AU" w:eastAsia="en-AU"/>
    </w:rPr>
  </w:style>
  <w:style w:type="character" w:styleId="FootnoteReference">
    <w:name w:val="footnote reference"/>
    <w:uiPriority w:val="99"/>
    <w:rsid w:val="00663F72"/>
    <w:rPr>
      <w:rFonts w:ascii="Book Antiqua" w:hAnsi="Book Antiqua"/>
      <w:b w:val="0"/>
      <w:i w:val="0"/>
      <w:sz w:val="20"/>
      <w:vertAlign w:val="superscript"/>
    </w:rPr>
  </w:style>
  <w:style w:type="paragraph" w:styleId="FootnoteText">
    <w:name w:val="footnote text"/>
    <w:basedOn w:val="Normal"/>
    <w:link w:val="FootnoteTextChar"/>
    <w:uiPriority w:val="99"/>
    <w:rsid w:val="00663F72"/>
    <w:pPr>
      <w:keepLines w:val="0"/>
      <w:spacing w:after="60" w:line="240" w:lineRule="auto"/>
      <w:ind w:left="108" w:hanging="108"/>
      <w:jc w:val="left"/>
    </w:pPr>
    <w:rPr>
      <w:sz w:val="16"/>
    </w:rPr>
  </w:style>
  <w:style w:type="character" w:customStyle="1" w:styleId="FootnoteTextChar">
    <w:name w:val="Footnote Text Char"/>
    <w:link w:val="FootnoteText"/>
    <w:uiPriority w:val="99"/>
    <w:rsid w:val="00663F72"/>
    <w:rPr>
      <w:rFonts w:ascii="Book Antiqua" w:eastAsia="Times New Roman" w:hAnsi="Book Antiqua" w:cs="Times New Roman"/>
      <w:sz w:val="16"/>
      <w:szCs w:val="20"/>
      <w:lang w:val="en-AU" w:eastAsia="en-AU"/>
    </w:rPr>
  </w:style>
  <w:style w:type="table" w:customStyle="1" w:styleId="CDMRange1">
    <w:name w:val="CDM Range 1"/>
    <w:basedOn w:val="TableNormal"/>
    <w:next w:val="TableNormal"/>
    <w:uiPriority w:val="99"/>
    <w:semiHidden/>
    <w:unhideWhenUsed/>
    <w:tblPr/>
  </w:style>
  <w:style w:type="table" w:customStyle="1" w:styleId="CDMRange2">
    <w:name w:val="CDM Range 2"/>
    <w:basedOn w:val="TableNormal"/>
    <w:next w:val="TableNormal"/>
    <w:uiPriority w:val="99"/>
    <w:semiHidden/>
    <w:unhideWhenUsed/>
    <w:tblPr/>
  </w:style>
  <w:style w:type="paragraph" w:customStyle="1" w:styleId="Source">
    <w:name w:val="Source"/>
    <w:basedOn w:val="Normal"/>
    <w:rsid w:val="00ED6780"/>
    <w:pPr>
      <w:tabs>
        <w:tab w:val="left" w:pos="284"/>
      </w:tabs>
      <w:spacing w:after="0" w:line="240" w:lineRule="auto"/>
    </w:pPr>
    <w:rPr>
      <w:rFonts w:ascii="Arial" w:hAnsi="Arial"/>
      <w:sz w:val="16"/>
    </w:rPr>
  </w:style>
  <w:style w:type="paragraph" w:customStyle="1" w:styleId="ChartandTableFootnoteAlpha">
    <w:name w:val="Chart and Table Footnote Alpha"/>
    <w:basedOn w:val="Normal"/>
    <w:next w:val="Normal"/>
    <w:rsid w:val="00ED6780"/>
    <w:pPr>
      <w:keepNext/>
      <w:spacing w:after="0"/>
      <w:ind w:left="360" w:hanging="360"/>
    </w:pPr>
    <w:rPr>
      <w:rFonts w:ascii="Arial" w:hAnsi="Arial"/>
      <w:sz w:val="16"/>
    </w:rPr>
  </w:style>
  <w:style w:type="paragraph" w:customStyle="1" w:styleId="TableHeadingcontinued">
    <w:name w:val="Table Heading continued"/>
    <w:basedOn w:val="Normal"/>
    <w:next w:val="Normal"/>
    <w:rsid w:val="0088779F"/>
    <w:pPr>
      <w:keepNext/>
      <w:keepLines w:val="0"/>
      <w:spacing w:after="20" w:line="240" w:lineRule="auto"/>
      <w:jc w:val="left"/>
    </w:pPr>
    <w:rPr>
      <w:rFonts w:ascii="Arial Bold" w:hAnsi="Arial Bold"/>
      <w:b/>
    </w:rPr>
  </w:style>
  <w:style w:type="paragraph" w:customStyle="1" w:styleId="ChartandTableFootnote">
    <w:name w:val="Chart and Table Footnote"/>
    <w:basedOn w:val="Normal"/>
    <w:next w:val="Normal"/>
    <w:link w:val="ChartandTableFootnoteChar"/>
    <w:rsid w:val="0088779F"/>
    <w:pPr>
      <w:keepLines w:val="0"/>
      <w:tabs>
        <w:tab w:val="left" w:pos="284"/>
      </w:tabs>
      <w:spacing w:after="0" w:line="240" w:lineRule="auto"/>
    </w:pPr>
    <w:rPr>
      <w:rFonts w:ascii="Arial" w:eastAsia="Calibri" w:hAnsi="Arial" w:cs="Arial"/>
      <w:color w:val="000000"/>
      <w:sz w:val="16"/>
      <w:szCs w:val="22"/>
      <w:lang w:val="x-none" w:eastAsia="x-none"/>
    </w:rPr>
  </w:style>
  <w:style w:type="character" w:customStyle="1" w:styleId="ChartandTableFootnoteChar">
    <w:name w:val="Chart and Table Footnote Char"/>
    <w:link w:val="ChartandTableFootnote"/>
    <w:locked/>
    <w:rsid w:val="0088779F"/>
    <w:rPr>
      <w:rFonts w:ascii="Arial" w:eastAsia="Calibri" w:hAnsi="Arial" w:cs="Arial"/>
      <w:color w:val="000000"/>
      <w:sz w:val="16"/>
      <w:lang w:val="x-none" w:eastAsia="x-none"/>
    </w:rPr>
  </w:style>
  <w:style w:type="paragraph" w:customStyle="1" w:styleId="ExampleText0">
    <w:name w:val="Example Text"/>
    <w:basedOn w:val="Normal"/>
    <w:rsid w:val="0031589C"/>
    <w:pPr>
      <w:jc w:val="left"/>
    </w:pPr>
    <w:rPr>
      <w:i/>
      <w:color w:val="FF0000"/>
    </w:rPr>
  </w:style>
  <w:style w:type="character" w:customStyle="1" w:styleId="Heading5Char">
    <w:name w:val="Heading 5 Char"/>
    <w:basedOn w:val="DefaultParagraphFont"/>
    <w:link w:val="Heading5"/>
    <w:uiPriority w:val="9"/>
    <w:semiHidden/>
    <w:rsid w:val="00191970"/>
    <w:rPr>
      <w:rFonts w:ascii="Calibri Light" w:eastAsia="Times New Roman" w:hAnsi="Calibri Light" w:cs="Times New Roman"/>
      <w:color w:val="2F5496"/>
      <w:sz w:val="20"/>
      <w:szCs w:val="20"/>
      <w:lang w:val="en-AU" w:eastAsia="en-AU"/>
    </w:rPr>
  </w:style>
  <w:style w:type="paragraph" w:customStyle="1" w:styleId="Normal0">
    <w:name w:val="Normal_0"/>
    <w:qFormat/>
    <w:rsid w:val="0031589C"/>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TableColumnHeadingLeft">
    <w:name w:val="Table Column Heading Left"/>
    <w:basedOn w:val="Normal"/>
    <w:next w:val="Normal"/>
    <w:rsid w:val="00F8380F"/>
    <w:pPr>
      <w:keepLines w:val="0"/>
      <w:spacing w:before="60" w:after="60" w:line="240" w:lineRule="auto"/>
      <w:jc w:val="left"/>
    </w:pPr>
    <w:rPr>
      <w:rFonts w:ascii="Arial" w:hAnsi="Arial"/>
      <w:b/>
    </w:rPr>
  </w:style>
  <w:style w:type="paragraph" w:customStyle="1" w:styleId="TableTextBase">
    <w:name w:val="Table Text Base"/>
    <w:basedOn w:val="Normal"/>
    <w:link w:val="TableTextBaseChar"/>
    <w:rsid w:val="00F501E4"/>
    <w:pPr>
      <w:keepLines w:val="0"/>
      <w:spacing w:before="60" w:after="60" w:line="240" w:lineRule="auto"/>
      <w:jc w:val="left"/>
    </w:pPr>
    <w:rPr>
      <w:rFonts w:ascii="Arial" w:eastAsiaTheme="minorHAnsi" w:hAnsi="Arial" w:cs="Arial"/>
      <w:sz w:val="18"/>
      <w:szCs w:val="22"/>
      <w:lang w:val="en-US" w:eastAsia="en-US"/>
    </w:rPr>
  </w:style>
  <w:style w:type="character" w:customStyle="1" w:styleId="TableTextBaseChar">
    <w:name w:val="Table Text Base Char"/>
    <w:link w:val="TableTextBase"/>
    <w:locked/>
    <w:rsid w:val="00F501E4"/>
    <w:rPr>
      <w:rFonts w:ascii="Arial" w:hAnsi="Arial" w:cs="Arial"/>
      <w:sz w:val="18"/>
    </w:rPr>
  </w:style>
  <w:style w:type="paragraph" w:customStyle="1" w:styleId="TableTextLeft">
    <w:name w:val="Table Text Left"/>
    <w:basedOn w:val="TableTextBase"/>
    <w:link w:val="TableTextLeftChar"/>
    <w:rsid w:val="00F501E4"/>
  </w:style>
  <w:style w:type="character" w:customStyle="1" w:styleId="TableTextLeftChar">
    <w:name w:val="Table Text Left Char"/>
    <w:link w:val="TableTextLeft"/>
    <w:locked/>
    <w:rsid w:val="00F501E4"/>
    <w:rPr>
      <w:rFonts w:ascii="Arial" w:hAnsi="Arial" w:cs="Arial"/>
      <w:sz w:val="18"/>
    </w:rPr>
  </w:style>
  <w:style w:type="character" w:customStyle="1" w:styleId="BodyTextChar">
    <w:name w:val="Body Text Char"/>
    <w:link w:val="BodyText"/>
    <w:rsid w:val="0031589C"/>
    <w:rPr>
      <w:rFonts w:ascii="Book Antiqua" w:eastAsia="Times New Roman" w:hAnsi="Book Antiqua" w:cs="Times New Roman"/>
      <w:sz w:val="20"/>
      <w:szCs w:val="20"/>
      <w:lang w:val="en-AU" w:eastAsia="en-AU"/>
    </w:rPr>
  </w:style>
  <w:style w:type="paragraph" w:styleId="BodyText">
    <w:name w:val="Body Text"/>
    <w:basedOn w:val="Normal0"/>
    <w:link w:val="BodyTextChar"/>
    <w:rsid w:val="0031589C"/>
    <w:pPr>
      <w:spacing w:after="120"/>
    </w:pPr>
  </w:style>
  <w:style w:type="character" w:styleId="BookTitle">
    <w:name w:val="Book Title"/>
    <w:uiPriority w:val="33"/>
    <w:qFormat/>
    <w:rsid w:val="00F45FE2"/>
    <w:rPr>
      <w:rFonts w:cs="Times New Roman"/>
      <w:i/>
      <w:smallCaps/>
      <w:spacing w:val="5"/>
    </w:rPr>
  </w:style>
  <w:style w:type="paragraph" w:customStyle="1" w:styleId="Outcome">
    <w:name w:val="Outcome"/>
    <w:basedOn w:val="Normal"/>
    <w:rsid w:val="001829BA"/>
    <w:pPr>
      <w:keepLines w:val="0"/>
      <w:spacing w:before="120" w:after="120" w:line="280" w:lineRule="exact"/>
    </w:pPr>
    <w:rPr>
      <w:rFonts w:ascii="Arial" w:hAnsi="Arial" w:cs="Arial"/>
      <w:b/>
    </w:rPr>
  </w:style>
  <w:style w:type="paragraph" w:customStyle="1" w:styleId="Default">
    <w:name w:val="Default"/>
    <w:rsid w:val="00312C51"/>
    <w:pPr>
      <w:autoSpaceDE w:val="0"/>
      <w:autoSpaceDN w:val="0"/>
      <w:adjustRightInd w:val="0"/>
      <w:spacing w:after="0" w:line="240" w:lineRule="auto"/>
    </w:pPr>
    <w:rPr>
      <w:rFonts w:ascii="Book Antiqua" w:eastAsia="Times New Roman" w:hAnsi="Book Antiqua" w:cs="Book Antiqua"/>
      <w:color w:val="000000"/>
      <w:sz w:val="24"/>
      <w:szCs w:val="24"/>
      <w:lang w:val="en-AU" w:eastAsia="en-AU"/>
    </w:rPr>
  </w:style>
  <w:style w:type="paragraph" w:customStyle="1" w:styleId="ChartandTableFootnotenumbered">
    <w:name w:val="Chart and Table Footnote numbered"/>
    <w:basedOn w:val="Normal"/>
    <w:next w:val="Normal"/>
    <w:rsid w:val="00D6539D"/>
    <w:pPr>
      <w:keepNext/>
      <w:numPr>
        <w:numId w:val="55"/>
      </w:numPr>
      <w:spacing w:after="0"/>
    </w:pPr>
    <w:rPr>
      <w:rFonts w:ascii="Arial" w:hAnsi="Arial"/>
      <w:sz w:val="16"/>
    </w:rPr>
  </w:style>
  <w:style w:type="paragraph" w:customStyle="1" w:styleId="ChartandTableFootnoteAlpha-Bullet">
    <w:name w:val="Chart and Table Footnote Alpha - Bullet"/>
    <w:basedOn w:val="ChartandTableFootnoteAlpha"/>
    <w:rsid w:val="005B55F5"/>
    <w:pPr>
      <w:keepNext w:val="0"/>
      <w:keepLines w:val="0"/>
      <w:numPr>
        <w:numId w:val="58"/>
      </w:numPr>
      <w:tabs>
        <w:tab w:val="left" w:pos="454"/>
      </w:tabs>
      <w:spacing w:line="240" w:lineRule="auto"/>
      <w:ind w:left="454" w:hanging="170"/>
    </w:pPr>
    <w:rPr>
      <w:rFonts w:cs="Arial"/>
      <w:szCs w:val="16"/>
    </w:rPr>
  </w:style>
  <w:style w:type="paragraph" w:styleId="NoSpacing">
    <w:name w:val="No Spacing"/>
    <w:link w:val="NoSpacingChar"/>
    <w:uiPriority w:val="1"/>
    <w:qFormat/>
    <w:rsid w:val="002A6A1A"/>
    <w:pPr>
      <w:spacing w:after="0" w:line="240" w:lineRule="auto"/>
      <w:jc w:val="both"/>
    </w:pPr>
    <w:rPr>
      <w:rFonts w:ascii="Book Antiqua" w:eastAsia="Times New Roman" w:hAnsi="Book Antiqua" w:cs="Times New Roman"/>
      <w:sz w:val="20"/>
      <w:szCs w:val="20"/>
      <w:lang w:val="en-AU" w:eastAsia="en-AU"/>
    </w:rPr>
  </w:style>
  <w:style w:type="character" w:customStyle="1" w:styleId="NoSpacingChar">
    <w:name w:val="No Spacing Char"/>
    <w:basedOn w:val="DefaultParagraphFont"/>
    <w:link w:val="NoSpacing"/>
    <w:uiPriority w:val="1"/>
    <w:rsid w:val="004B54CA"/>
    <w:rPr>
      <w:rFonts w:ascii="Book Antiqua" w:eastAsia="Times New Roman" w:hAnsi="Book Antiqua" w:cs="Times New Roman"/>
      <w:sz w:val="20"/>
      <w:szCs w:val="20"/>
      <w:lang w:val="en-AU" w:eastAsia="en-AU"/>
    </w:rPr>
  </w:style>
  <w:style w:type="paragraph" w:styleId="ListBullet">
    <w:name w:val="List Bullet"/>
    <w:basedOn w:val="Normal"/>
    <w:uiPriority w:val="99"/>
    <w:qFormat/>
    <w:rsid w:val="00D6539D"/>
    <w:pPr>
      <w:tabs>
        <w:tab w:val="num" w:pos="643"/>
      </w:tabs>
      <w:ind w:left="360" w:hanging="360"/>
    </w:pPr>
  </w:style>
  <w:style w:type="paragraph" w:customStyle="1" w:styleId="Tabletext">
    <w:name w:val="Table text"/>
    <w:basedOn w:val="ListBullet"/>
    <w:link w:val="TabletextChar"/>
    <w:qFormat/>
    <w:rsid w:val="00780B1F"/>
    <w:pPr>
      <w:keepLines w:val="0"/>
      <w:tabs>
        <w:tab w:val="clear" w:pos="643"/>
        <w:tab w:val="num" w:pos="360"/>
      </w:tabs>
      <w:spacing w:after="80" w:line="276" w:lineRule="auto"/>
      <w:jc w:val="left"/>
    </w:pPr>
    <w:rPr>
      <w:rFonts w:ascii="Calibri Light" w:eastAsiaTheme="minorHAnsi" w:hAnsi="Calibri Light" w:cs="Calibri Light"/>
      <w:color w:val="414141"/>
      <w:sz w:val="16"/>
      <w:szCs w:val="16"/>
      <w:lang w:val="en-US" w:eastAsia="en-GB"/>
    </w:rPr>
  </w:style>
  <w:style w:type="character" w:customStyle="1" w:styleId="TabletextChar">
    <w:name w:val="Table text Char"/>
    <w:basedOn w:val="DefaultParagraphFont"/>
    <w:link w:val="Tabletext"/>
    <w:locked/>
    <w:rsid w:val="00780B1F"/>
    <w:rPr>
      <w:rFonts w:ascii="Calibri Light" w:hAnsi="Calibri Light" w:cs="Calibri Light"/>
      <w:color w:val="414141"/>
      <w:sz w:val="16"/>
      <w:szCs w:val="16"/>
      <w:lang w:eastAsia="en-GB"/>
    </w:rPr>
  </w:style>
  <w:style w:type="character" w:customStyle="1" w:styleId="FramedHeader">
    <w:name w:val="Framed Header"/>
    <w:uiPriority w:val="99"/>
    <w:rsid w:val="002A6A1A"/>
    <w:rPr>
      <w:rFonts w:ascii="Book Antiqua" w:hAnsi="Book Antiqua" w:cs="Times New Roman"/>
      <w:i/>
      <w:color w:val="auto"/>
      <w:sz w:val="18"/>
      <w:vertAlign w:val="baseline"/>
    </w:rPr>
  </w:style>
  <w:style w:type="paragraph" w:customStyle="1" w:styleId="FooterEven">
    <w:name w:val="Footer Even"/>
    <w:basedOn w:val="Footer"/>
    <w:rsid w:val="00470A7F"/>
    <w:pPr>
      <w:keepLines w:val="0"/>
      <w:jc w:val="left"/>
    </w:pPr>
    <w:rPr>
      <w:sz w:val="18"/>
    </w:rPr>
  </w:style>
  <w:style w:type="character" w:customStyle="1" w:styleId="normaltextrun">
    <w:name w:val="normaltextrun"/>
    <w:basedOn w:val="DefaultParagraphFont"/>
    <w:rsid w:val="00A879E3"/>
  </w:style>
  <w:style w:type="character" w:customStyle="1" w:styleId="eop">
    <w:name w:val="eop"/>
    <w:basedOn w:val="DefaultParagraphFont"/>
    <w:rsid w:val="00A879E3"/>
  </w:style>
  <w:style w:type="paragraph" w:customStyle="1" w:styleId="paragraph">
    <w:name w:val="paragraph"/>
    <w:basedOn w:val="Normal"/>
    <w:rsid w:val="00150EE5"/>
    <w:pPr>
      <w:keepLines w:val="0"/>
      <w:spacing w:before="100" w:beforeAutospacing="1" w:after="100" w:afterAutospacing="1" w:line="240" w:lineRule="auto"/>
      <w:jc w:val="left"/>
    </w:pPr>
    <w:rPr>
      <w:rFonts w:ascii="Times New Roman" w:hAnsi="Times New Roman"/>
      <w:sz w:val="24"/>
      <w:szCs w:val="24"/>
    </w:rPr>
  </w:style>
  <w:style w:type="paragraph" w:customStyle="1" w:styleId="Exampletextbullet">
    <w:name w:val="Example text bullet"/>
    <w:basedOn w:val="Normal"/>
    <w:semiHidden/>
    <w:rsid w:val="00711A2B"/>
    <w:pPr>
      <w:keepLines w:val="0"/>
    </w:pPr>
    <w:rPr>
      <w:i/>
      <w:color w:val="FF0000"/>
      <w:lang w:val="x-none" w:eastAsia="x-none"/>
    </w:rPr>
  </w:style>
  <w:style w:type="paragraph" w:customStyle="1" w:styleId="xmsonormal">
    <w:name w:val="x_msonormal"/>
    <w:basedOn w:val="Normal"/>
    <w:rsid w:val="003622B7"/>
    <w:pPr>
      <w:keepLines w:val="0"/>
      <w:spacing w:after="0" w:line="240" w:lineRule="auto"/>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99" Type="http://schemas.openxmlformats.org/officeDocument/2006/relationships/footer" Target="footer141.xml"/><Relationship Id="rId303" Type="http://schemas.openxmlformats.org/officeDocument/2006/relationships/footer" Target="footer143.xml"/><Relationship Id="rId21" Type="http://schemas.openxmlformats.org/officeDocument/2006/relationships/footer" Target="footer5.xml"/><Relationship Id="rId42" Type="http://schemas.openxmlformats.org/officeDocument/2006/relationships/footer" Target="footer15.xml"/><Relationship Id="rId63" Type="http://schemas.openxmlformats.org/officeDocument/2006/relationships/footer" Target="footer25.xml"/><Relationship Id="rId84" Type="http://schemas.openxmlformats.org/officeDocument/2006/relationships/footer" Target="footer36.xml"/><Relationship Id="rId138" Type="http://schemas.openxmlformats.org/officeDocument/2006/relationships/footer" Target="footer63.xml"/><Relationship Id="rId159" Type="http://schemas.openxmlformats.org/officeDocument/2006/relationships/footer" Target="footer73.xml"/><Relationship Id="rId324" Type="http://schemas.openxmlformats.org/officeDocument/2006/relationships/header" Target="header153.xml"/><Relationship Id="rId345" Type="http://schemas.openxmlformats.org/officeDocument/2006/relationships/header" Target="header164.xml"/><Relationship Id="rId170" Type="http://schemas.openxmlformats.org/officeDocument/2006/relationships/header" Target="header80.xml"/><Relationship Id="rId191" Type="http://schemas.openxmlformats.org/officeDocument/2006/relationships/header" Target="header90.xml"/><Relationship Id="rId205" Type="http://schemas.openxmlformats.org/officeDocument/2006/relationships/header" Target="header97.xml"/><Relationship Id="rId226" Type="http://schemas.openxmlformats.org/officeDocument/2006/relationships/footer" Target="footer107.xml"/><Relationship Id="rId247" Type="http://schemas.openxmlformats.org/officeDocument/2006/relationships/header" Target="header117.xml"/><Relationship Id="rId107" Type="http://schemas.openxmlformats.org/officeDocument/2006/relationships/header" Target="header48.xml"/><Relationship Id="rId268" Type="http://schemas.openxmlformats.org/officeDocument/2006/relationships/hyperlink" Target="https://www.climatechangeauthority.gov.au/corporate-plans" TargetMode="External"/><Relationship Id="rId289" Type="http://schemas.openxmlformats.org/officeDocument/2006/relationships/header" Target="header137.xml"/><Relationship Id="rId11" Type="http://schemas.openxmlformats.org/officeDocument/2006/relationships/header" Target="header1.xml"/><Relationship Id="rId32" Type="http://schemas.openxmlformats.org/officeDocument/2006/relationships/header" Target="header11.xml"/><Relationship Id="rId53" Type="http://schemas.openxmlformats.org/officeDocument/2006/relationships/header" Target="header21.xml"/><Relationship Id="rId74" Type="http://schemas.openxmlformats.org/officeDocument/2006/relationships/header" Target="header32.xml"/><Relationship Id="rId128" Type="http://schemas.openxmlformats.org/officeDocument/2006/relationships/header" Target="header59.xml"/><Relationship Id="rId149" Type="http://schemas.openxmlformats.org/officeDocument/2006/relationships/header" Target="header69.xml"/><Relationship Id="rId314" Type="http://schemas.openxmlformats.org/officeDocument/2006/relationships/footer" Target="footer148.xml"/><Relationship Id="rId335" Type="http://schemas.openxmlformats.org/officeDocument/2006/relationships/footer" Target="footer158.xml"/><Relationship Id="rId356" Type="http://schemas.openxmlformats.org/officeDocument/2006/relationships/hyperlink" Target="http://www.nopsema.gov.au" TargetMode="External"/><Relationship Id="rId5" Type="http://schemas.openxmlformats.org/officeDocument/2006/relationships/webSettings" Target="webSettings.xml"/><Relationship Id="rId95" Type="http://schemas.openxmlformats.org/officeDocument/2006/relationships/header" Target="header42.xml"/><Relationship Id="rId160" Type="http://schemas.openxmlformats.org/officeDocument/2006/relationships/footer" Target="footer74.xml"/><Relationship Id="rId181" Type="http://schemas.openxmlformats.org/officeDocument/2006/relationships/header" Target="header85.xml"/><Relationship Id="rId216" Type="http://schemas.openxmlformats.org/officeDocument/2006/relationships/footer" Target="footer102.xml"/><Relationship Id="rId237" Type="http://schemas.openxmlformats.org/officeDocument/2006/relationships/footer" Target="footer112.xml"/><Relationship Id="rId258" Type="http://schemas.openxmlformats.org/officeDocument/2006/relationships/footer" Target="footer121.xml"/><Relationship Id="rId279" Type="http://schemas.openxmlformats.org/officeDocument/2006/relationships/footer" Target="footer131.xml"/><Relationship Id="rId22" Type="http://schemas.openxmlformats.org/officeDocument/2006/relationships/header" Target="header6.xml"/><Relationship Id="rId43" Type="http://schemas.openxmlformats.org/officeDocument/2006/relationships/header" Target="header16.xml"/><Relationship Id="rId64" Type="http://schemas.openxmlformats.org/officeDocument/2006/relationships/footer" Target="footer26.xml"/><Relationship Id="rId118" Type="http://schemas.openxmlformats.org/officeDocument/2006/relationships/footer" Target="footer53.xml"/><Relationship Id="rId139" Type="http://schemas.openxmlformats.org/officeDocument/2006/relationships/header" Target="header64.xml"/><Relationship Id="rId290" Type="http://schemas.openxmlformats.org/officeDocument/2006/relationships/footer" Target="footer136.xml"/><Relationship Id="rId304" Type="http://schemas.openxmlformats.org/officeDocument/2006/relationships/header" Target="header144.xml"/><Relationship Id="rId325" Type="http://schemas.openxmlformats.org/officeDocument/2006/relationships/footer" Target="footer153.xml"/><Relationship Id="rId346" Type="http://schemas.openxmlformats.org/officeDocument/2006/relationships/footer" Target="footer163.xml"/><Relationship Id="rId85" Type="http://schemas.openxmlformats.org/officeDocument/2006/relationships/header" Target="header37.xml"/><Relationship Id="rId150" Type="http://schemas.openxmlformats.org/officeDocument/2006/relationships/footer" Target="footer69.xml"/><Relationship Id="rId171" Type="http://schemas.openxmlformats.org/officeDocument/2006/relationships/footer" Target="footer79.xml"/><Relationship Id="rId192" Type="http://schemas.openxmlformats.org/officeDocument/2006/relationships/footer" Target="footer90.xml"/><Relationship Id="rId206" Type="http://schemas.openxmlformats.org/officeDocument/2006/relationships/header" Target="header98.xml"/><Relationship Id="rId227" Type="http://schemas.openxmlformats.org/officeDocument/2006/relationships/header" Target="header108.xml"/><Relationship Id="rId248" Type="http://schemas.openxmlformats.org/officeDocument/2006/relationships/footer" Target="footer117.xml"/><Relationship Id="rId269" Type="http://schemas.openxmlformats.org/officeDocument/2006/relationships/hyperlink" Target="https://www.climatechangeauthority.gov.au/annual-reports" TargetMode="External"/><Relationship Id="rId12" Type="http://schemas.openxmlformats.org/officeDocument/2006/relationships/header" Target="header2.xml"/><Relationship Id="rId33" Type="http://schemas.openxmlformats.org/officeDocument/2006/relationships/footer" Target="footer10.xml"/><Relationship Id="rId108" Type="http://schemas.openxmlformats.org/officeDocument/2006/relationships/footer" Target="footer48.xml"/><Relationship Id="rId129" Type="http://schemas.openxmlformats.org/officeDocument/2006/relationships/footer" Target="footer58.xml"/><Relationship Id="rId280" Type="http://schemas.openxmlformats.org/officeDocument/2006/relationships/header" Target="header132.xml"/><Relationship Id="rId315" Type="http://schemas.openxmlformats.org/officeDocument/2006/relationships/footer" Target="footer149.xml"/><Relationship Id="rId336" Type="http://schemas.openxmlformats.org/officeDocument/2006/relationships/header" Target="header159.xml"/><Relationship Id="rId357" Type="http://schemas.openxmlformats.org/officeDocument/2006/relationships/header" Target="header169.xml"/><Relationship Id="rId54" Type="http://schemas.openxmlformats.org/officeDocument/2006/relationships/footer" Target="footer21.xml"/><Relationship Id="rId75" Type="http://schemas.openxmlformats.org/officeDocument/2006/relationships/footer" Target="footer31.xml"/><Relationship Id="rId96" Type="http://schemas.openxmlformats.org/officeDocument/2006/relationships/footer" Target="footer42.xml"/><Relationship Id="rId140" Type="http://schemas.openxmlformats.org/officeDocument/2006/relationships/header" Target="header65.xml"/><Relationship Id="rId161" Type="http://schemas.openxmlformats.org/officeDocument/2006/relationships/header" Target="header75.xml"/><Relationship Id="rId182" Type="http://schemas.openxmlformats.org/officeDocument/2006/relationships/header" Target="header86.xml"/><Relationship Id="rId217" Type="http://schemas.openxmlformats.org/officeDocument/2006/relationships/header" Target="header103.xml"/><Relationship Id="rId6" Type="http://schemas.openxmlformats.org/officeDocument/2006/relationships/footnotes" Target="footnotes.xml"/><Relationship Id="rId238" Type="http://schemas.openxmlformats.org/officeDocument/2006/relationships/footer" Target="footer113.xml"/><Relationship Id="rId259" Type="http://schemas.openxmlformats.org/officeDocument/2006/relationships/footer" Target="footer122.xml"/><Relationship Id="rId23" Type="http://schemas.openxmlformats.org/officeDocument/2006/relationships/footer" Target="footer6.xml"/><Relationship Id="rId119" Type="http://schemas.openxmlformats.org/officeDocument/2006/relationships/header" Target="header54.xml"/><Relationship Id="rId270" Type="http://schemas.openxmlformats.org/officeDocument/2006/relationships/header" Target="header127.xml"/><Relationship Id="rId291" Type="http://schemas.openxmlformats.org/officeDocument/2006/relationships/footer" Target="footer137.xml"/><Relationship Id="rId305" Type="http://schemas.openxmlformats.org/officeDocument/2006/relationships/footer" Target="footer144.xml"/><Relationship Id="rId326" Type="http://schemas.openxmlformats.org/officeDocument/2006/relationships/header" Target="header154.xml"/><Relationship Id="rId347" Type="http://schemas.openxmlformats.org/officeDocument/2006/relationships/footer" Target="footer164.xml"/><Relationship Id="rId44" Type="http://schemas.openxmlformats.org/officeDocument/2006/relationships/header" Target="header17.xml"/><Relationship Id="rId65" Type="http://schemas.openxmlformats.org/officeDocument/2006/relationships/header" Target="header27.xml"/><Relationship Id="rId86" Type="http://schemas.openxmlformats.org/officeDocument/2006/relationships/header" Target="header38.xml"/><Relationship Id="rId130" Type="http://schemas.openxmlformats.org/officeDocument/2006/relationships/footer" Target="footer59.xml"/><Relationship Id="rId151" Type="http://schemas.openxmlformats.org/officeDocument/2006/relationships/header" Target="header70.xml"/><Relationship Id="rId172" Type="http://schemas.openxmlformats.org/officeDocument/2006/relationships/footer" Target="footer80.xml"/><Relationship Id="rId193" Type="http://schemas.openxmlformats.org/officeDocument/2006/relationships/header" Target="header91.xml"/><Relationship Id="rId207" Type="http://schemas.openxmlformats.org/officeDocument/2006/relationships/footer" Target="footer97.xml"/><Relationship Id="rId228" Type="http://schemas.openxmlformats.org/officeDocument/2006/relationships/footer" Target="footer108.xml"/><Relationship Id="rId249" Type="http://schemas.openxmlformats.org/officeDocument/2006/relationships/hyperlink" Target="http://www.cleanenergyregulator.gov.au" TargetMode="External"/><Relationship Id="rId13" Type="http://schemas.openxmlformats.org/officeDocument/2006/relationships/footer" Target="footer1.xml"/><Relationship Id="rId109" Type="http://schemas.openxmlformats.org/officeDocument/2006/relationships/header" Target="header49.xml"/><Relationship Id="rId260" Type="http://schemas.openxmlformats.org/officeDocument/2006/relationships/header" Target="header123.xml"/><Relationship Id="rId281" Type="http://schemas.openxmlformats.org/officeDocument/2006/relationships/footer" Target="footer132.xml"/><Relationship Id="rId316" Type="http://schemas.openxmlformats.org/officeDocument/2006/relationships/header" Target="header150.xml"/><Relationship Id="rId337" Type="http://schemas.openxmlformats.org/officeDocument/2006/relationships/footer" Target="footer159.xml"/><Relationship Id="rId34" Type="http://schemas.openxmlformats.org/officeDocument/2006/relationships/footer" Target="footer11.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20" Type="http://schemas.openxmlformats.org/officeDocument/2006/relationships/footer" Target="footer54.xml"/><Relationship Id="rId141" Type="http://schemas.openxmlformats.org/officeDocument/2006/relationships/footer" Target="footer64.xml"/><Relationship Id="rId358" Type="http://schemas.openxmlformats.org/officeDocument/2006/relationships/header" Target="header170.xml"/><Relationship Id="rId7" Type="http://schemas.openxmlformats.org/officeDocument/2006/relationships/endnotes" Target="endnotes.xml"/><Relationship Id="rId162" Type="http://schemas.openxmlformats.org/officeDocument/2006/relationships/footer" Target="footer75.xml"/><Relationship Id="rId183" Type="http://schemas.openxmlformats.org/officeDocument/2006/relationships/footer" Target="footer85.xml"/><Relationship Id="rId218" Type="http://schemas.openxmlformats.org/officeDocument/2006/relationships/header" Target="header104.xml"/><Relationship Id="rId239" Type="http://schemas.openxmlformats.org/officeDocument/2006/relationships/header" Target="header114.xml"/><Relationship Id="rId250" Type="http://schemas.openxmlformats.org/officeDocument/2006/relationships/header" Target="header118.xml"/><Relationship Id="rId271" Type="http://schemas.openxmlformats.org/officeDocument/2006/relationships/header" Target="header128.xml"/><Relationship Id="rId292" Type="http://schemas.openxmlformats.org/officeDocument/2006/relationships/header" Target="header138.xml"/><Relationship Id="rId306" Type="http://schemas.openxmlformats.org/officeDocument/2006/relationships/header" Target="header145.xml"/><Relationship Id="rId24" Type="http://schemas.openxmlformats.org/officeDocument/2006/relationships/hyperlink" Target="http://www.budget.gov.aua" TargetMode="Externa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50.xml"/><Relationship Id="rId131" Type="http://schemas.openxmlformats.org/officeDocument/2006/relationships/header" Target="header60.xml"/><Relationship Id="rId327" Type="http://schemas.openxmlformats.org/officeDocument/2006/relationships/header" Target="header155.xml"/><Relationship Id="rId348" Type="http://schemas.openxmlformats.org/officeDocument/2006/relationships/header" Target="header165.xml"/><Relationship Id="rId152" Type="http://schemas.openxmlformats.org/officeDocument/2006/relationships/header" Target="header71.xml"/><Relationship Id="rId173" Type="http://schemas.openxmlformats.org/officeDocument/2006/relationships/header" Target="header81.xml"/><Relationship Id="rId194" Type="http://schemas.openxmlformats.org/officeDocument/2006/relationships/header" Target="header92.xml"/><Relationship Id="rId208" Type="http://schemas.openxmlformats.org/officeDocument/2006/relationships/footer" Target="footer98.xml"/><Relationship Id="rId229" Type="http://schemas.openxmlformats.org/officeDocument/2006/relationships/header" Target="header109.xml"/><Relationship Id="rId240" Type="http://schemas.openxmlformats.org/officeDocument/2006/relationships/footer" Target="footer114.xml"/><Relationship Id="rId261" Type="http://schemas.openxmlformats.org/officeDocument/2006/relationships/footer" Target="footer123.xml"/><Relationship Id="rId14" Type="http://schemas.openxmlformats.org/officeDocument/2006/relationships/footer" Target="footer2.xml"/><Relationship Id="rId35" Type="http://schemas.openxmlformats.org/officeDocument/2006/relationships/header" Target="header12.xml"/><Relationship Id="rId56" Type="http://schemas.openxmlformats.org/officeDocument/2006/relationships/header" Target="header23.xml"/><Relationship Id="rId77" Type="http://schemas.openxmlformats.org/officeDocument/2006/relationships/header" Target="header33.xml"/><Relationship Id="rId100" Type="http://schemas.openxmlformats.org/officeDocument/2006/relationships/footer" Target="footer44.xml"/><Relationship Id="rId282" Type="http://schemas.openxmlformats.org/officeDocument/2006/relationships/header" Target="header133.xml"/><Relationship Id="rId317" Type="http://schemas.openxmlformats.org/officeDocument/2006/relationships/footer" Target="footer150.xml"/><Relationship Id="rId338" Type="http://schemas.openxmlformats.org/officeDocument/2006/relationships/header" Target="header160.xml"/><Relationship Id="rId359" Type="http://schemas.openxmlformats.org/officeDocument/2006/relationships/footer" Target="footer169.xml"/><Relationship Id="rId8" Type="http://schemas.openxmlformats.org/officeDocument/2006/relationships/hyperlink" Target="http://creativecommons.org/licenses/by/3.0/au/legalcode" TargetMode="External"/><Relationship Id="rId98" Type="http://schemas.openxmlformats.org/officeDocument/2006/relationships/header" Target="header44.xml"/><Relationship Id="rId121" Type="http://schemas.openxmlformats.org/officeDocument/2006/relationships/header" Target="header55.xml"/><Relationship Id="rId142" Type="http://schemas.openxmlformats.org/officeDocument/2006/relationships/footer" Target="footer65.xml"/><Relationship Id="rId163" Type="http://schemas.openxmlformats.org/officeDocument/2006/relationships/header" Target="header76.xml"/><Relationship Id="rId184" Type="http://schemas.openxmlformats.org/officeDocument/2006/relationships/footer" Target="footer86.xml"/><Relationship Id="rId219" Type="http://schemas.openxmlformats.org/officeDocument/2006/relationships/footer" Target="footer103.xml"/><Relationship Id="rId230" Type="http://schemas.openxmlformats.org/officeDocument/2006/relationships/header" Target="header110.xml"/><Relationship Id="rId251" Type="http://schemas.openxmlformats.org/officeDocument/2006/relationships/header" Target="header119.xml"/><Relationship Id="rId25" Type="http://schemas.openxmlformats.org/officeDocument/2006/relationships/header" Target="header7.xml"/><Relationship Id="rId46" Type="http://schemas.openxmlformats.org/officeDocument/2006/relationships/footer" Target="footer17.xml"/><Relationship Id="rId67" Type="http://schemas.openxmlformats.org/officeDocument/2006/relationships/header" Target="header28.xml"/><Relationship Id="rId272" Type="http://schemas.openxmlformats.org/officeDocument/2006/relationships/footer" Target="footer127.xml"/><Relationship Id="rId293" Type="http://schemas.openxmlformats.org/officeDocument/2006/relationships/footer" Target="footer138.xml"/><Relationship Id="rId307" Type="http://schemas.openxmlformats.org/officeDocument/2006/relationships/header" Target="header146.xml"/><Relationship Id="rId328" Type="http://schemas.openxmlformats.org/officeDocument/2006/relationships/footer" Target="footer154.xml"/><Relationship Id="rId349" Type="http://schemas.openxmlformats.org/officeDocument/2006/relationships/footer" Target="footer165.xml"/><Relationship Id="rId88" Type="http://schemas.openxmlformats.org/officeDocument/2006/relationships/footer" Target="footer38.xml"/><Relationship Id="rId111" Type="http://schemas.openxmlformats.org/officeDocument/2006/relationships/footer" Target="footer49.xml"/><Relationship Id="rId132" Type="http://schemas.openxmlformats.org/officeDocument/2006/relationships/footer" Target="footer60.xml"/><Relationship Id="rId153" Type="http://schemas.openxmlformats.org/officeDocument/2006/relationships/footer" Target="footer70.xml"/><Relationship Id="rId174" Type="http://schemas.openxmlformats.org/officeDocument/2006/relationships/footer" Target="footer81.xml"/><Relationship Id="rId195" Type="http://schemas.openxmlformats.org/officeDocument/2006/relationships/footer" Target="footer91.xml"/><Relationship Id="rId209" Type="http://schemas.openxmlformats.org/officeDocument/2006/relationships/header" Target="header99.xml"/><Relationship Id="rId360" Type="http://schemas.openxmlformats.org/officeDocument/2006/relationships/footer" Target="footer170.xml"/><Relationship Id="rId220" Type="http://schemas.openxmlformats.org/officeDocument/2006/relationships/footer" Target="footer104.xml"/><Relationship Id="rId241" Type="http://schemas.openxmlformats.org/officeDocument/2006/relationships/hyperlink" Target="http://www.comlaw.gov.au/Series/C2011A00101" TargetMode="External"/><Relationship Id="rId15" Type="http://schemas.openxmlformats.org/officeDocument/2006/relationships/header" Target="header3.xml"/><Relationship Id="rId36" Type="http://schemas.openxmlformats.org/officeDocument/2006/relationships/footer" Target="footer12.xml"/><Relationship Id="rId57" Type="http://schemas.openxmlformats.org/officeDocument/2006/relationships/footer" Target="footer22.xml"/><Relationship Id="rId106" Type="http://schemas.openxmlformats.org/officeDocument/2006/relationships/footer" Target="footer47.xml"/><Relationship Id="rId127" Type="http://schemas.openxmlformats.org/officeDocument/2006/relationships/header" Target="header58.xml"/><Relationship Id="rId262" Type="http://schemas.openxmlformats.org/officeDocument/2006/relationships/header" Target="header124.xml"/><Relationship Id="rId283" Type="http://schemas.openxmlformats.org/officeDocument/2006/relationships/header" Target="header134.xml"/><Relationship Id="rId313" Type="http://schemas.openxmlformats.org/officeDocument/2006/relationships/header" Target="header149.xml"/><Relationship Id="rId318" Type="http://schemas.openxmlformats.org/officeDocument/2006/relationships/hyperlink" Target="file:///C:\Users\MM3264\AppData\Local\Microsoft\Windows\INetCache\Content.Outlook\4KS26D8L\Attachment%20F%20-%202019-20%20PBS%20Word%20GA%20Chapter.DOCX" TargetMode="External"/><Relationship Id="rId339" Type="http://schemas.openxmlformats.org/officeDocument/2006/relationships/header" Target="header161.xml"/><Relationship Id="rId10" Type="http://schemas.openxmlformats.org/officeDocument/2006/relationships/hyperlink" Target="http://www.pmc.gov.au/government/commonwealth-coat-arms" TargetMode="External"/><Relationship Id="rId31" Type="http://schemas.openxmlformats.org/officeDocument/2006/relationships/header" Target="header10.xml"/><Relationship Id="rId52" Type="http://schemas.openxmlformats.org/officeDocument/2006/relationships/footer" Target="footer20.xml"/><Relationship Id="rId73" Type="http://schemas.openxmlformats.org/officeDocument/2006/relationships/header" Target="header31.xml"/><Relationship Id="rId78" Type="http://schemas.openxmlformats.org/officeDocument/2006/relationships/footer" Target="footer33.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header" Target="header56.xml"/><Relationship Id="rId143" Type="http://schemas.openxmlformats.org/officeDocument/2006/relationships/header" Target="header66.xml"/><Relationship Id="rId148" Type="http://schemas.openxmlformats.org/officeDocument/2006/relationships/footer" Target="footer68.xml"/><Relationship Id="rId164" Type="http://schemas.openxmlformats.org/officeDocument/2006/relationships/header" Target="header77.xml"/><Relationship Id="rId169" Type="http://schemas.openxmlformats.org/officeDocument/2006/relationships/header" Target="header79.xml"/><Relationship Id="rId185" Type="http://schemas.openxmlformats.org/officeDocument/2006/relationships/header" Target="header87.xml"/><Relationship Id="rId334" Type="http://schemas.openxmlformats.org/officeDocument/2006/relationships/footer" Target="footer157.xml"/><Relationship Id="rId350" Type="http://schemas.openxmlformats.org/officeDocument/2006/relationships/header" Target="header166.xml"/><Relationship Id="rId355" Type="http://schemas.openxmlformats.org/officeDocument/2006/relationships/footer" Target="footer168.xm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footer" Target="footer84.xml"/><Relationship Id="rId210" Type="http://schemas.openxmlformats.org/officeDocument/2006/relationships/footer" Target="footer99.xml"/><Relationship Id="rId215" Type="http://schemas.openxmlformats.org/officeDocument/2006/relationships/header" Target="header102.xml"/><Relationship Id="rId236" Type="http://schemas.openxmlformats.org/officeDocument/2006/relationships/header" Target="header113.xml"/><Relationship Id="rId257" Type="http://schemas.openxmlformats.org/officeDocument/2006/relationships/header" Target="header122.xml"/><Relationship Id="rId278" Type="http://schemas.openxmlformats.org/officeDocument/2006/relationships/footer" Target="footer130.xml"/><Relationship Id="rId26" Type="http://schemas.openxmlformats.org/officeDocument/2006/relationships/header" Target="header8.xml"/><Relationship Id="rId231" Type="http://schemas.openxmlformats.org/officeDocument/2006/relationships/footer" Target="footer109.xml"/><Relationship Id="rId252" Type="http://schemas.openxmlformats.org/officeDocument/2006/relationships/footer" Target="footer118.xml"/><Relationship Id="rId273" Type="http://schemas.openxmlformats.org/officeDocument/2006/relationships/footer" Target="footer128.xml"/><Relationship Id="rId294" Type="http://schemas.openxmlformats.org/officeDocument/2006/relationships/header" Target="header139.xml"/><Relationship Id="rId308" Type="http://schemas.openxmlformats.org/officeDocument/2006/relationships/footer" Target="footer145.xml"/><Relationship Id="rId329" Type="http://schemas.openxmlformats.org/officeDocument/2006/relationships/footer" Target="footer155.xml"/><Relationship Id="rId47" Type="http://schemas.openxmlformats.org/officeDocument/2006/relationships/header" Target="header18.xml"/><Relationship Id="rId68" Type="http://schemas.openxmlformats.org/officeDocument/2006/relationships/header" Target="header29.xml"/><Relationship Id="rId89" Type="http://schemas.openxmlformats.org/officeDocument/2006/relationships/header" Target="header39.xml"/><Relationship Id="rId112" Type="http://schemas.openxmlformats.org/officeDocument/2006/relationships/footer" Target="footer50.xml"/><Relationship Id="rId133" Type="http://schemas.openxmlformats.org/officeDocument/2006/relationships/header" Target="header61.xml"/><Relationship Id="rId154" Type="http://schemas.openxmlformats.org/officeDocument/2006/relationships/footer" Target="footer71.xml"/><Relationship Id="rId175" Type="http://schemas.openxmlformats.org/officeDocument/2006/relationships/header" Target="header82.xml"/><Relationship Id="rId340" Type="http://schemas.openxmlformats.org/officeDocument/2006/relationships/footer" Target="footer160.xml"/><Relationship Id="rId361" Type="http://schemas.openxmlformats.org/officeDocument/2006/relationships/header" Target="header171.xml"/><Relationship Id="rId196" Type="http://schemas.openxmlformats.org/officeDocument/2006/relationships/footer" Target="footer92.xml"/><Relationship Id="rId200" Type="http://schemas.openxmlformats.org/officeDocument/2006/relationships/header" Target="header95.xml"/><Relationship Id="rId16" Type="http://schemas.openxmlformats.org/officeDocument/2006/relationships/footer" Target="footer3.xml"/><Relationship Id="rId221" Type="http://schemas.openxmlformats.org/officeDocument/2006/relationships/header" Target="header105.xml"/><Relationship Id="rId242" Type="http://schemas.openxmlformats.org/officeDocument/2006/relationships/hyperlink" Target="http://www.comlaw.gov.au/Series/C2007A00175" TargetMode="External"/><Relationship Id="rId263" Type="http://schemas.openxmlformats.org/officeDocument/2006/relationships/header" Target="header125.xml"/><Relationship Id="rId284" Type="http://schemas.openxmlformats.org/officeDocument/2006/relationships/footer" Target="footer133.xml"/><Relationship Id="rId319" Type="http://schemas.openxmlformats.org/officeDocument/2006/relationships/hyperlink" Target="https://www.industry.gov.au/about-us/annual-report" TargetMode="External"/><Relationship Id="rId37" Type="http://schemas.openxmlformats.org/officeDocument/2006/relationships/header" Target="header13.xml"/><Relationship Id="rId58" Type="http://schemas.openxmlformats.org/officeDocument/2006/relationships/footer" Target="footer23.xml"/><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footer" Target="footer55.xml"/><Relationship Id="rId144" Type="http://schemas.openxmlformats.org/officeDocument/2006/relationships/footer" Target="footer66.xml"/><Relationship Id="rId330" Type="http://schemas.openxmlformats.org/officeDocument/2006/relationships/header" Target="header156.xml"/><Relationship Id="rId90" Type="http://schemas.openxmlformats.org/officeDocument/2006/relationships/footer" Target="footer39.xml"/><Relationship Id="rId165" Type="http://schemas.openxmlformats.org/officeDocument/2006/relationships/footer" Target="footer76.xml"/><Relationship Id="rId186" Type="http://schemas.openxmlformats.org/officeDocument/2006/relationships/footer" Target="footer87.xml"/><Relationship Id="rId351" Type="http://schemas.openxmlformats.org/officeDocument/2006/relationships/header" Target="header167.xml"/><Relationship Id="rId211" Type="http://schemas.openxmlformats.org/officeDocument/2006/relationships/header" Target="header100.xml"/><Relationship Id="rId232" Type="http://schemas.openxmlformats.org/officeDocument/2006/relationships/footer" Target="footer110.xml"/><Relationship Id="rId253" Type="http://schemas.openxmlformats.org/officeDocument/2006/relationships/footer" Target="footer119.xml"/><Relationship Id="rId274" Type="http://schemas.openxmlformats.org/officeDocument/2006/relationships/header" Target="header129.xml"/><Relationship Id="rId295" Type="http://schemas.openxmlformats.org/officeDocument/2006/relationships/header" Target="header140.xml"/><Relationship Id="rId309" Type="http://schemas.openxmlformats.org/officeDocument/2006/relationships/footer" Target="footer146.xml"/><Relationship Id="rId27" Type="http://schemas.openxmlformats.org/officeDocument/2006/relationships/footer" Target="footer7.xml"/><Relationship Id="rId48" Type="http://schemas.openxmlformats.org/officeDocument/2006/relationships/footer" Target="footer18.xml"/><Relationship Id="rId69" Type="http://schemas.openxmlformats.org/officeDocument/2006/relationships/footer" Target="footer28.xml"/><Relationship Id="rId113" Type="http://schemas.openxmlformats.org/officeDocument/2006/relationships/header" Target="header51.xml"/><Relationship Id="rId134" Type="http://schemas.openxmlformats.org/officeDocument/2006/relationships/header" Target="header62.xml"/><Relationship Id="rId320" Type="http://schemas.openxmlformats.org/officeDocument/2006/relationships/header" Target="header151.xml"/><Relationship Id="rId80" Type="http://schemas.openxmlformats.org/officeDocument/2006/relationships/header" Target="header35.xml"/><Relationship Id="rId155" Type="http://schemas.openxmlformats.org/officeDocument/2006/relationships/header" Target="header72.xml"/><Relationship Id="rId176" Type="http://schemas.openxmlformats.org/officeDocument/2006/relationships/header" Target="header83.xml"/><Relationship Id="rId197" Type="http://schemas.openxmlformats.org/officeDocument/2006/relationships/header" Target="header93.xml"/><Relationship Id="rId341" Type="http://schemas.openxmlformats.org/officeDocument/2006/relationships/footer" Target="footer161.xml"/><Relationship Id="rId362" Type="http://schemas.openxmlformats.org/officeDocument/2006/relationships/footer" Target="footer171.xml"/><Relationship Id="rId201" Type="http://schemas.openxmlformats.org/officeDocument/2006/relationships/footer" Target="footer94.xml"/><Relationship Id="rId222" Type="http://schemas.openxmlformats.org/officeDocument/2006/relationships/footer" Target="footer105.xml"/><Relationship Id="rId243" Type="http://schemas.openxmlformats.org/officeDocument/2006/relationships/header" Target="header115.xml"/><Relationship Id="rId264" Type="http://schemas.openxmlformats.org/officeDocument/2006/relationships/footer" Target="footer124.xml"/><Relationship Id="rId285" Type="http://schemas.openxmlformats.org/officeDocument/2006/relationships/footer" Target="footer134.xml"/><Relationship Id="rId17" Type="http://schemas.openxmlformats.org/officeDocument/2006/relationships/image" Target="media/image2.png"/><Relationship Id="rId38" Type="http://schemas.openxmlformats.org/officeDocument/2006/relationships/header" Target="header14.xml"/><Relationship Id="rId59" Type="http://schemas.openxmlformats.org/officeDocument/2006/relationships/header" Target="header24.xml"/><Relationship Id="rId103" Type="http://schemas.openxmlformats.org/officeDocument/2006/relationships/header" Target="header46.xml"/><Relationship Id="rId124" Type="http://schemas.openxmlformats.org/officeDocument/2006/relationships/footer" Target="footer56.xml"/><Relationship Id="rId310" Type="http://schemas.openxmlformats.org/officeDocument/2006/relationships/header" Target="header147.xml"/><Relationship Id="rId70" Type="http://schemas.openxmlformats.org/officeDocument/2006/relationships/footer" Target="footer29.xml"/><Relationship Id="rId91" Type="http://schemas.openxmlformats.org/officeDocument/2006/relationships/header" Target="header40.xml"/><Relationship Id="rId145" Type="http://schemas.openxmlformats.org/officeDocument/2006/relationships/header" Target="header67.xml"/><Relationship Id="rId166" Type="http://schemas.openxmlformats.org/officeDocument/2006/relationships/footer" Target="footer77.xml"/><Relationship Id="rId187" Type="http://schemas.openxmlformats.org/officeDocument/2006/relationships/header" Target="header88.xml"/><Relationship Id="rId331" Type="http://schemas.openxmlformats.org/officeDocument/2006/relationships/footer" Target="footer156.xml"/><Relationship Id="rId352" Type="http://schemas.openxmlformats.org/officeDocument/2006/relationships/footer" Target="footer166.xml"/><Relationship Id="rId1" Type="http://schemas.openxmlformats.org/officeDocument/2006/relationships/customXml" Target="../customXml/item1.xml"/><Relationship Id="rId212" Type="http://schemas.openxmlformats.org/officeDocument/2006/relationships/header" Target="header101.xml"/><Relationship Id="rId233" Type="http://schemas.openxmlformats.org/officeDocument/2006/relationships/header" Target="header111.xml"/><Relationship Id="rId254" Type="http://schemas.openxmlformats.org/officeDocument/2006/relationships/header" Target="header120.xml"/><Relationship Id="rId28" Type="http://schemas.openxmlformats.org/officeDocument/2006/relationships/footer" Target="footer8.xml"/><Relationship Id="rId49" Type="http://schemas.openxmlformats.org/officeDocument/2006/relationships/header" Target="header19.xml"/><Relationship Id="rId114" Type="http://schemas.openxmlformats.org/officeDocument/2006/relationships/footer" Target="footer51.xml"/><Relationship Id="rId275" Type="http://schemas.openxmlformats.org/officeDocument/2006/relationships/footer" Target="footer129.xml"/><Relationship Id="rId296" Type="http://schemas.openxmlformats.org/officeDocument/2006/relationships/footer" Target="footer139.xml"/><Relationship Id="rId300" Type="http://schemas.openxmlformats.org/officeDocument/2006/relationships/header" Target="header142.xml"/><Relationship Id="rId60" Type="http://schemas.openxmlformats.org/officeDocument/2006/relationships/footer" Target="footer24.xml"/><Relationship Id="rId81" Type="http://schemas.openxmlformats.org/officeDocument/2006/relationships/footer" Target="footer34.xml"/><Relationship Id="rId135" Type="http://schemas.openxmlformats.org/officeDocument/2006/relationships/footer" Target="footer61.xml"/><Relationship Id="rId156" Type="http://schemas.openxmlformats.org/officeDocument/2006/relationships/footer" Target="footer72.xml"/><Relationship Id="rId177" Type="http://schemas.openxmlformats.org/officeDocument/2006/relationships/footer" Target="footer82.xml"/><Relationship Id="rId198" Type="http://schemas.openxmlformats.org/officeDocument/2006/relationships/footer" Target="footer93.xml"/><Relationship Id="rId321" Type="http://schemas.openxmlformats.org/officeDocument/2006/relationships/header" Target="header152.xml"/><Relationship Id="rId342" Type="http://schemas.openxmlformats.org/officeDocument/2006/relationships/header" Target="header162.xml"/><Relationship Id="rId363" Type="http://schemas.openxmlformats.org/officeDocument/2006/relationships/fontTable" Target="fontTable.xml"/><Relationship Id="rId202" Type="http://schemas.openxmlformats.org/officeDocument/2006/relationships/footer" Target="footer95.xml"/><Relationship Id="rId223" Type="http://schemas.openxmlformats.org/officeDocument/2006/relationships/header" Target="header106.xml"/><Relationship Id="rId244" Type="http://schemas.openxmlformats.org/officeDocument/2006/relationships/header" Target="header116.xml"/><Relationship Id="rId18" Type="http://schemas.openxmlformats.org/officeDocument/2006/relationships/header" Target="header4.xml"/><Relationship Id="rId39" Type="http://schemas.openxmlformats.org/officeDocument/2006/relationships/footer" Target="footer13.xml"/><Relationship Id="rId265" Type="http://schemas.openxmlformats.org/officeDocument/2006/relationships/footer" Target="footer125.xml"/><Relationship Id="rId286" Type="http://schemas.openxmlformats.org/officeDocument/2006/relationships/header" Target="header135.xml"/><Relationship Id="rId50" Type="http://schemas.openxmlformats.org/officeDocument/2006/relationships/header" Target="header20.xml"/><Relationship Id="rId104" Type="http://schemas.openxmlformats.org/officeDocument/2006/relationships/header" Target="header47.xml"/><Relationship Id="rId125" Type="http://schemas.openxmlformats.org/officeDocument/2006/relationships/header" Target="header57.xml"/><Relationship Id="rId146" Type="http://schemas.openxmlformats.org/officeDocument/2006/relationships/header" Target="header68.xml"/><Relationship Id="rId167" Type="http://schemas.openxmlformats.org/officeDocument/2006/relationships/header" Target="header78.xml"/><Relationship Id="rId188" Type="http://schemas.openxmlformats.org/officeDocument/2006/relationships/header" Target="header89.xml"/><Relationship Id="rId311" Type="http://schemas.openxmlformats.org/officeDocument/2006/relationships/footer" Target="footer147.xml"/><Relationship Id="rId332" Type="http://schemas.openxmlformats.org/officeDocument/2006/relationships/header" Target="header157.xml"/><Relationship Id="rId353" Type="http://schemas.openxmlformats.org/officeDocument/2006/relationships/footer" Target="footer167.xml"/><Relationship Id="rId71" Type="http://schemas.openxmlformats.org/officeDocument/2006/relationships/header" Target="header30.xml"/><Relationship Id="rId92" Type="http://schemas.openxmlformats.org/officeDocument/2006/relationships/header" Target="header41.xml"/><Relationship Id="rId213" Type="http://schemas.openxmlformats.org/officeDocument/2006/relationships/footer" Target="footer100.xml"/><Relationship Id="rId234" Type="http://schemas.openxmlformats.org/officeDocument/2006/relationships/footer" Target="footer111.xml"/><Relationship Id="rId2" Type="http://schemas.openxmlformats.org/officeDocument/2006/relationships/numbering" Target="numbering.xml"/><Relationship Id="rId29" Type="http://schemas.openxmlformats.org/officeDocument/2006/relationships/header" Target="header9.xml"/><Relationship Id="rId255" Type="http://schemas.openxmlformats.org/officeDocument/2006/relationships/footer" Target="footer120.xml"/><Relationship Id="rId276" Type="http://schemas.openxmlformats.org/officeDocument/2006/relationships/header" Target="header130.xml"/><Relationship Id="rId297" Type="http://schemas.openxmlformats.org/officeDocument/2006/relationships/footer" Target="footer140.xml"/><Relationship Id="rId40" Type="http://schemas.openxmlformats.org/officeDocument/2006/relationships/footer" Target="footer14.xml"/><Relationship Id="rId115" Type="http://schemas.openxmlformats.org/officeDocument/2006/relationships/header" Target="header52.xml"/><Relationship Id="rId136" Type="http://schemas.openxmlformats.org/officeDocument/2006/relationships/footer" Target="footer62.xml"/><Relationship Id="rId157" Type="http://schemas.openxmlformats.org/officeDocument/2006/relationships/header" Target="header73.xml"/><Relationship Id="rId178" Type="http://schemas.openxmlformats.org/officeDocument/2006/relationships/footer" Target="footer83.xml"/><Relationship Id="rId301" Type="http://schemas.openxmlformats.org/officeDocument/2006/relationships/header" Target="header143.xml"/><Relationship Id="rId322" Type="http://schemas.openxmlformats.org/officeDocument/2006/relationships/footer" Target="footer151.xml"/><Relationship Id="rId343" Type="http://schemas.openxmlformats.org/officeDocument/2006/relationships/footer" Target="footer162.xml"/><Relationship Id="rId364" Type="http://schemas.openxmlformats.org/officeDocument/2006/relationships/theme" Target="theme/theme1.xml"/><Relationship Id="rId61" Type="http://schemas.openxmlformats.org/officeDocument/2006/relationships/header" Target="header25.xml"/><Relationship Id="rId82" Type="http://schemas.openxmlformats.org/officeDocument/2006/relationships/footer" Target="footer35.xml"/><Relationship Id="rId199" Type="http://schemas.openxmlformats.org/officeDocument/2006/relationships/header" Target="header94.xml"/><Relationship Id="rId203" Type="http://schemas.openxmlformats.org/officeDocument/2006/relationships/header" Target="header96.xml"/><Relationship Id="rId19" Type="http://schemas.openxmlformats.org/officeDocument/2006/relationships/header" Target="header5.xml"/><Relationship Id="rId224" Type="http://schemas.openxmlformats.org/officeDocument/2006/relationships/header" Target="header107.xml"/><Relationship Id="rId245" Type="http://schemas.openxmlformats.org/officeDocument/2006/relationships/footer" Target="footer115.xml"/><Relationship Id="rId266" Type="http://schemas.openxmlformats.org/officeDocument/2006/relationships/header" Target="header126.xml"/><Relationship Id="rId287" Type="http://schemas.openxmlformats.org/officeDocument/2006/relationships/footer" Target="footer135.xml"/><Relationship Id="rId30" Type="http://schemas.openxmlformats.org/officeDocument/2006/relationships/footer" Target="footer9.xml"/><Relationship Id="rId105" Type="http://schemas.openxmlformats.org/officeDocument/2006/relationships/footer" Target="footer46.xml"/><Relationship Id="rId126" Type="http://schemas.openxmlformats.org/officeDocument/2006/relationships/footer" Target="footer57.xml"/><Relationship Id="rId147" Type="http://schemas.openxmlformats.org/officeDocument/2006/relationships/footer" Target="footer67.xml"/><Relationship Id="rId168" Type="http://schemas.openxmlformats.org/officeDocument/2006/relationships/footer" Target="footer78.xml"/><Relationship Id="rId312" Type="http://schemas.openxmlformats.org/officeDocument/2006/relationships/header" Target="header148.xml"/><Relationship Id="rId333" Type="http://schemas.openxmlformats.org/officeDocument/2006/relationships/header" Target="header158.xml"/><Relationship Id="rId354" Type="http://schemas.openxmlformats.org/officeDocument/2006/relationships/header" Target="header168.xml"/><Relationship Id="rId51" Type="http://schemas.openxmlformats.org/officeDocument/2006/relationships/footer" Target="footer19.xml"/><Relationship Id="rId72" Type="http://schemas.openxmlformats.org/officeDocument/2006/relationships/footer" Target="footer30.xml"/><Relationship Id="rId93" Type="http://schemas.openxmlformats.org/officeDocument/2006/relationships/footer" Target="footer40.xml"/><Relationship Id="rId189" Type="http://schemas.openxmlformats.org/officeDocument/2006/relationships/footer" Target="footer88.xml"/><Relationship Id="rId3" Type="http://schemas.openxmlformats.org/officeDocument/2006/relationships/styles" Target="styles.xml"/><Relationship Id="rId214" Type="http://schemas.openxmlformats.org/officeDocument/2006/relationships/footer" Target="footer101.xml"/><Relationship Id="rId235" Type="http://schemas.openxmlformats.org/officeDocument/2006/relationships/header" Target="header112.xml"/><Relationship Id="rId256" Type="http://schemas.openxmlformats.org/officeDocument/2006/relationships/header" Target="header121.xml"/><Relationship Id="rId277" Type="http://schemas.openxmlformats.org/officeDocument/2006/relationships/header" Target="header131.xml"/><Relationship Id="rId298" Type="http://schemas.openxmlformats.org/officeDocument/2006/relationships/header" Target="header141.xml"/><Relationship Id="rId116" Type="http://schemas.openxmlformats.org/officeDocument/2006/relationships/header" Target="header53.xml"/><Relationship Id="rId137" Type="http://schemas.openxmlformats.org/officeDocument/2006/relationships/header" Target="header63.xml"/><Relationship Id="rId158" Type="http://schemas.openxmlformats.org/officeDocument/2006/relationships/header" Target="header74.xml"/><Relationship Id="rId302" Type="http://schemas.openxmlformats.org/officeDocument/2006/relationships/footer" Target="footer142.xml"/><Relationship Id="rId323" Type="http://schemas.openxmlformats.org/officeDocument/2006/relationships/footer" Target="footer152.xml"/><Relationship Id="rId344" Type="http://schemas.openxmlformats.org/officeDocument/2006/relationships/header" Target="header163.xml"/><Relationship Id="rId20" Type="http://schemas.openxmlformats.org/officeDocument/2006/relationships/footer" Target="footer4.xml"/><Relationship Id="rId41" Type="http://schemas.openxmlformats.org/officeDocument/2006/relationships/header" Target="header15.xml"/><Relationship Id="rId62" Type="http://schemas.openxmlformats.org/officeDocument/2006/relationships/header" Target="header26.xml"/><Relationship Id="rId83" Type="http://schemas.openxmlformats.org/officeDocument/2006/relationships/header" Target="header36.xml"/><Relationship Id="rId179" Type="http://schemas.openxmlformats.org/officeDocument/2006/relationships/header" Target="header84.xml"/><Relationship Id="rId190" Type="http://schemas.openxmlformats.org/officeDocument/2006/relationships/footer" Target="footer89.xml"/><Relationship Id="rId204" Type="http://schemas.openxmlformats.org/officeDocument/2006/relationships/footer" Target="footer96.xml"/><Relationship Id="rId225" Type="http://schemas.openxmlformats.org/officeDocument/2006/relationships/footer" Target="footer106.xml"/><Relationship Id="rId246" Type="http://schemas.openxmlformats.org/officeDocument/2006/relationships/footer" Target="footer116.xml"/><Relationship Id="rId267" Type="http://schemas.openxmlformats.org/officeDocument/2006/relationships/footer" Target="footer126.xml"/><Relationship Id="rId288" Type="http://schemas.openxmlformats.org/officeDocument/2006/relationships/header" Target="header136.xml"/></Relationships>
</file>

<file path=word/_rels/footnotes.xml.rels><?xml version="1.0" encoding="UTF-8" standalone="yes"?>
<Relationships xmlns="http://schemas.openxmlformats.org/package/2006/relationships"><Relationship Id="rId1" Type="http://schemas.openxmlformats.org/officeDocument/2006/relationships/hyperlink" Target="http://www.ga.gov.au/scientific-topics/marine/jurisdiction/maritime-boundary-definitions" TargetMode="External"/></Relationships>
</file>

<file path=word/_rels/header100.xml.rels><?xml version="1.0" encoding="UTF-8" standalone="yes"?>
<Relationships xmlns="http://schemas.openxmlformats.org/package/2006/relationships"><Relationship Id="rId1" Type="http://schemas.openxmlformats.org/officeDocument/2006/relationships/image" Target="media/image3.png"/></Relationships>
</file>

<file path=word/_rels/header101.xml.rels><?xml version="1.0" encoding="UTF-8" standalone="yes"?>
<Relationships xmlns="http://schemas.openxmlformats.org/package/2006/relationships"><Relationship Id="rId1" Type="http://schemas.openxmlformats.org/officeDocument/2006/relationships/image" Target="media/image3.png"/></Relationships>
</file>

<file path=word/_rels/header109.xml.rels><?xml version="1.0" encoding="UTF-8" standalone="yes"?>
<Relationships xmlns="http://schemas.openxmlformats.org/package/2006/relationships"><Relationship Id="rId1" Type="http://schemas.openxmlformats.org/officeDocument/2006/relationships/image" Target="media/image3.png"/></Relationships>
</file>

<file path=word/_rels/header110.xml.rels><?xml version="1.0" encoding="UTF-8" standalone="yes"?>
<Relationships xmlns="http://schemas.openxmlformats.org/package/2006/relationships"><Relationship Id="rId1" Type="http://schemas.openxmlformats.org/officeDocument/2006/relationships/image" Target="media/image3.png"/></Relationships>
</file>

<file path=word/_rels/header118.xml.rels><?xml version="1.0" encoding="UTF-8" standalone="yes"?>
<Relationships xmlns="http://schemas.openxmlformats.org/package/2006/relationships"><Relationship Id="rId1" Type="http://schemas.openxmlformats.org/officeDocument/2006/relationships/image" Target="media/image3.png"/></Relationships>
</file>

<file path=word/_rels/header119.xml.rels><?xml version="1.0" encoding="UTF-8" standalone="yes"?>
<Relationships xmlns="http://schemas.openxmlformats.org/package/2006/relationships"><Relationship Id="rId1" Type="http://schemas.openxmlformats.org/officeDocument/2006/relationships/image" Target="media/image3.png"/></Relationships>
</file>

<file path=word/_rels/header127.xml.rels><?xml version="1.0" encoding="UTF-8" standalone="yes"?>
<Relationships xmlns="http://schemas.openxmlformats.org/package/2006/relationships"><Relationship Id="rId1" Type="http://schemas.openxmlformats.org/officeDocument/2006/relationships/image" Target="media/image3.png"/></Relationships>
</file>

<file path=word/_rels/header128.xml.rels><?xml version="1.0" encoding="UTF-8" standalone="yes"?>
<Relationships xmlns="http://schemas.openxmlformats.org/package/2006/relationships"><Relationship Id="rId1" Type="http://schemas.openxmlformats.org/officeDocument/2006/relationships/image" Target="media/image3.png"/></Relationships>
</file>

<file path=word/_rels/header136.xml.rels><?xml version="1.0" encoding="UTF-8" standalone="yes"?>
<Relationships xmlns="http://schemas.openxmlformats.org/package/2006/relationships"><Relationship Id="rId1" Type="http://schemas.openxmlformats.org/officeDocument/2006/relationships/image" Target="media/image3.png"/></Relationships>
</file>

<file path=word/_rels/header137.xml.rels><?xml version="1.0" encoding="UTF-8" standalone="yes"?>
<Relationships xmlns="http://schemas.openxmlformats.org/package/2006/relationships"><Relationship Id="rId1" Type="http://schemas.openxmlformats.org/officeDocument/2006/relationships/image" Target="media/image3.png"/></Relationships>
</file>

<file path=word/_rels/header139.xml.rels><?xml version="1.0" encoding="UTF-8" standalone="yes"?>
<Relationships xmlns="http://schemas.openxmlformats.org/package/2006/relationships"><Relationship Id="rId1" Type="http://schemas.openxmlformats.org/officeDocument/2006/relationships/image" Target="media/image3.png"/></Relationships>
</file>

<file path=word/_rels/header140.xml.rels><?xml version="1.0" encoding="UTF-8" standalone="yes"?>
<Relationships xmlns="http://schemas.openxmlformats.org/package/2006/relationships"><Relationship Id="rId1" Type="http://schemas.openxmlformats.org/officeDocument/2006/relationships/image" Target="media/image3.png"/></Relationships>
</file>

<file path=word/_rels/header142.xml.rels><?xml version="1.0" encoding="UTF-8" standalone="yes"?>
<Relationships xmlns="http://schemas.openxmlformats.org/package/2006/relationships"><Relationship Id="rId1" Type="http://schemas.openxmlformats.org/officeDocument/2006/relationships/image" Target="media/image3.png"/></Relationships>
</file>

<file path=word/_rels/header143.xml.rels><?xml version="1.0" encoding="UTF-8" standalone="yes"?>
<Relationships xmlns="http://schemas.openxmlformats.org/package/2006/relationships"><Relationship Id="rId1" Type="http://schemas.openxmlformats.org/officeDocument/2006/relationships/image" Target="media/image3.png"/></Relationships>
</file>

<file path=word/_rels/header151.xml.rels><?xml version="1.0" encoding="UTF-8" standalone="yes"?>
<Relationships xmlns="http://schemas.openxmlformats.org/package/2006/relationships"><Relationship Id="rId1" Type="http://schemas.openxmlformats.org/officeDocument/2006/relationships/image" Target="media/image3.png"/></Relationships>
</file>

<file path=word/_rels/header152.xml.rels><?xml version="1.0" encoding="UTF-8" standalone="yes"?>
<Relationships xmlns="http://schemas.openxmlformats.org/package/2006/relationships"><Relationship Id="rId1" Type="http://schemas.openxmlformats.org/officeDocument/2006/relationships/image" Target="media/image3.png"/></Relationships>
</file>

<file path=word/_rels/header160.xml.rels><?xml version="1.0" encoding="UTF-8" standalone="yes"?>
<Relationships xmlns="http://schemas.openxmlformats.org/package/2006/relationships"><Relationship Id="rId1" Type="http://schemas.openxmlformats.org/officeDocument/2006/relationships/image" Target="media/image3.png"/></Relationships>
</file>

<file path=word/_rels/header161.xml.rels><?xml version="1.0" encoding="UTF-8" standalone="yes"?>
<Relationships xmlns="http://schemas.openxmlformats.org/package/2006/relationships"><Relationship Id="rId1" Type="http://schemas.openxmlformats.org/officeDocument/2006/relationships/image" Target="media/image3.png"/></Relationships>
</file>

<file path=word/_rels/header169.xml.rels><?xml version="1.0" encoding="UTF-8" standalone="yes"?>
<Relationships xmlns="http://schemas.openxmlformats.org/package/2006/relationships"><Relationship Id="rId1" Type="http://schemas.openxmlformats.org/officeDocument/2006/relationships/image" Target="media/image3.png"/></Relationships>
</file>

<file path=word/_rels/header170.xml.rels><?xml version="1.0" encoding="UTF-8" standalone="yes"?>
<Relationships xmlns="http://schemas.openxmlformats.org/package/2006/relationships"><Relationship Id="rId1" Type="http://schemas.openxmlformats.org/officeDocument/2006/relationships/image" Target="media/image3.png"/></Relationships>
</file>

<file path=word/_rels/header37.xml.rels><?xml version="1.0" encoding="UTF-8" standalone="yes"?>
<Relationships xmlns="http://schemas.openxmlformats.org/package/2006/relationships"><Relationship Id="rId1" Type="http://schemas.openxmlformats.org/officeDocument/2006/relationships/image" Target="media/image3.png"/></Relationships>
</file>

<file path=word/_rels/header38.xml.rels><?xml version="1.0" encoding="UTF-8" standalone="yes"?>
<Relationships xmlns="http://schemas.openxmlformats.org/package/2006/relationships"><Relationship Id="rId1" Type="http://schemas.openxmlformats.org/officeDocument/2006/relationships/image" Target="media/image3.png"/></Relationships>
</file>

<file path=word/_rels/header64.xml.rels><?xml version="1.0" encoding="UTF-8" standalone="yes"?>
<Relationships xmlns="http://schemas.openxmlformats.org/package/2006/relationships"><Relationship Id="rId1" Type="http://schemas.openxmlformats.org/officeDocument/2006/relationships/image" Target="media/image3.png"/></Relationships>
</file>

<file path=word/_rels/header65.xml.rels><?xml version="1.0" encoding="UTF-8" standalone="yes"?>
<Relationships xmlns="http://schemas.openxmlformats.org/package/2006/relationships"><Relationship Id="rId1" Type="http://schemas.openxmlformats.org/officeDocument/2006/relationships/image" Target="media/image3.png"/></Relationships>
</file>

<file path=word/_rels/header67.xml.rels><?xml version="1.0" encoding="UTF-8" standalone="yes"?>
<Relationships xmlns="http://schemas.openxmlformats.org/package/2006/relationships"><Relationship Id="rId1" Type="http://schemas.openxmlformats.org/officeDocument/2006/relationships/image" Target="media/image3.png"/></Relationships>
</file>

<file path=word/_rels/header68.xml.rels><?xml version="1.0" encoding="UTF-8" standalone="yes"?>
<Relationships xmlns="http://schemas.openxmlformats.org/package/2006/relationships"><Relationship Id="rId1" Type="http://schemas.openxmlformats.org/officeDocument/2006/relationships/image" Target="media/image3.png"/></Relationships>
</file>

<file path=word/_rels/header70.xml.rels><?xml version="1.0" encoding="UTF-8" standalone="yes"?>
<Relationships xmlns="http://schemas.openxmlformats.org/package/2006/relationships"><Relationship Id="rId1" Type="http://schemas.openxmlformats.org/officeDocument/2006/relationships/image" Target="media/image3.png"/></Relationships>
</file>

<file path=word/_rels/header71.xml.rels><?xml version="1.0" encoding="UTF-8" standalone="yes"?>
<Relationships xmlns="http://schemas.openxmlformats.org/package/2006/relationships"><Relationship Id="rId1" Type="http://schemas.openxmlformats.org/officeDocument/2006/relationships/image" Target="media/image3.png"/></Relationships>
</file>

<file path=word/_rels/header82.xml.rels><?xml version="1.0" encoding="UTF-8" standalone="yes"?>
<Relationships xmlns="http://schemas.openxmlformats.org/package/2006/relationships"><Relationship Id="rId1" Type="http://schemas.openxmlformats.org/officeDocument/2006/relationships/image" Target="media/image3.png"/></Relationships>
</file>

<file path=word/_rels/header83.xml.rels><?xml version="1.0" encoding="UTF-8" standalone="yes"?>
<Relationships xmlns="http://schemas.openxmlformats.org/package/2006/relationships"><Relationship Id="rId1" Type="http://schemas.openxmlformats.org/officeDocument/2006/relationships/image" Target="media/image3.png"/></Relationships>
</file>

<file path=word/_rels/header91.xml.rels><?xml version="1.0" encoding="UTF-8" standalone="yes"?>
<Relationships xmlns="http://schemas.openxmlformats.org/package/2006/relationships"><Relationship Id="rId1" Type="http://schemas.openxmlformats.org/officeDocument/2006/relationships/image" Target="media/image3.png"/></Relationships>
</file>

<file path=word/_rels/header9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entControlRegistry xmlns="cdm://schemas.certent.com/registry/content-control">
  <Registrations/>
</ContentControlRegistry>
</file>

<file path=customXml/itemProps1.xml><?xml version="1.0" encoding="utf-8"?>
<ds:datastoreItem xmlns:ds="http://schemas.openxmlformats.org/officeDocument/2006/customXml" ds:itemID="{E42185F1-5BE5-4E15-B958-BBF69F1734DC}">
  <ds:schemaRefs>
    <ds:schemaRef ds:uri="cdm://schemas.certent.com/registry/content-contro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69523</Words>
  <Characters>396287</Characters>
  <Application>Microsoft Office Word</Application>
  <DocSecurity>0</DocSecurity>
  <Lines>3302</Lines>
  <Paragraphs>929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Magee, Lyndal</dc:creator>
  <cp:lastModifiedBy>Magee, Lyndal</cp:lastModifiedBy>
  <cp:revision>2</cp:revision>
  <dcterms:created xsi:type="dcterms:W3CDTF">2022-07-14T03:41:00Z</dcterms:created>
  <dcterms:modified xsi:type="dcterms:W3CDTF">2022-07-14T03:41:00Z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67488</vt:i4>
  </property>
</Properties>
</file>